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5A20AEB9" w14:textId="7297BD78" w:rsidR="004C5949" w:rsidRPr="00C05E7B" w:rsidRDefault="004C5949" w:rsidP="004C5949">
          <w:pPr>
            <w:pStyle w:val="ListParagraph"/>
            <w:tabs>
              <w:tab w:val="left" w:pos="4200"/>
            </w:tabs>
          </w:pPr>
          <w:r w:rsidRPr="00C05E7B">
            <w:rPr>
              <w:noProof/>
            </w:rPr>
            <w:drawing>
              <wp:anchor distT="0" distB="0" distL="114300" distR="114300" simplePos="0" relativeHeight="251658240" behindDoc="1" locked="0" layoutInCell="1" allowOverlap="1" wp14:anchorId="27EF3D14" wp14:editId="19F580EB">
                <wp:simplePos x="0" y="0"/>
                <wp:positionH relativeFrom="page">
                  <wp:posOffset>-6824</wp:posOffset>
                </wp:positionH>
                <wp:positionV relativeFrom="margin">
                  <wp:posOffset>-1176006</wp:posOffset>
                </wp:positionV>
                <wp:extent cx="7570470" cy="107063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63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5E7B">
            <w:tab/>
          </w:r>
        </w:p>
        <w:p w14:paraId="32DBCC92" w14:textId="77777777" w:rsidR="004C5949" w:rsidRPr="00C05E7B" w:rsidRDefault="004C5949" w:rsidP="004C5949">
          <w:pPr>
            <w:pStyle w:val="Header"/>
            <w:spacing w:after="1200"/>
          </w:pPr>
        </w:p>
        <w:p w14:paraId="3543BCF4" w14:textId="77777777" w:rsidR="004C5949" w:rsidRPr="008F09C0" w:rsidRDefault="004C5949" w:rsidP="004C5949">
          <w:pPr>
            <w:pStyle w:val="Title"/>
            <w:tabs>
              <w:tab w:val="left" w:pos="6379"/>
            </w:tabs>
            <w:spacing w:after="120" w:line="720" w:lineRule="exact"/>
            <w:ind w:right="1982"/>
            <w:rPr>
              <w:color w:val="FFFFFF" w:themeColor="background1"/>
            </w:rPr>
          </w:pPr>
          <w:r w:rsidRPr="008F09C0">
            <w:rPr>
              <w:color w:val="FFFFFF" w:themeColor="background1"/>
            </w:rPr>
            <w:t>Final Statement</w:t>
          </w:r>
        </w:p>
        <w:p w14:paraId="02B4B429" w14:textId="77777777" w:rsidR="004C5949" w:rsidRPr="008F09C0" w:rsidRDefault="004C5949" w:rsidP="004C5949">
          <w:pPr>
            <w:pStyle w:val="Disclaimer"/>
            <w:keepNext w:val="0"/>
            <w:widowControl w:val="0"/>
          </w:pP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4C5949" w:rsidRPr="00C05E7B" w14:paraId="576844B8" w14:textId="77777777" w:rsidTr="007E243E">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6970425D" w14:textId="77777777" w:rsidR="004C5949" w:rsidRPr="008F09C0" w:rsidRDefault="004C5949" w:rsidP="00F03E84">
                <w:pPr>
                  <w:pStyle w:val="Disclaimer"/>
                  <w:rPr>
                    <w:b w:val="0"/>
                    <w:color w:val="EEEEEE"/>
                  </w:rPr>
                </w:pPr>
                <w:r w:rsidRPr="008F09C0">
                  <w:rPr>
                    <w:b w:val="0"/>
                    <w:color w:val="EEEEEE"/>
                  </w:rPr>
                  <w:t>Disclaimer</w:t>
                </w:r>
              </w:p>
              <w:p w14:paraId="12AECFD8" w14:textId="77777777" w:rsidR="004C5949" w:rsidRPr="00C05E7B" w:rsidRDefault="004C5949" w:rsidP="00F03E84">
                <w:pPr>
                  <w:pStyle w:val="Disclaimer"/>
                  <w:rPr>
                    <w:b w:val="0"/>
                    <w:bCs w:val="0"/>
                  </w:rPr>
                </w:pPr>
                <w:r w:rsidRPr="008F09C0">
                  <w:rPr>
                    <w:b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8F09C0">
                  <w:rPr>
                    <w:b w:val="0"/>
                    <w:i/>
                    <w:color w:val="EEEEEE"/>
                  </w:rPr>
                  <w:t>Privacy Act 1988</w:t>
                </w:r>
                <w:r w:rsidRPr="008F09C0">
                  <w:rPr>
                    <w:b w:val="0"/>
                    <w:color w:val="EEEEEE"/>
                  </w:rPr>
                  <w:t xml:space="preserve"> and the </w:t>
                </w:r>
                <w:r w:rsidRPr="008F09C0">
                  <w:rPr>
                    <w:b w:val="0"/>
                    <w:i/>
                    <w:color w:val="EEEEEE"/>
                  </w:rPr>
                  <w:t>Freedom of Information Act 1982</w:t>
                </w:r>
                <w:r w:rsidRPr="008F09C0">
                  <w:rPr>
                    <w:b w:val="0"/>
                    <w:color w:val="EEEEEE"/>
                  </w:rPr>
                  <w:t>.</w:t>
                </w:r>
              </w:p>
            </w:tc>
          </w:tr>
          <w:tr w:rsidR="004C5949" w:rsidRPr="00C05E7B" w14:paraId="51541B35" w14:textId="77777777" w:rsidTr="007E243E">
            <w:tc>
              <w:tcPr>
                <w:tcW w:w="9070" w:type="dxa"/>
              </w:tcPr>
              <w:p w14:paraId="562129F9" w14:textId="77777777" w:rsidR="004C5949" w:rsidRPr="00C05E7B" w:rsidRDefault="004C5949" w:rsidP="00F03E84">
                <w:pPr>
                  <w:spacing w:before="0" w:after="160" w:line="259" w:lineRule="auto"/>
                </w:pPr>
              </w:p>
            </w:tc>
          </w:tr>
        </w:tbl>
        <w:p w14:paraId="22A4B3B8" w14:textId="77777777" w:rsidR="004C5949" w:rsidRPr="00C05E7B" w:rsidRDefault="004C5949" w:rsidP="004C5949">
          <w:pPr>
            <w:pStyle w:val="Subtitle"/>
            <w:spacing w:after="360"/>
            <w:rPr>
              <w:color w:val="6B83A7" w:themeColor="accent1" w:themeTint="99"/>
            </w:rPr>
          </w:pPr>
        </w:p>
        <w:p w14:paraId="238F702A" w14:textId="308D6868" w:rsidR="004C5949" w:rsidRPr="008F09C0" w:rsidRDefault="004C5949" w:rsidP="004C5949">
          <w:pPr>
            <w:pStyle w:val="Subtitle"/>
            <w:spacing w:after="360"/>
            <w:rPr>
              <w:sz w:val="40"/>
            </w:rPr>
          </w:pPr>
          <w:bookmarkStart w:id="0" w:name="_Hlk124326396"/>
          <w:r w:rsidRPr="008F09C0">
            <w:rPr>
              <w:sz w:val="40"/>
            </w:rPr>
            <w:t xml:space="preserve">Complaint submitted by </w:t>
          </w:r>
          <w:r w:rsidR="000917DD">
            <w:rPr>
              <w:sz w:val="40"/>
            </w:rPr>
            <w:t xml:space="preserve">Ms </w:t>
          </w:r>
          <w:r w:rsidRPr="008F09C0">
            <w:rPr>
              <w:sz w:val="40"/>
            </w:rPr>
            <w:t>D Stevens regarding Dow</w:t>
          </w:r>
          <w:r w:rsidR="000B4575">
            <w:rPr>
              <w:sz w:val="40"/>
            </w:rPr>
            <w:t> </w:t>
          </w:r>
          <w:r w:rsidRPr="008F09C0">
            <w:rPr>
              <w:sz w:val="40"/>
            </w:rPr>
            <w:t>Inc</w:t>
          </w:r>
          <w:r w:rsidR="00643C8E">
            <w:rPr>
              <w:sz w:val="40"/>
              <w:szCs w:val="40"/>
            </w:rPr>
            <w:t>.</w:t>
          </w:r>
          <w:r w:rsidRPr="008F09C0">
            <w:rPr>
              <w:sz w:val="40"/>
            </w:rPr>
            <w:t xml:space="preserve"> and </w:t>
          </w:r>
          <w:r w:rsidR="00DB6050" w:rsidRPr="008F09C0">
            <w:rPr>
              <w:sz w:val="40"/>
            </w:rPr>
            <w:t xml:space="preserve">Bayer </w:t>
          </w:r>
          <w:r w:rsidRPr="008F09C0">
            <w:rPr>
              <w:sz w:val="40"/>
            </w:rPr>
            <w:t>AG</w:t>
          </w:r>
        </w:p>
        <w:p w14:paraId="04795299" w14:textId="77777777" w:rsidR="000416BE" w:rsidRPr="008F09C0" w:rsidRDefault="000416BE" w:rsidP="008F09C0">
          <w:pPr>
            <w:tabs>
              <w:tab w:val="left" w:pos="1182"/>
            </w:tabs>
            <w:rPr>
              <w:color w:val="5D779D" w:themeColor="accent3"/>
              <w:sz w:val="32"/>
            </w:rPr>
          </w:pPr>
        </w:p>
        <w:p w14:paraId="5DD59F3A" w14:textId="7914C290" w:rsidR="004C5949" w:rsidRPr="008F09C0" w:rsidRDefault="005376BD" w:rsidP="000416BE">
          <w:pPr>
            <w:pStyle w:val="ReportDate"/>
            <w:keepNext w:val="0"/>
            <w:widowControl w:val="0"/>
            <w:rPr>
              <w:rFonts w:eastAsiaTheme="minorHAnsi"/>
              <w:color w:val="90B6F0"/>
            </w:rPr>
          </w:pPr>
          <w:r>
            <w:rPr>
              <w:rFonts w:eastAsiaTheme="minorHAnsi"/>
              <w:color w:val="90B6F0"/>
            </w:rPr>
            <w:t>2</w:t>
          </w:r>
          <w:r w:rsidR="0057648C">
            <w:rPr>
              <w:rFonts w:eastAsiaTheme="minorHAnsi"/>
              <w:color w:val="90B6F0"/>
            </w:rPr>
            <w:t>2</w:t>
          </w:r>
          <w:r w:rsidR="00CC3FEE">
            <w:rPr>
              <w:rFonts w:eastAsiaTheme="minorHAnsi"/>
              <w:color w:val="90B6F0"/>
            </w:rPr>
            <w:t xml:space="preserve"> May</w:t>
          </w:r>
          <w:r w:rsidR="00D24EF8" w:rsidRPr="008F09C0">
            <w:rPr>
              <w:rFonts w:eastAsiaTheme="minorHAnsi"/>
              <w:color w:val="90B6F0"/>
            </w:rPr>
            <w:t xml:space="preserve"> </w:t>
          </w:r>
          <w:r w:rsidR="000416BE" w:rsidRPr="008F09C0">
            <w:rPr>
              <w:rFonts w:eastAsiaTheme="minorHAnsi"/>
              <w:color w:val="90B6F0"/>
            </w:rPr>
            <w:t>2026</w:t>
          </w:r>
          <w:bookmarkStart w:id="1" w:name="_Hlk124933257"/>
          <w:bookmarkEnd w:id="0"/>
          <w:r w:rsidR="004C5949" w:rsidRPr="00C05E7B">
            <w:br w:type="page"/>
          </w:r>
        </w:p>
        <w:p w14:paraId="0DFF6DB1" w14:textId="1A9021E0" w:rsidR="000E0B74" w:rsidRPr="00C05E7B" w:rsidRDefault="00B31FC0" w:rsidP="008F09C0">
          <w:pPr>
            <w:spacing w:line="259" w:lineRule="auto"/>
          </w:pPr>
          <w:r w:rsidRPr="00C05E7B">
            <w:lastRenderedPageBreak/>
            <w:t>© Commonwealth of Australia 2026</w:t>
          </w:r>
        </w:p>
      </w:sdtContent>
    </w:sdt>
    <w:bookmarkEnd w:id="1" w:displacedByCustomXml="prev"/>
    <w:p w14:paraId="1B1FE79C" w14:textId="77777777" w:rsidR="000E0B74" w:rsidRPr="00C05E7B" w:rsidRDefault="000E0B74" w:rsidP="000E0B74">
      <w:pPr>
        <w:tabs>
          <w:tab w:val="left" w:pos="1650"/>
        </w:tabs>
        <w:spacing w:before="240"/>
        <w:rPr>
          <w:rFonts w:cstheme="minorBidi"/>
          <w:sz w:val="24"/>
          <w:szCs w:val="24"/>
        </w:rPr>
      </w:pPr>
      <w:r w:rsidRPr="00C05E7B">
        <w:t>This publication is available for your use under a</w:t>
      </w:r>
      <w:r w:rsidRPr="00C05E7B">
        <w:rPr>
          <w:rFonts w:cstheme="minorHAnsi"/>
          <w:sz w:val="24"/>
          <w:szCs w:val="24"/>
        </w:rPr>
        <w:t xml:space="preserve"> </w:t>
      </w:r>
      <w:hyperlink r:id="rId8" w:history="1">
        <w:r w:rsidRPr="00C05E7B">
          <w:rPr>
            <w:rStyle w:val="Hyperlink"/>
          </w:rPr>
          <w:t>Creative Commons Attribution 3.0 Australia</w:t>
        </w:r>
      </w:hyperlink>
      <w:r w:rsidRPr="00C05E7B">
        <w:rPr>
          <w:rFonts w:cstheme="minorHAnsi"/>
          <w:sz w:val="24"/>
          <w:szCs w:val="24"/>
        </w:rPr>
        <w:t xml:space="preserve"> </w:t>
      </w:r>
      <w:r w:rsidRPr="00C05E7B">
        <w:t>licence, with the exception of the Commonwealth Coat of Arms, the Treasury logo, photographs, images, signatures and where otherwise stated. The full licence terms are available from</w:t>
      </w:r>
      <w:r w:rsidRPr="00C05E7B">
        <w:rPr>
          <w:rFonts w:cstheme="minorHAnsi"/>
          <w:sz w:val="24"/>
          <w:szCs w:val="24"/>
        </w:rPr>
        <w:t xml:space="preserve"> </w:t>
      </w:r>
      <w:hyperlink r:id="rId9" w:history="1">
        <w:r w:rsidRPr="00C05E7B">
          <w:rPr>
            <w:rStyle w:val="Hyperlink"/>
          </w:rPr>
          <w:t>http://creativecommons.org/licenses/by/3.0/au/legalcode</w:t>
        </w:r>
      </w:hyperlink>
      <w:r w:rsidRPr="00C05E7B">
        <w:rPr>
          <w:rStyle w:val="Hyperlink"/>
        </w:rPr>
        <w:t>.</w:t>
      </w:r>
      <w:r w:rsidRPr="00C05E7B">
        <w:rPr>
          <w:sz w:val="24"/>
          <w:szCs w:val="24"/>
        </w:rPr>
        <w:t xml:space="preserve"> </w:t>
      </w:r>
    </w:p>
    <w:p w14:paraId="32050A03" w14:textId="77777777" w:rsidR="000E0B74" w:rsidRPr="00C05E7B" w:rsidRDefault="000E0B74" w:rsidP="000E0B74">
      <w:pPr>
        <w:pStyle w:val="ChartGraphic"/>
        <w:jc w:val="left"/>
      </w:pPr>
      <w:r w:rsidRPr="00C05E7B">
        <w:rPr>
          <w:noProof/>
        </w:rPr>
        <w:drawing>
          <wp:inline distT="0" distB="0" distL="0" distR="0" wp14:anchorId="3A26F292" wp14:editId="03349A7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65DF3BA" w14:textId="77777777" w:rsidR="000E0B74" w:rsidRPr="00C05E7B" w:rsidRDefault="000E0B74" w:rsidP="000E0B74">
      <w:pPr>
        <w:tabs>
          <w:tab w:val="left" w:pos="1650"/>
        </w:tabs>
        <w:spacing w:before="240"/>
      </w:pPr>
      <w:r w:rsidRPr="00C05E7B">
        <w:t>Use of Treasury material under a</w:t>
      </w:r>
      <w:r w:rsidRPr="00C05E7B">
        <w:rPr>
          <w:rFonts w:cstheme="minorHAnsi"/>
          <w:sz w:val="24"/>
          <w:szCs w:val="24"/>
        </w:rPr>
        <w:t xml:space="preserve"> </w:t>
      </w:r>
      <w:hyperlink r:id="rId11" w:history="1">
        <w:r w:rsidRPr="00C05E7B">
          <w:rPr>
            <w:rStyle w:val="Hyperlink"/>
          </w:rPr>
          <w:t>Creative Commons Attribution 3.0 Australia</w:t>
        </w:r>
      </w:hyperlink>
      <w:r w:rsidR="00A155F0" w:rsidRPr="00C05E7B">
        <w:t xml:space="preserve"> l</w:t>
      </w:r>
      <w:r w:rsidRPr="00C05E7B">
        <w:t>icence requires you to attribute the work (but not in any way that suggests that the Treasury endorses you or your use of the work).</w:t>
      </w:r>
    </w:p>
    <w:p w14:paraId="5D5BE9DB" w14:textId="77777777" w:rsidR="000E0B74" w:rsidRPr="00C05E7B" w:rsidRDefault="000E0B74" w:rsidP="006469CC">
      <w:pPr>
        <w:spacing w:before="240"/>
        <w:rPr>
          <w:b/>
        </w:rPr>
      </w:pPr>
      <w:r w:rsidRPr="00C05E7B">
        <w:rPr>
          <w:b/>
        </w:rPr>
        <w:t>Treasury material used ‘as supplied’</w:t>
      </w:r>
    </w:p>
    <w:p w14:paraId="2A2754BF" w14:textId="77777777" w:rsidR="000E0B74" w:rsidRPr="00C05E7B" w:rsidRDefault="000E0B74" w:rsidP="00386297">
      <w:r w:rsidRPr="00C05E7B">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41EAE33A" w14:textId="77777777" w:rsidR="000E0B74" w:rsidRPr="00C05E7B" w:rsidRDefault="000E0B74" w:rsidP="000E0B74">
      <w:pPr>
        <w:ind w:firstLine="720"/>
      </w:pPr>
      <w:r w:rsidRPr="00C05E7B">
        <w:rPr>
          <w:i/>
        </w:rPr>
        <w:t xml:space="preserve">Source: The </w:t>
      </w:r>
      <w:r w:rsidRPr="00C05E7B">
        <w:rPr>
          <w:i/>
          <w:iCs/>
        </w:rPr>
        <w:t>Australian Government the Treasury</w:t>
      </w:r>
    </w:p>
    <w:p w14:paraId="6B1BF89E" w14:textId="77777777" w:rsidR="000E0B74" w:rsidRPr="00C05E7B" w:rsidRDefault="000E0B74" w:rsidP="000E0B74">
      <w:pPr>
        <w:spacing w:before="240"/>
      </w:pPr>
      <w:r w:rsidRPr="00C05E7B">
        <w:rPr>
          <w:b/>
        </w:rPr>
        <w:t>Derivative</w:t>
      </w:r>
      <w:r w:rsidRPr="00C05E7B">
        <w:t xml:space="preserve"> </w:t>
      </w:r>
      <w:r w:rsidRPr="00C05E7B">
        <w:rPr>
          <w:b/>
        </w:rPr>
        <w:t>material</w:t>
      </w:r>
    </w:p>
    <w:p w14:paraId="2B1DA95B" w14:textId="77777777" w:rsidR="000E0B74" w:rsidRPr="00C05E7B" w:rsidRDefault="000E0B74" w:rsidP="000E0B74">
      <w:r w:rsidRPr="00C05E7B">
        <w:t xml:space="preserve">If you have modified or transformed Treasury material, or derived new material from those of the Treasury in any way, then Treasury prefers the following attribution: </w:t>
      </w:r>
    </w:p>
    <w:p w14:paraId="2BF6C786" w14:textId="77777777" w:rsidR="000E0B74" w:rsidRPr="00C05E7B" w:rsidRDefault="000E0B74" w:rsidP="000E0B74">
      <w:pPr>
        <w:ind w:firstLine="720"/>
      </w:pPr>
      <w:r w:rsidRPr="00C05E7B">
        <w:rPr>
          <w:i/>
        </w:rPr>
        <w:t>Based on The Australian Government the Treasury data</w:t>
      </w:r>
      <w:r w:rsidRPr="00C05E7B">
        <w:t xml:space="preserve"> </w:t>
      </w:r>
    </w:p>
    <w:p w14:paraId="355133C0" w14:textId="77777777" w:rsidR="000E0B74" w:rsidRPr="00C05E7B" w:rsidRDefault="000E0B74" w:rsidP="000E0B74">
      <w:pPr>
        <w:spacing w:before="240"/>
        <w:rPr>
          <w:b/>
        </w:rPr>
      </w:pPr>
      <w:r w:rsidRPr="00C05E7B">
        <w:rPr>
          <w:b/>
        </w:rPr>
        <w:t>Use of the Coat of Arms</w:t>
      </w:r>
    </w:p>
    <w:p w14:paraId="073B1EF3" w14:textId="77777777" w:rsidR="005C503A" w:rsidRPr="00C05E7B" w:rsidRDefault="005C503A" w:rsidP="005C503A">
      <w:pPr>
        <w:spacing w:before="240"/>
      </w:pPr>
      <w:r w:rsidRPr="00C05E7B">
        <w:t xml:space="preserve">The terms under which the Coat of Arms can be used are set out on the Department of the Prime Minister and Cabinet website (see </w:t>
      </w:r>
      <w:hyperlink r:id="rId12" w:history="1">
        <w:r w:rsidR="00F669CD" w:rsidRPr="00C05E7B">
          <w:rPr>
            <w:rStyle w:val="Hyperlink"/>
          </w:rPr>
          <w:t>www.pmc.gov.au/government/commonwealth-coat-arms</w:t>
        </w:r>
      </w:hyperlink>
      <w:r w:rsidRPr="00C05E7B">
        <w:t>).</w:t>
      </w:r>
    </w:p>
    <w:p w14:paraId="021F0DB9" w14:textId="77777777" w:rsidR="000E0B74" w:rsidRPr="00C05E7B" w:rsidRDefault="000E0B74" w:rsidP="000E0B74">
      <w:pPr>
        <w:spacing w:before="240"/>
        <w:rPr>
          <w:b/>
        </w:rPr>
      </w:pPr>
      <w:r w:rsidRPr="00C05E7B">
        <w:rPr>
          <w:b/>
        </w:rPr>
        <w:t>Other uses</w:t>
      </w:r>
    </w:p>
    <w:p w14:paraId="7C5E2395" w14:textId="77777777" w:rsidR="000E0B74" w:rsidRPr="00C05E7B" w:rsidRDefault="000E0B74" w:rsidP="000E0B74">
      <w:r w:rsidRPr="00C05E7B">
        <w:t>Enquiries regarding this licence and any other use of this document are welcome at:</w:t>
      </w:r>
    </w:p>
    <w:p w14:paraId="4287FFDF" w14:textId="77777777" w:rsidR="000E0B74" w:rsidRPr="00C05E7B" w:rsidRDefault="000E0B74" w:rsidP="000E0B74">
      <w:pPr>
        <w:ind w:left="720"/>
        <w:rPr>
          <w:rStyle w:val="Hyperlink"/>
        </w:rPr>
      </w:pPr>
      <w:r w:rsidRPr="00C05E7B">
        <w:t>Manager</w:t>
      </w:r>
      <w:r w:rsidR="00A72960" w:rsidRPr="00C05E7B">
        <w:br/>
      </w:r>
      <w:r w:rsidRPr="00C05E7B">
        <w:t>Media Unit</w:t>
      </w:r>
      <w:r w:rsidRPr="00C05E7B">
        <w:br/>
        <w:t>The Treasury</w:t>
      </w:r>
      <w:r w:rsidRPr="00C05E7B">
        <w:br/>
        <w:t xml:space="preserve">Langton Crescent </w:t>
      </w:r>
      <w:r w:rsidRPr="00C05E7B">
        <w:br/>
      </w:r>
      <w:proofErr w:type="gramStart"/>
      <w:r w:rsidRPr="00C05E7B">
        <w:t>Parkes  ACT</w:t>
      </w:r>
      <w:proofErr w:type="gramEnd"/>
      <w:r w:rsidRPr="00C05E7B">
        <w:t xml:space="preserve">  2600</w:t>
      </w:r>
      <w:r w:rsidRPr="00C05E7B">
        <w:br/>
        <w:t xml:space="preserve">Email: </w:t>
      </w:r>
      <w:hyperlink r:id="rId13" w:history="1">
        <w:r w:rsidR="00386297" w:rsidRPr="00C05E7B">
          <w:rPr>
            <w:rStyle w:val="Hyperlink"/>
          </w:rPr>
          <w:t>media@treasury.gov.au</w:t>
        </w:r>
      </w:hyperlink>
    </w:p>
    <w:p w14:paraId="766FD86A" w14:textId="77777777" w:rsidR="00F836F9" w:rsidRPr="00C05E7B" w:rsidRDefault="00F836F9" w:rsidP="000E0B74">
      <w:pPr>
        <w:pStyle w:val="Heading1"/>
        <w:sectPr w:rsidR="00F836F9" w:rsidRPr="00C05E7B" w:rsidSect="00A97160">
          <w:headerReference w:type="even" r:id="rId14"/>
          <w:footerReference w:type="default" r:id="rId15"/>
          <w:pgSz w:w="11906" w:h="16838" w:code="9"/>
          <w:pgMar w:top="1843" w:right="1418" w:bottom="1418" w:left="1418" w:header="709" w:footer="709" w:gutter="0"/>
          <w:pgNumType w:fmt="lowerRoman" w:start="0"/>
          <w:cols w:space="708"/>
          <w:titlePg/>
          <w:docGrid w:linePitch="360"/>
        </w:sectPr>
      </w:pPr>
    </w:p>
    <w:p w14:paraId="3BCE4282" w14:textId="77777777" w:rsidR="009E68D4" w:rsidRPr="00C05E7B" w:rsidRDefault="009E68D4">
      <w:pPr>
        <w:pStyle w:val="TOC1"/>
        <w:rPr>
          <w:rFonts w:asciiTheme="minorHAnsi" w:hAnsiTheme="minorHAnsi" w:cstheme="minorHAnsi"/>
          <w:bCs/>
          <w:sz w:val="44"/>
          <w:szCs w:val="44"/>
        </w:rPr>
      </w:pPr>
      <w:r w:rsidRPr="00C05E7B">
        <w:rPr>
          <w:rFonts w:asciiTheme="minorHAnsi" w:hAnsiTheme="minorHAnsi" w:cstheme="minorHAnsi"/>
          <w:bCs/>
          <w:sz w:val="44"/>
          <w:szCs w:val="44"/>
        </w:rPr>
        <w:lastRenderedPageBreak/>
        <w:t>Co</w:t>
      </w:r>
      <w:r w:rsidR="000E0B74" w:rsidRPr="00C05E7B">
        <w:rPr>
          <w:rFonts w:asciiTheme="minorHAnsi" w:hAnsiTheme="minorHAnsi" w:cstheme="minorHAnsi"/>
          <w:bCs/>
          <w:sz w:val="44"/>
          <w:szCs w:val="44"/>
        </w:rPr>
        <w:t>ntents</w:t>
      </w:r>
    </w:p>
    <w:p w14:paraId="2102CBF0" w14:textId="0EFAC4BB" w:rsidR="002A28DE" w:rsidRDefault="000E0B74">
      <w:pPr>
        <w:pStyle w:val="TOC1"/>
        <w:rPr>
          <w:rFonts w:asciiTheme="minorHAnsi" w:eastAsiaTheme="minorEastAsia" w:hAnsiTheme="minorHAnsi" w:cstheme="minorBidi"/>
          <w:b w:val="0"/>
          <w:color w:val="auto"/>
          <w:kern w:val="2"/>
          <w:sz w:val="24"/>
          <w:szCs w:val="24"/>
          <w14:ligatures w14:val="standardContextual"/>
        </w:rPr>
      </w:pPr>
      <w:r w:rsidRPr="00C05E7B">
        <w:rPr>
          <w:rFonts w:ascii="Calibri" w:hAnsi="Calibri" w:cs="Arial"/>
          <w:color w:val="004A7F"/>
          <w:kern w:val="32"/>
          <w:sz w:val="44"/>
        </w:rPr>
        <w:fldChar w:fldCharType="begin"/>
      </w:r>
      <w:r w:rsidRPr="00C05E7B">
        <w:instrText xml:space="preserve"> TOC \o "1-3" \h \z \u </w:instrText>
      </w:r>
      <w:r w:rsidRPr="00C05E7B">
        <w:rPr>
          <w:rFonts w:ascii="Calibri" w:hAnsi="Calibri" w:cs="Arial"/>
          <w:color w:val="004A7F"/>
          <w:kern w:val="32"/>
          <w:sz w:val="44"/>
        </w:rPr>
        <w:fldChar w:fldCharType="separate"/>
      </w:r>
      <w:hyperlink w:anchor="_Toc230360309" w:history="1">
        <w:r w:rsidR="002A28DE" w:rsidRPr="00542931">
          <w:rPr>
            <w:rStyle w:val="Hyperlink"/>
          </w:rPr>
          <w:t>Executive summary</w:t>
        </w:r>
        <w:r w:rsidR="002A28DE">
          <w:rPr>
            <w:webHidden/>
          </w:rPr>
          <w:tab/>
        </w:r>
        <w:r w:rsidR="002A28DE">
          <w:rPr>
            <w:webHidden/>
          </w:rPr>
          <w:fldChar w:fldCharType="begin"/>
        </w:r>
        <w:r w:rsidR="002A28DE">
          <w:rPr>
            <w:webHidden/>
          </w:rPr>
          <w:instrText xml:space="preserve"> PAGEREF _Toc230360309 \h </w:instrText>
        </w:r>
        <w:r w:rsidR="002A28DE">
          <w:rPr>
            <w:webHidden/>
          </w:rPr>
        </w:r>
        <w:r w:rsidR="002A28DE">
          <w:rPr>
            <w:webHidden/>
          </w:rPr>
          <w:fldChar w:fldCharType="separate"/>
        </w:r>
        <w:r w:rsidR="00070A42">
          <w:rPr>
            <w:webHidden/>
          </w:rPr>
          <w:t>1</w:t>
        </w:r>
        <w:r w:rsidR="002A28DE">
          <w:rPr>
            <w:webHidden/>
          </w:rPr>
          <w:fldChar w:fldCharType="end"/>
        </w:r>
      </w:hyperlink>
    </w:p>
    <w:p w14:paraId="03568A30" w14:textId="752E4FDD" w:rsidR="002A28DE" w:rsidRDefault="002A28DE">
      <w:pPr>
        <w:pStyle w:val="TOC1"/>
        <w:rPr>
          <w:rFonts w:asciiTheme="minorHAnsi" w:eastAsiaTheme="minorEastAsia" w:hAnsiTheme="minorHAnsi" w:cstheme="minorBidi"/>
          <w:b w:val="0"/>
          <w:color w:val="auto"/>
          <w:kern w:val="2"/>
          <w:sz w:val="24"/>
          <w:szCs w:val="24"/>
          <w14:ligatures w14:val="standardContextual"/>
        </w:rPr>
      </w:pPr>
      <w:hyperlink w:anchor="_Toc230360310" w:history="1">
        <w:r w:rsidRPr="00542931">
          <w:rPr>
            <w:rStyle w:val="Hyperlink"/>
          </w:rPr>
          <w:t>Background</w:t>
        </w:r>
        <w:r>
          <w:rPr>
            <w:webHidden/>
          </w:rPr>
          <w:tab/>
        </w:r>
        <w:r>
          <w:rPr>
            <w:webHidden/>
          </w:rPr>
          <w:fldChar w:fldCharType="begin"/>
        </w:r>
        <w:r>
          <w:rPr>
            <w:webHidden/>
          </w:rPr>
          <w:instrText xml:space="preserve"> PAGEREF _Toc230360310 \h </w:instrText>
        </w:r>
        <w:r>
          <w:rPr>
            <w:webHidden/>
          </w:rPr>
        </w:r>
        <w:r>
          <w:rPr>
            <w:webHidden/>
          </w:rPr>
          <w:fldChar w:fldCharType="separate"/>
        </w:r>
        <w:r w:rsidR="00070A42">
          <w:rPr>
            <w:webHidden/>
          </w:rPr>
          <w:t>3</w:t>
        </w:r>
        <w:r>
          <w:rPr>
            <w:webHidden/>
          </w:rPr>
          <w:fldChar w:fldCharType="end"/>
        </w:r>
      </w:hyperlink>
    </w:p>
    <w:p w14:paraId="29FFF84E" w14:textId="75C71CF2"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1" w:history="1">
        <w:r w:rsidRPr="00542931">
          <w:rPr>
            <w:rStyle w:val="Hyperlink"/>
            <w:bCs/>
          </w:rPr>
          <w:t>Parties</w:t>
        </w:r>
        <w:r>
          <w:rPr>
            <w:webHidden/>
          </w:rPr>
          <w:tab/>
        </w:r>
        <w:r>
          <w:rPr>
            <w:webHidden/>
          </w:rPr>
          <w:fldChar w:fldCharType="begin"/>
        </w:r>
        <w:r>
          <w:rPr>
            <w:webHidden/>
          </w:rPr>
          <w:instrText xml:space="preserve"> PAGEREF _Toc230360311 \h </w:instrText>
        </w:r>
        <w:r>
          <w:rPr>
            <w:webHidden/>
          </w:rPr>
        </w:r>
        <w:r>
          <w:rPr>
            <w:webHidden/>
          </w:rPr>
          <w:fldChar w:fldCharType="separate"/>
        </w:r>
        <w:r w:rsidR="00070A42">
          <w:rPr>
            <w:webHidden/>
          </w:rPr>
          <w:t>3</w:t>
        </w:r>
        <w:r>
          <w:rPr>
            <w:webHidden/>
          </w:rPr>
          <w:fldChar w:fldCharType="end"/>
        </w:r>
      </w:hyperlink>
    </w:p>
    <w:p w14:paraId="5BE589E6" w14:textId="26CE3AB7"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2" w:history="1">
        <w:r w:rsidRPr="00542931">
          <w:rPr>
            <w:rStyle w:val="Hyperlink"/>
            <w:bCs/>
          </w:rPr>
          <w:t>Complaint and outcomes sought by the notifier</w:t>
        </w:r>
        <w:r>
          <w:rPr>
            <w:webHidden/>
          </w:rPr>
          <w:tab/>
        </w:r>
        <w:r>
          <w:rPr>
            <w:webHidden/>
          </w:rPr>
          <w:fldChar w:fldCharType="begin"/>
        </w:r>
        <w:r>
          <w:rPr>
            <w:webHidden/>
          </w:rPr>
          <w:instrText xml:space="preserve"> PAGEREF _Toc230360312 \h </w:instrText>
        </w:r>
        <w:r>
          <w:rPr>
            <w:webHidden/>
          </w:rPr>
        </w:r>
        <w:r>
          <w:rPr>
            <w:webHidden/>
          </w:rPr>
          <w:fldChar w:fldCharType="separate"/>
        </w:r>
        <w:r w:rsidR="00070A42">
          <w:rPr>
            <w:webHidden/>
          </w:rPr>
          <w:t>3</w:t>
        </w:r>
        <w:r>
          <w:rPr>
            <w:webHidden/>
          </w:rPr>
          <w:fldChar w:fldCharType="end"/>
        </w:r>
      </w:hyperlink>
    </w:p>
    <w:p w14:paraId="0FE813ED" w14:textId="718B9714"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3" w:history="1">
        <w:r w:rsidRPr="00542931">
          <w:rPr>
            <w:rStyle w:val="Hyperlink"/>
            <w:bCs/>
          </w:rPr>
          <w:t>Summary of the enterprises’ position</w:t>
        </w:r>
        <w:r>
          <w:rPr>
            <w:webHidden/>
          </w:rPr>
          <w:tab/>
        </w:r>
        <w:r>
          <w:rPr>
            <w:webHidden/>
          </w:rPr>
          <w:fldChar w:fldCharType="begin"/>
        </w:r>
        <w:r>
          <w:rPr>
            <w:webHidden/>
          </w:rPr>
          <w:instrText xml:space="preserve"> PAGEREF _Toc230360313 \h </w:instrText>
        </w:r>
        <w:r>
          <w:rPr>
            <w:webHidden/>
          </w:rPr>
        </w:r>
        <w:r>
          <w:rPr>
            <w:webHidden/>
          </w:rPr>
          <w:fldChar w:fldCharType="separate"/>
        </w:r>
        <w:r w:rsidR="00070A42">
          <w:rPr>
            <w:webHidden/>
          </w:rPr>
          <w:t>4</w:t>
        </w:r>
        <w:r>
          <w:rPr>
            <w:webHidden/>
          </w:rPr>
          <w:fldChar w:fldCharType="end"/>
        </w:r>
      </w:hyperlink>
    </w:p>
    <w:p w14:paraId="555116A1" w14:textId="2DD73F9A"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4" w:history="1">
        <w:r w:rsidRPr="00542931">
          <w:rPr>
            <w:rStyle w:val="Hyperlink"/>
          </w:rPr>
          <w:t>Notifier’s allegations against non-parties</w:t>
        </w:r>
        <w:r>
          <w:rPr>
            <w:webHidden/>
          </w:rPr>
          <w:tab/>
        </w:r>
        <w:r>
          <w:rPr>
            <w:webHidden/>
          </w:rPr>
          <w:fldChar w:fldCharType="begin"/>
        </w:r>
        <w:r>
          <w:rPr>
            <w:webHidden/>
          </w:rPr>
          <w:instrText xml:space="preserve"> PAGEREF _Toc230360314 \h </w:instrText>
        </w:r>
        <w:r>
          <w:rPr>
            <w:webHidden/>
          </w:rPr>
        </w:r>
        <w:r>
          <w:rPr>
            <w:webHidden/>
          </w:rPr>
          <w:fldChar w:fldCharType="separate"/>
        </w:r>
        <w:r w:rsidR="00070A42">
          <w:rPr>
            <w:webHidden/>
          </w:rPr>
          <w:t>4</w:t>
        </w:r>
        <w:r>
          <w:rPr>
            <w:webHidden/>
          </w:rPr>
          <w:fldChar w:fldCharType="end"/>
        </w:r>
      </w:hyperlink>
    </w:p>
    <w:p w14:paraId="22DE0CC9" w14:textId="3160096E" w:rsidR="002A28DE" w:rsidRDefault="002A28DE">
      <w:pPr>
        <w:pStyle w:val="TOC1"/>
        <w:rPr>
          <w:rFonts w:asciiTheme="minorHAnsi" w:eastAsiaTheme="minorEastAsia" w:hAnsiTheme="minorHAnsi" w:cstheme="minorBidi"/>
          <w:b w:val="0"/>
          <w:color w:val="auto"/>
          <w:kern w:val="2"/>
          <w:sz w:val="24"/>
          <w:szCs w:val="24"/>
          <w14:ligatures w14:val="standardContextual"/>
        </w:rPr>
      </w:pPr>
      <w:hyperlink w:anchor="_Toc230360315" w:history="1">
        <w:r w:rsidRPr="00542931">
          <w:rPr>
            <w:rStyle w:val="Hyperlink"/>
          </w:rPr>
          <w:t>AusNCP proceedings</w:t>
        </w:r>
        <w:r>
          <w:rPr>
            <w:webHidden/>
          </w:rPr>
          <w:tab/>
        </w:r>
        <w:r>
          <w:rPr>
            <w:webHidden/>
          </w:rPr>
          <w:fldChar w:fldCharType="begin"/>
        </w:r>
        <w:r>
          <w:rPr>
            <w:webHidden/>
          </w:rPr>
          <w:instrText xml:space="preserve"> PAGEREF _Toc230360315 \h </w:instrText>
        </w:r>
        <w:r>
          <w:rPr>
            <w:webHidden/>
          </w:rPr>
        </w:r>
        <w:r>
          <w:rPr>
            <w:webHidden/>
          </w:rPr>
          <w:fldChar w:fldCharType="separate"/>
        </w:r>
        <w:r w:rsidR="00070A42">
          <w:rPr>
            <w:webHidden/>
          </w:rPr>
          <w:t>7</w:t>
        </w:r>
        <w:r>
          <w:rPr>
            <w:webHidden/>
          </w:rPr>
          <w:fldChar w:fldCharType="end"/>
        </w:r>
      </w:hyperlink>
    </w:p>
    <w:p w14:paraId="3B9D3CE2" w14:textId="307DA7A8" w:rsidR="002A28DE" w:rsidRDefault="002A28DE">
      <w:pPr>
        <w:pStyle w:val="TOC1"/>
        <w:rPr>
          <w:rFonts w:asciiTheme="minorHAnsi" w:eastAsiaTheme="minorEastAsia" w:hAnsiTheme="minorHAnsi" w:cstheme="minorBidi"/>
          <w:b w:val="0"/>
          <w:color w:val="auto"/>
          <w:kern w:val="2"/>
          <w:sz w:val="24"/>
          <w:szCs w:val="24"/>
          <w14:ligatures w14:val="standardContextual"/>
        </w:rPr>
      </w:pPr>
      <w:hyperlink w:anchor="_Toc230360316" w:history="1">
        <w:r w:rsidRPr="00542931">
          <w:rPr>
            <w:rStyle w:val="Hyperlink"/>
          </w:rPr>
          <w:t>Conclusion</w:t>
        </w:r>
        <w:r>
          <w:rPr>
            <w:webHidden/>
          </w:rPr>
          <w:tab/>
        </w:r>
        <w:r>
          <w:rPr>
            <w:webHidden/>
          </w:rPr>
          <w:fldChar w:fldCharType="begin"/>
        </w:r>
        <w:r>
          <w:rPr>
            <w:webHidden/>
          </w:rPr>
          <w:instrText xml:space="preserve"> PAGEREF _Toc230360316 \h </w:instrText>
        </w:r>
        <w:r>
          <w:rPr>
            <w:webHidden/>
          </w:rPr>
        </w:r>
        <w:r>
          <w:rPr>
            <w:webHidden/>
          </w:rPr>
          <w:fldChar w:fldCharType="separate"/>
        </w:r>
        <w:r w:rsidR="00070A42">
          <w:rPr>
            <w:webHidden/>
          </w:rPr>
          <w:t>10</w:t>
        </w:r>
        <w:r>
          <w:rPr>
            <w:webHidden/>
          </w:rPr>
          <w:fldChar w:fldCharType="end"/>
        </w:r>
      </w:hyperlink>
    </w:p>
    <w:p w14:paraId="1A3576FB" w14:textId="0A3D8790"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7" w:history="1">
        <w:r w:rsidRPr="00542931">
          <w:rPr>
            <w:rStyle w:val="Hyperlink"/>
          </w:rPr>
          <w:t>Observations regarding the complaint</w:t>
        </w:r>
        <w:r>
          <w:rPr>
            <w:webHidden/>
          </w:rPr>
          <w:tab/>
        </w:r>
        <w:r>
          <w:rPr>
            <w:webHidden/>
          </w:rPr>
          <w:fldChar w:fldCharType="begin"/>
        </w:r>
        <w:r>
          <w:rPr>
            <w:webHidden/>
          </w:rPr>
          <w:instrText xml:space="preserve"> PAGEREF _Toc230360317 \h </w:instrText>
        </w:r>
        <w:r>
          <w:rPr>
            <w:webHidden/>
          </w:rPr>
        </w:r>
        <w:r>
          <w:rPr>
            <w:webHidden/>
          </w:rPr>
          <w:fldChar w:fldCharType="separate"/>
        </w:r>
        <w:r w:rsidR="00070A42">
          <w:rPr>
            <w:webHidden/>
          </w:rPr>
          <w:t>10</w:t>
        </w:r>
        <w:r>
          <w:rPr>
            <w:webHidden/>
          </w:rPr>
          <w:fldChar w:fldCharType="end"/>
        </w:r>
      </w:hyperlink>
    </w:p>
    <w:p w14:paraId="10223C99" w14:textId="3C008E1E" w:rsidR="002A28DE" w:rsidRDefault="002A28DE">
      <w:pPr>
        <w:pStyle w:val="TOC1"/>
        <w:rPr>
          <w:rFonts w:asciiTheme="minorHAnsi" w:eastAsiaTheme="minorEastAsia" w:hAnsiTheme="minorHAnsi" w:cstheme="minorBidi"/>
          <w:b w:val="0"/>
          <w:color w:val="auto"/>
          <w:kern w:val="2"/>
          <w:sz w:val="24"/>
          <w:szCs w:val="24"/>
          <w14:ligatures w14:val="standardContextual"/>
        </w:rPr>
      </w:pPr>
      <w:hyperlink w:anchor="_Toc230360318" w:history="1">
        <w:r w:rsidRPr="00542931">
          <w:rPr>
            <w:rStyle w:val="Hyperlink"/>
          </w:rPr>
          <w:t>Annexes</w:t>
        </w:r>
        <w:r>
          <w:rPr>
            <w:webHidden/>
          </w:rPr>
          <w:tab/>
        </w:r>
        <w:r>
          <w:rPr>
            <w:webHidden/>
          </w:rPr>
          <w:fldChar w:fldCharType="begin"/>
        </w:r>
        <w:r>
          <w:rPr>
            <w:webHidden/>
          </w:rPr>
          <w:instrText xml:space="preserve"> PAGEREF _Toc230360318 \h </w:instrText>
        </w:r>
        <w:r>
          <w:rPr>
            <w:webHidden/>
          </w:rPr>
        </w:r>
        <w:r>
          <w:rPr>
            <w:webHidden/>
          </w:rPr>
          <w:fldChar w:fldCharType="separate"/>
        </w:r>
        <w:r w:rsidR="00070A42">
          <w:rPr>
            <w:webHidden/>
          </w:rPr>
          <w:t>15</w:t>
        </w:r>
        <w:r>
          <w:rPr>
            <w:webHidden/>
          </w:rPr>
          <w:fldChar w:fldCharType="end"/>
        </w:r>
      </w:hyperlink>
    </w:p>
    <w:p w14:paraId="0C7B8304" w14:textId="79DFE4EF"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19" w:history="1">
        <w:r w:rsidRPr="00542931">
          <w:rPr>
            <w:rStyle w:val="Hyperlink"/>
          </w:rPr>
          <w:t>Annex A: Extracts from Dow’s communications to the AusNCP</w:t>
        </w:r>
        <w:r>
          <w:rPr>
            <w:webHidden/>
          </w:rPr>
          <w:tab/>
        </w:r>
        <w:r>
          <w:rPr>
            <w:webHidden/>
          </w:rPr>
          <w:fldChar w:fldCharType="begin"/>
        </w:r>
        <w:r>
          <w:rPr>
            <w:webHidden/>
          </w:rPr>
          <w:instrText xml:space="preserve"> PAGEREF _Toc230360319 \h </w:instrText>
        </w:r>
        <w:r>
          <w:rPr>
            <w:webHidden/>
          </w:rPr>
        </w:r>
        <w:r>
          <w:rPr>
            <w:webHidden/>
          </w:rPr>
          <w:fldChar w:fldCharType="separate"/>
        </w:r>
        <w:r w:rsidR="00070A42">
          <w:rPr>
            <w:webHidden/>
          </w:rPr>
          <w:t>15</w:t>
        </w:r>
        <w:r>
          <w:rPr>
            <w:webHidden/>
          </w:rPr>
          <w:fldChar w:fldCharType="end"/>
        </w:r>
      </w:hyperlink>
    </w:p>
    <w:p w14:paraId="795DE43A" w14:textId="51C2DCBD"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20" w:history="1">
        <w:r w:rsidRPr="00542931">
          <w:rPr>
            <w:rStyle w:val="Hyperlink"/>
          </w:rPr>
          <w:t>Annex B: Schedule of events</w:t>
        </w:r>
        <w:r>
          <w:rPr>
            <w:webHidden/>
          </w:rPr>
          <w:tab/>
        </w:r>
        <w:r>
          <w:rPr>
            <w:webHidden/>
          </w:rPr>
          <w:fldChar w:fldCharType="begin"/>
        </w:r>
        <w:r>
          <w:rPr>
            <w:webHidden/>
          </w:rPr>
          <w:instrText xml:space="preserve"> PAGEREF _Toc230360320 \h </w:instrText>
        </w:r>
        <w:r>
          <w:rPr>
            <w:webHidden/>
          </w:rPr>
        </w:r>
        <w:r>
          <w:rPr>
            <w:webHidden/>
          </w:rPr>
          <w:fldChar w:fldCharType="separate"/>
        </w:r>
        <w:r w:rsidR="00070A42">
          <w:rPr>
            <w:webHidden/>
          </w:rPr>
          <w:t>23</w:t>
        </w:r>
        <w:r>
          <w:rPr>
            <w:webHidden/>
          </w:rPr>
          <w:fldChar w:fldCharType="end"/>
        </w:r>
      </w:hyperlink>
    </w:p>
    <w:p w14:paraId="2209729E" w14:textId="49FEC18A"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21" w:history="1">
        <w:r w:rsidRPr="00542931">
          <w:rPr>
            <w:rStyle w:val="Hyperlink"/>
          </w:rPr>
          <w:t>Annex C: Publications and references</w:t>
        </w:r>
        <w:r>
          <w:rPr>
            <w:webHidden/>
          </w:rPr>
          <w:tab/>
        </w:r>
        <w:r>
          <w:rPr>
            <w:webHidden/>
          </w:rPr>
          <w:fldChar w:fldCharType="begin"/>
        </w:r>
        <w:r>
          <w:rPr>
            <w:webHidden/>
          </w:rPr>
          <w:instrText xml:space="preserve"> PAGEREF _Toc230360321 \h </w:instrText>
        </w:r>
        <w:r>
          <w:rPr>
            <w:webHidden/>
          </w:rPr>
        </w:r>
        <w:r>
          <w:rPr>
            <w:webHidden/>
          </w:rPr>
          <w:fldChar w:fldCharType="separate"/>
        </w:r>
        <w:r w:rsidR="00070A42">
          <w:rPr>
            <w:webHidden/>
          </w:rPr>
          <w:t>24</w:t>
        </w:r>
        <w:r>
          <w:rPr>
            <w:webHidden/>
          </w:rPr>
          <w:fldChar w:fldCharType="end"/>
        </w:r>
      </w:hyperlink>
    </w:p>
    <w:p w14:paraId="5F7EE074" w14:textId="1E038996"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22" w:history="1">
        <w:r w:rsidRPr="00542931">
          <w:rPr>
            <w:rStyle w:val="Hyperlink"/>
          </w:rPr>
          <w:t>Annex D: Institutional arrangements</w:t>
        </w:r>
        <w:r>
          <w:rPr>
            <w:webHidden/>
          </w:rPr>
          <w:tab/>
        </w:r>
        <w:r>
          <w:rPr>
            <w:webHidden/>
          </w:rPr>
          <w:fldChar w:fldCharType="begin"/>
        </w:r>
        <w:r>
          <w:rPr>
            <w:webHidden/>
          </w:rPr>
          <w:instrText xml:space="preserve"> PAGEREF _Toc230360322 \h </w:instrText>
        </w:r>
        <w:r>
          <w:rPr>
            <w:webHidden/>
          </w:rPr>
        </w:r>
        <w:r>
          <w:rPr>
            <w:webHidden/>
          </w:rPr>
          <w:fldChar w:fldCharType="separate"/>
        </w:r>
        <w:r w:rsidR="00070A42">
          <w:rPr>
            <w:webHidden/>
          </w:rPr>
          <w:t>26</w:t>
        </w:r>
        <w:r>
          <w:rPr>
            <w:webHidden/>
          </w:rPr>
          <w:fldChar w:fldCharType="end"/>
        </w:r>
      </w:hyperlink>
    </w:p>
    <w:p w14:paraId="21759FCE" w14:textId="16D76022" w:rsidR="002A28DE" w:rsidRDefault="002A28DE">
      <w:pPr>
        <w:pStyle w:val="TOC2"/>
        <w:rPr>
          <w:rFonts w:asciiTheme="minorHAnsi" w:eastAsiaTheme="minorEastAsia" w:hAnsiTheme="minorHAnsi" w:cstheme="minorBidi"/>
          <w:color w:val="auto"/>
          <w:kern w:val="2"/>
          <w:sz w:val="24"/>
          <w:szCs w:val="24"/>
          <w14:ligatures w14:val="standardContextual"/>
        </w:rPr>
      </w:pPr>
      <w:hyperlink w:anchor="_Toc230360323" w:history="1">
        <w:r w:rsidRPr="00542931">
          <w:rPr>
            <w:rStyle w:val="Hyperlink"/>
          </w:rPr>
          <w:t>Annex E: Governance</w:t>
        </w:r>
        <w:r>
          <w:rPr>
            <w:webHidden/>
          </w:rPr>
          <w:tab/>
        </w:r>
        <w:r>
          <w:rPr>
            <w:webHidden/>
          </w:rPr>
          <w:fldChar w:fldCharType="begin"/>
        </w:r>
        <w:r>
          <w:rPr>
            <w:webHidden/>
          </w:rPr>
          <w:instrText xml:space="preserve"> PAGEREF _Toc230360323 \h </w:instrText>
        </w:r>
        <w:r>
          <w:rPr>
            <w:webHidden/>
          </w:rPr>
        </w:r>
        <w:r>
          <w:rPr>
            <w:webHidden/>
          </w:rPr>
          <w:fldChar w:fldCharType="separate"/>
        </w:r>
        <w:r w:rsidR="00070A42">
          <w:rPr>
            <w:webHidden/>
          </w:rPr>
          <w:t>27</w:t>
        </w:r>
        <w:r>
          <w:rPr>
            <w:webHidden/>
          </w:rPr>
          <w:fldChar w:fldCharType="end"/>
        </w:r>
      </w:hyperlink>
    </w:p>
    <w:p w14:paraId="04EFE511" w14:textId="38805743" w:rsidR="005C7F1C" w:rsidRPr="001349F4" w:rsidRDefault="000E0B74" w:rsidP="005C7F1C">
      <w:pPr>
        <w:pStyle w:val="SingleParagraph"/>
        <w:ind w:right="-2"/>
        <w:sectPr w:rsidR="005C7F1C" w:rsidRPr="001349F4" w:rsidSect="005C7F1C">
          <w:headerReference w:type="even" r:id="rId16"/>
          <w:headerReference w:type="default" r:id="rId17"/>
          <w:footerReference w:type="even" r:id="rId18"/>
          <w:footerReference w:type="default" r:id="rId19"/>
          <w:headerReference w:type="first" r:id="rId20"/>
          <w:footerReference w:type="first" r:id="rId21"/>
          <w:pgSz w:w="11906" w:h="16838" w:code="9"/>
          <w:pgMar w:top="1843" w:right="1417" w:bottom="1417" w:left="1417" w:header="709" w:footer="709" w:gutter="0"/>
          <w:cols w:space="708"/>
          <w:docGrid w:linePitch="360"/>
        </w:sectPr>
      </w:pPr>
      <w:r w:rsidRPr="00C05E7B">
        <w:fldChar w:fldCharType="end"/>
      </w:r>
      <w:bookmarkStart w:id="2" w:name="_Toc432067103"/>
      <w:bookmarkStart w:id="3" w:name="_Toc452635030"/>
    </w:p>
    <w:p w14:paraId="1436AABB" w14:textId="77777777" w:rsidR="005871C7" w:rsidRPr="00C05E7B" w:rsidRDefault="005871C7" w:rsidP="005871C7">
      <w:pPr>
        <w:pStyle w:val="Heading1"/>
      </w:pPr>
      <w:bookmarkStart w:id="4" w:name="_Toc116382007"/>
      <w:bookmarkStart w:id="5" w:name="_Toc211334196"/>
      <w:bookmarkStart w:id="6" w:name="_Toc219735239"/>
      <w:bookmarkStart w:id="7" w:name="_Toc230360309"/>
      <w:bookmarkStart w:id="8" w:name="_Hlk124326513"/>
      <w:bookmarkEnd w:id="2"/>
      <w:bookmarkEnd w:id="3"/>
      <w:r w:rsidRPr="00C05E7B">
        <w:lastRenderedPageBreak/>
        <w:t xml:space="preserve">Executive </w:t>
      </w:r>
      <w:r w:rsidR="009B382A" w:rsidRPr="00C05E7B">
        <w:t>s</w:t>
      </w:r>
      <w:r w:rsidRPr="00C05E7B">
        <w:t>ummary</w:t>
      </w:r>
      <w:bookmarkEnd w:id="4"/>
      <w:bookmarkEnd w:id="5"/>
      <w:bookmarkEnd w:id="6"/>
      <w:bookmarkEnd w:id="7"/>
    </w:p>
    <w:p w14:paraId="01FBB0F1" w14:textId="2B3CFF61" w:rsidR="00E60ECE" w:rsidRPr="00C05E7B" w:rsidRDefault="007E59D7" w:rsidP="008F09C0">
      <w:pPr>
        <w:pStyle w:val="OutlineNumbered1"/>
      </w:pPr>
      <w:r w:rsidRPr="00C05E7B">
        <w:t>In May 2025</w:t>
      </w:r>
      <w:r w:rsidR="005871C7" w:rsidRPr="00C05E7B">
        <w:t xml:space="preserve">, </w:t>
      </w:r>
      <w:r w:rsidR="00052543" w:rsidRPr="00C05E7B">
        <w:t>Ms D Stevens (</w:t>
      </w:r>
      <w:r w:rsidR="0030231F" w:rsidRPr="00C05E7B">
        <w:rPr>
          <w:b/>
          <w:bCs/>
        </w:rPr>
        <w:t xml:space="preserve">the </w:t>
      </w:r>
      <w:r w:rsidR="00853A3E">
        <w:rPr>
          <w:b/>
          <w:bCs/>
        </w:rPr>
        <w:t>n</w:t>
      </w:r>
      <w:r w:rsidR="0030231F" w:rsidRPr="00C05E7B">
        <w:rPr>
          <w:b/>
          <w:bCs/>
        </w:rPr>
        <w:t>otifier</w:t>
      </w:r>
      <w:r w:rsidR="00052543" w:rsidRPr="00C05E7B">
        <w:t xml:space="preserve">) </w:t>
      </w:r>
      <w:r w:rsidR="001E01A1">
        <w:t>submitted a complaint</w:t>
      </w:r>
      <w:r w:rsidR="00052543" w:rsidRPr="00C05E7B">
        <w:t xml:space="preserve"> to </w:t>
      </w:r>
      <w:r w:rsidR="005871C7" w:rsidRPr="00C05E7B">
        <w:t xml:space="preserve">the Australian National Contact Point </w:t>
      </w:r>
      <w:r w:rsidR="00971754" w:rsidRPr="00C05E7B">
        <w:t xml:space="preserve">for </w:t>
      </w:r>
      <w:r w:rsidR="00FC6057" w:rsidRPr="00C05E7B">
        <w:t>R</w:t>
      </w:r>
      <w:r w:rsidR="00971754" w:rsidRPr="00C05E7B">
        <w:t>esponsi</w:t>
      </w:r>
      <w:r w:rsidR="00DA5ACD" w:rsidRPr="00C05E7B">
        <w:t>b</w:t>
      </w:r>
      <w:r w:rsidR="00971754" w:rsidRPr="00C05E7B">
        <w:t>le Busine</w:t>
      </w:r>
      <w:r w:rsidR="00FC6057" w:rsidRPr="00C05E7B">
        <w:t>s</w:t>
      </w:r>
      <w:r w:rsidR="00971754" w:rsidRPr="00C05E7B">
        <w:t xml:space="preserve">s Conduct </w:t>
      </w:r>
      <w:r w:rsidR="005871C7" w:rsidRPr="00C05E7B">
        <w:t>(</w:t>
      </w:r>
      <w:r w:rsidR="005871C7" w:rsidRPr="00C05E7B">
        <w:rPr>
          <w:b/>
          <w:bCs/>
        </w:rPr>
        <w:t>AusNCP</w:t>
      </w:r>
      <w:r w:rsidR="005871C7" w:rsidRPr="00C05E7B">
        <w:t xml:space="preserve">) </w:t>
      </w:r>
      <w:r w:rsidR="006E7D14" w:rsidRPr="00C05E7B">
        <w:t>about</w:t>
      </w:r>
      <w:r w:rsidR="00D609D4" w:rsidRPr="00C05E7B">
        <w:t xml:space="preserve"> Dow Inc</w:t>
      </w:r>
      <w:r w:rsidR="00292900">
        <w:t>.</w:t>
      </w:r>
      <w:r w:rsidR="00E3561C" w:rsidRPr="00C05E7B">
        <w:t xml:space="preserve"> (</w:t>
      </w:r>
      <w:r w:rsidR="00E3561C" w:rsidRPr="00C05E7B">
        <w:rPr>
          <w:b/>
          <w:bCs/>
        </w:rPr>
        <w:t>Dow</w:t>
      </w:r>
      <w:r w:rsidR="00E3561C" w:rsidRPr="00C05E7B">
        <w:t>)</w:t>
      </w:r>
      <w:r w:rsidR="00D609D4" w:rsidRPr="00C05E7B">
        <w:t xml:space="preserve"> and Bayer AG</w:t>
      </w:r>
      <w:r w:rsidR="00E5122D" w:rsidRPr="00C05E7B">
        <w:t xml:space="preserve"> (</w:t>
      </w:r>
      <w:r w:rsidR="00E5122D" w:rsidRPr="00C05E7B">
        <w:rPr>
          <w:b/>
          <w:bCs/>
        </w:rPr>
        <w:t>Bayer</w:t>
      </w:r>
      <w:r w:rsidR="00E5122D" w:rsidRPr="00C05E7B">
        <w:t>)</w:t>
      </w:r>
      <w:r w:rsidR="00D609D4" w:rsidRPr="00C05E7B">
        <w:t xml:space="preserve"> (</w:t>
      </w:r>
      <w:r w:rsidR="0030231F" w:rsidRPr="00C05E7B">
        <w:rPr>
          <w:b/>
          <w:bCs/>
        </w:rPr>
        <w:t>the</w:t>
      </w:r>
      <w:r w:rsidR="006D2DC9">
        <w:rPr>
          <w:b/>
          <w:bCs/>
        </w:rPr>
        <w:t> </w:t>
      </w:r>
      <w:r w:rsidR="00A0040C" w:rsidRPr="00C05E7B">
        <w:rPr>
          <w:b/>
          <w:bCs/>
        </w:rPr>
        <w:t>e</w:t>
      </w:r>
      <w:r w:rsidR="0030231F" w:rsidRPr="00C05E7B">
        <w:rPr>
          <w:b/>
          <w:bCs/>
        </w:rPr>
        <w:t>nterprises</w:t>
      </w:r>
      <w:r w:rsidR="005871C7" w:rsidRPr="00C05E7B">
        <w:t>)</w:t>
      </w:r>
      <w:r w:rsidRPr="00C05E7B">
        <w:t xml:space="preserve">. </w:t>
      </w:r>
      <w:r w:rsidR="00E60ECE" w:rsidRPr="00C05E7B">
        <w:t xml:space="preserve">The complaint alleged </w:t>
      </w:r>
      <w:r w:rsidR="00A0040C" w:rsidRPr="00C05E7B">
        <w:t xml:space="preserve">that </w:t>
      </w:r>
      <w:r w:rsidR="00E60ECE" w:rsidRPr="00C05E7B">
        <w:t>Dow</w:t>
      </w:r>
      <w:r w:rsidR="008947C6">
        <w:t>,</w:t>
      </w:r>
      <w:r w:rsidR="00E60ECE" w:rsidRPr="00C05E7B">
        <w:t xml:space="preserve"> and Bayer</w:t>
      </w:r>
      <w:r w:rsidR="00DA6495">
        <w:t xml:space="preserve"> via it</w:t>
      </w:r>
      <w:r w:rsidR="008721BF" w:rsidRPr="00C05E7B">
        <w:t>s</w:t>
      </w:r>
      <w:r w:rsidR="00E60ECE" w:rsidRPr="00C05E7B">
        <w:t xml:space="preserve"> </w:t>
      </w:r>
      <w:r w:rsidR="00392CDA">
        <w:t xml:space="preserve">2018 </w:t>
      </w:r>
      <w:r w:rsidR="00E60ECE" w:rsidRPr="00C05E7B">
        <w:t>acquisition of</w:t>
      </w:r>
      <w:r w:rsidR="00870E04">
        <w:t xml:space="preserve"> the</w:t>
      </w:r>
      <w:r w:rsidR="00E60ECE" w:rsidRPr="00C05E7B">
        <w:t xml:space="preserve"> Monsanto</w:t>
      </w:r>
      <w:r w:rsidR="00870E04">
        <w:t xml:space="preserve"> Company</w:t>
      </w:r>
      <w:r w:rsidR="0077754D">
        <w:t xml:space="preserve"> (</w:t>
      </w:r>
      <w:r w:rsidR="0077754D">
        <w:rPr>
          <w:b/>
          <w:bCs/>
        </w:rPr>
        <w:t>Monsanto</w:t>
      </w:r>
      <w:r w:rsidR="0077754D">
        <w:t>)</w:t>
      </w:r>
      <w:r w:rsidR="005511AD">
        <w:t>,</w:t>
      </w:r>
      <w:r w:rsidR="00E60ECE" w:rsidRPr="00C05E7B">
        <w:t xml:space="preserve"> breached the </w:t>
      </w:r>
      <w:r w:rsidR="00E60ECE" w:rsidRPr="008F09C0">
        <w:t>OECD Guidelines for Multinational Enterprises</w:t>
      </w:r>
      <w:r w:rsidR="00852E46" w:rsidRPr="00C05E7B">
        <w:t xml:space="preserve"> on Responsible Business Conduct</w:t>
      </w:r>
      <w:r w:rsidR="00E60ECE" w:rsidRPr="00C05E7B">
        <w:t xml:space="preserve"> (</w:t>
      </w:r>
      <w:r w:rsidR="00852E46" w:rsidRPr="00C05E7B">
        <w:rPr>
          <w:b/>
          <w:bCs/>
        </w:rPr>
        <w:t xml:space="preserve">OECD </w:t>
      </w:r>
      <w:r w:rsidR="00E60ECE" w:rsidRPr="00C05E7B">
        <w:rPr>
          <w:b/>
          <w:bCs/>
        </w:rPr>
        <w:t>Guidelines</w:t>
      </w:r>
      <w:r w:rsidR="00E60ECE" w:rsidRPr="00C05E7B">
        <w:t>)</w:t>
      </w:r>
      <w:r w:rsidR="00657D85">
        <w:rPr>
          <w:rStyle w:val="FootnoteReference"/>
        </w:rPr>
        <w:footnoteReference w:id="1"/>
      </w:r>
      <w:r w:rsidR="00E60ECE" w:rsidRPr="00C05E7B">
        <w:t xml:space="preserve"> in their historical production of </w:t>
      </w:r>
      <w:r w:rsidR="00834721" w:rsidRPr="00C05E7B">
        <w:t xml:space="preserve">the defoliant </w:t>
      </w:r>
      <w:r w:rsidR="00E60ECE" w:rsidRPr="00C05E7B">
        <w:t>Agent</w:t>
      </w:r>
      <w:r w:rsidR="003056CB" w:rsidRPr="00C05E7B">
        <w:t> </w:t>
      </w:r>
      <w:r w:rsidR="00E60ECE" w:rsidRPr="00C05E7B">
        <w:t>Orange</w:t>
      </w:r>
      <w:r w:rsidR="00F77DAD" w:rsidRPr="00C05E7B">
        <w:t>,</w:t>
      </w:r>
      <w:r w:rsidR="00E60ECE" w:rsidRPr="00C05E7B">
        <w:t xml:space="preserve"> </w:t>
      </w:r>
      <w:r w:rsidR="00F532C7" w:rsidRPr="00C05E7B">
        <w:t xml:space="preserve">their </w:t>
      </w:r>
      <w:r w:rsidR="003056CB" w:rsidRPr="00C05E7B">
        <w:t xml:space="preserve">supply </w:t>
      </w:r>
      <w:r w:rsidR="00F532C7" w:rsidRPr="00C05E7B">
        <w:t xml:space="preserve">of it </w:t>
      </w:r>
      <w:r w:rsidR="00E60ECE" w:rsidRPr="00C05E7B">
        <w:t>for military use in Vietnam</w:t>
      </w:r>
      <w:r w:rsidR="00413ABD" w:rsidRPr="00C05E7B">
        <w:t xml:space="preserve"> in the late 1960s</w:t>
      </w:r>
      <w:r w:rsidR="000E7B9A" w:rsidRPr="00C05E7B">
        <w:t>,</w:t>
      </w:r>
      <w:r w:rsidR="00E60ECE" w:rsidRPr="00C05E7B">
        <w:t xml:space="preserve"> and </w:t>
      </w:r>
      <w:r w:rsidR="00F532C7" w:rsidRPr="00C05E7B">
        <w:t>their</w:t>
      </w:r>
      <w:r w:rsidR="00E60ECE" w:rsidRPr="00C05E7B">
        <w:t xml:space="preserve"> conduct since that supply. Ms</w:t>
      </w:r>
      <w:r w:rsidR="00392CDA">
        <w:t> </w:t>
      </w:r>
      <w:r w:rsidR="00E60ECE" w:rsidRPr="00C05E7B">
        <w:t>Stevens told the AusNCP</w:t>
      </w:r>
      <w:r w:rsidR="00392CDA">
        <w:t xml:space="preserve"> that</w:t>
      </w:r>
      <w:r w:rsidR="00E60ECE" w:rsidRPr="00C05E7B">
        <w:t xml:space="preserve"> she is the daughter of a military veteran </w:t>
      </w:r>
      <w:r w:rsidR="4C8C275A" w:rsidRPr="00C05E7B">
        <w:t>who</w:t>
      </w:r>
      <w:r w:rsidR="00585D0D" w:rsidRPr="00C05E7B">
        <w:t xml:space="preserve"> was </w:t>
      </w:r>
      <w:r w:rsidR="00E60ECE" w:rsidRPr="00C05E7B">
        <w:t xml:space="preserve">exposed to Agent Orange in Vietnam and that </w:t>
      </w:r>
      <w:r w:rsidR="00AD1C4B" w:rsidRPr="00C05E7B">
        <w:t xml:space="preserve">she </w:t>
      </w:r>
      <w:r w:rsidR="00E60ECE" w:rsidRPr="00C05E7B">
        <w:t xml:space="preserve">suffered impacts </w:t>
      </w:r>
      <w:r w:rsidR="00582FE0" w:rsidRPr="00C05E7B">
        <w:t>due to</w:t>
      </w:r>
      <w:r w:rsidR="00E60ECE" w:rsidRPr="00C05E7B">
        <w:t xml:space="preserve"> this.</w:t>
      </w:r>
    </w:p>
    <w:p w14:paraId="14134519" w14:textId="22381DC6" w:rsidR="00CB4D04" w:rsidRPr="00C05E7B" w:rsidRDefault="003A46EE" w:rsidP="0089682A">
      <w:pPr>
        <w:pStyle w:val="OutlineNumbered1"/>
      </w:pPr>
      <w:r w:rsidRPr="00C05E7B">
        <w:t>I</w:t>
      </w:r>
      <w:r w:rsidR="00F47422" w:rsidRPr="00C05E7B">
        <w:t xml:space="preserve">nquiries with </w:t>
      </w:r>
      <w:r w:rsidR="44AE3593" w:rsidRPr="00C05E7B">
        <w:t>Ms Stevens</w:t>
      </w:r>
      <w:r w:rsidR="00F716A7" w:rsidRPr="00C05E7B">
        <w:t xml:space="preserve"> and </w:t>
      </w:r>
      <w:r w:rsidR="007E0672" w:rsidRPr="00C05E7B">
        <w:t xml:space="preserve">the </w:t>
      </w:r>
      <w:r w:rsidR="00ED6A1D" w:rsidRPr="00C05E7B">
        <w:t>e</w:t>
      </w:r>
      <w:r w:rsidR="007E0672" w:rsidRPr="00C05E7B">
        <w:t>nterprises</w:t>
      </w:r>
      <w:r w:rsidR="00F716A7" w:rsidRPr="00C05E7B">
        <w:t xml:space="preserve"> (</w:t>
      </w:r>
      <w:r w:rsidR="00F716A7" w:rsidRPr="00C05E7B">
        <w:rPr>
          <w:b/>
          <w:bCs/>
        </w:rPr>
        <w:t>the</w:t>
      </w:r>
      <w:r w:rsidR="00F47422" w:rsidRPr="00C05E7B">
        <w:rPr>
          <w:b/>
          <w:bCs/>
        </w:rPr>
        <w:t xml:space="preserve"> </w:t>
      </w:r>
      <w:r w:rsidR="00ED6A1D" w:rsidRPr="00C05E7B">
        <w:rPr>
          <w:b/>
          <w:bCs/>
        </w:rPr>
        <w:t>p</w:t>
      </w:r>
      <w:r w:rsidR="00710174" w:rsidRPr="00C05E7B">
        <w:rPr>
          <w:b/>
          <w:bCs/>
        </w:rPr>
        <w:t>arties</w:t>
      </w:r>
      <w:r w:rsidR="00F716A7" w:rsidRPr="00C05E7B">
        <w:t>)</w:t>
      </w:r>
      <w:r w:rsidR="004C6993" w:rsidRPr="00C05E7B">
        <w:t>,</w:t>
      </w:r>
      <w:r w:rsidR="00F47422" w:rsidRPr="00C05E7B">
        <w:t xml:space="preserve"> </w:t>
      </w:r>
      <w:r w:rsidR="004A73BA" w:rsidRPr="00C05E7B">
        <w:t xml:space="preserve">as well as </w:t>
      </w:r>
      <w:r w:rsidR="00F47422" w:rsidRPr="00C05E7B">
        <w:t>other National Contact Points (</w:t>
      </w:r>
      <w:r w:rsidR="00F47422" w:rsidRPr="00C05E7B">
        <w:rPr>
          <w:b/>
          <w:bCs/>
        </w:rPr>
        <w:t>NCP</w:t>
      </w:r>
      <w:r w:rsidR="00F47422" w:rsidRPr="000B2522">
        <w:rPr>
          <w:b/>
          <w:bCs/>
        </w:rPr>
        <w:t>s</w:t>
      </w:r>
      <w:r w:rsidR="00F47422" w:rsidRPr="00C05E7B">
        <w:t>)</w:t>
      </w:r>
      <w:r w:rsidR="004A73BA" w:rsidRPr="00C05E7B">
        <w:t>,</w:t>
      </w:r>
      <w:r w:rsidR="00F716A7" w:rsidRPr="00C05E7B">
        <w:t xml:space="preserve"> indicated</w:t>
      </w:r>
      <w:r w:rsidR="00024DA2" w:rsidRPr="00C05E7B">
        <w:t xml:space="preserve"> that</w:t>
      </w:r>
      <w:r w:rsidR="00963C35" w:rsidRPr="00C05E7B">
        <w:t xml:space="preserve">, although </w:t>
      </w:r>
      <w:r w:rsidR="007E0672" w:rsidRPr="00C05E7B">
        <w:t xml:space="preserve">the </w:t>
      </w:r>
      <w:r w:rsidR="00D83FAA" w:rsidRPr="00C05E7B">
        <w:t>e</w:t>
      </w:r>
      <w:r w:rsidR="007E0672" w:rsidRPr="00C05E7B">
        <w:t>nterprises</w:t>
      </w:r>
      <w:r w:rsidR="00963C35" w:rsidRPr="00C05E7B">
        <w:t xml:space="preserve"> had Australian subsidiaries,</w:t>
      </w:r>
      <w:r w:rsidR="00F47422" w:rsidRPr="00C05E7B">
        <w:t xml:space="preserve"> </w:t>
      </w:r>
      <w:r w:rsidR="00CC1BAA" w:rsidRPr="00C05E7B">
        <w:t>issues in the complaint rel</w:t>
      </w:r>
      <w:r w:rsidR="00E31A66" w:rsidRPr="00C05E7B">
        <w:t>evant</w:t>
      </w:r>
      <w:r w:rsidR="00CC1BAA" w:rsidRPr="00C05E7B">
        <w:t xml:space="preserve"> to the </w:t>
      </w:r>
      <w:r w:rsidR="00D83FAA" w:rsidRPr="00C05E7B">
        <w:t xml:space="preserve">OECD </w:t>
      </w:r>
      <w:r w:rsidR="00F47422" w:rsidRPr="00C05E7B">
        <w:t xml:space="preserve">Guidelines </w:t>
      </w:r>
      <w:r w:rsidR="00B91EB5" w:rsidRPr="00C05E7B">
        <w:t>concerned</w:t>
      </w:r>
      <w:r w:rsidR="00F47422" w:rsidRPr="00C05E7B">
        <w:t xml:space="preserve"> actions and decisions </w:t>
      </w:r>
      <w:r w:rsidR="00C936DE" w:rsidRPr="00C05E7B">
        <w:t xml:space="preserve">taken </w:t>
      </w:r>
      <w:r w:rsidR="00F47422" w:rsidRPr="00C05E7B">
        <w:t>in the United States</w:t>
      </w:r>
      <w:r w:rsidR="002327CF" w:rsidRPr="00C05E7B">
        <w:t xml:space="preserve"> (</w:t>
      </w:r>
      <w:r w:rsidR="002327CF" w:rsidRPr="008F09C0">
        <w:rPr>
          <w:b/>
        </w:rPr>
        <w:t>US</w:t>
      </w:r>
      <w:r w:rsidR="6C38F810" w:rsidRPr="00C05E7B">
        <w:t>)</w:t>
      </w:r>
      <w:r w:rsidR="16CD09CE" w:rsidRPr="00C05E7B">
        <w:t>.</w:t>
      </w:r>
      <w:r w:rsidR="00B91EB5" w:rsidRPr="00C05E7B">
        <w:t xml:space="preserve"> </w:t>
      </w:r>
      <w:r w:rsidR="003B7A5C" w:rsidRPr="00C05E7B">
        <w:t xml:space="preserve">As a result, the AusNCP Independent Examiner proposed </w:t>
      </w:r>
      <w:r w:rsidR="00F47422" w:rsidRPr="00C05E7B">
        <w:t>transferr</w:t>
      </w:r>
      <w:r w:rsidR="00C449AB" w:rsidRPr="00C05E7B">
        <w:t xml:space="preserve">ing the </w:t>
      </w:r>
      <w:r w:rsidR="0A337C03" w:rsidRPr="00C05E7B">
        <w:t>complaint</w:t>
      </w:r>
      <w:r w:rsidR="00F47422" w:rsidRPr="00C05E7B">
        <w:t xml:space="preserve"> to the US NCP</w:t>
      </w:r>
      <w:r w:rsidR="00480B8E" w:rsidRPr="00C05E7B">
        <w:t xml:space="preserve">, </w:t>
      </w:r>
      <w:r w:rsidR="00AD025A" w:rsidRPr="00C05E7B">
        <w:t>in accordance with the</w:t>
      </w:r>
      <w:r w:rsidR="00780051">
        <w:t xml:space="preserve"> OECD</w:t>
      </w:r>
      <w:r w:rsidR="00AD025A" w:rsidRPr="00C05E7B">
        <w:t xml:space="preserve"> Guidelines’ expectation that the NCP of the country in which the issues have arisen </w:t>
      </w:r>
      <w:r w:rsidR="009F2185" w:rsidRPr="00C05E7B">
        <w:t xml:space="preserve">will </w:t>
      </w:r>
      <w:r w:rsidR="0026710F" w:rsidRPr="00C05E7B">
        <w:t xml:space="preserve">generally </w:t>
      </w:r>
      <w:r w:rsidR="00AD025A" w:rsidRPr="00C05E7B">
        <w:t>be the lead NCP.</w:t>
      </w:r>
      <w:r w:rsidR="00CA7773">
        <w:rPr>
          <w:rStyle w:val="FootnoteReference"/>
        </w:rPr>
        <w:footnoteReference w:id="2"/>
      </w:r>
    </w:p>
    <w:p w14:paraId="780383BF" w14:textId="2CDAE27C" w:rsidR="00C861C2" w:rsidRPr="00C05E7B" w:rsidRDefault="00C861C2" w:rsidP="0089682A">
      <w:pPr>
        <w:pStyle w:val="OutlineNumbered1"/>
      </w:pPr>
      <w:r w:rsidRPr="00C05E7B">
        <w:t xml:space="preserve">In July 2025, Ms Stevens indicated </w:t>
      </w:r>
      <w:r w:rsidR="0090540F">
        <w:t xml:space="preserve">that </w:t>
      </w:r>
      <w:r w:rsidRPr="00C05E7B">
        <w:t>she no longer wanted the AusNCP to continue dealing with the complaint. Under the AusNCP</w:t>
      </w:r>
      <w:r w:rsidR="00D26404" w:rsidRPr="00C05E7B">
        <w:t xml:space="preserve"> </w:t>
      </w:r>
      <w:r w:rsidR="00EB7216" w:rsidRPr="00C05E7B">
        <w:t>c</w:t>
      </w:r>
      <w:r w:rsidR="00D26404" w:rsidRPr="00C05E7B">
        <w:t xml:space="preserve">omplaint </w:t>
      </w:r>
      <w:r w:rsidR="00EB7216" w:rsidRPr="00C05E7B">
        <w:t>p</w:t>
      </w:r>
      <w:r w:rsidR="00D26404" w:rsidRPr="00C05E7B">
        <w:t>rocedures</w:t>
      </w:r>
      <w:r w:rsidRPr="00C05E7B">
        <w:t>, this meant the complaint was being withdrawn and</w:t>
      </w:r>
      <w:r w:rsidR="00C91255">
        <w:t xml:space="preserve"> that</w:t>
      </w:r>
      <w:r w:rsidRPr="00C05E7B">
        <w:t xml:space="preserve"> the AusNCP must publish a </w:t>
      </w:r>
      <w:r w:rsidR="005B67DA">
        <w:t>F</w:t>
      </w:r>
      <w:r w:rsidRPr="00C05E7B">
        <w:t xml:space="preserve">inal </w:t>
      </w:r>
      <w:r w:rsidR="005B67DA">
        <w:t>S</w:t>
      </w:r>
      <w:r w:rsidRPr="00C05E7B">
        <w:t>tatement acknowledging this withdrawal.</w:t>
      </w:r>
      <w:r w:rsidR="0016321C">
        <w:rPr>
          <w:rStyle w:val="FootnoteReference"/>
        </w:rPr>
        <w:footnoteReference w:id="3"/>
      </w:r>
    </w:p>
    <w:p w14:paraId="09BF9F46" w14:textId="0176A7FB" w:rsidR="000E7B9A" w:rsidRPr="00C05E7B" w:rsidRDefault="00F47422" w:rsidP="0089682A">
      <w:pPr>
        <w:pStyle w:val="OutlineNumbered1"/>
      </w:pPr>
      <w:r w:rsidRPr="00C05E7B">
        <w:t xml:space="preserve">During the </w:t>
      </w:r>
      <w:r w:rsidR="005B67DA">
        <w:t>Independent Examiner’s</w:t>
      </w:r>
      <w:r w:rsidRPr="00C05E7B">
        <w:t xml:space="preserve"> contact with Ms Stevens, she </w:t>
      </w:r>
      <w:r w:rsidR="00F81FE0" w:rsidRPr="00C05E7B">
        <w:t xml:space="preserve">made </w:t>
      </w:r>
      <w:r w:rsidRPr="00C05E7B">
        <w:t xml:space="preserve">allegations </w:t>
      </w:r>
      <w:r w:rsidRPr="00C05E7B" w:rsidDel="00415B4B">
        <w:t>about</w:t>
      </w:r>
      <w:r w:rsidRPr="00C05E7B" w:rsidDel="00382704">
        <w:t xml:space="preserve"> various </w:t>
      </w:r>
      <w:r w:rsidRPr="00C05E7B">
        <w:t>governments</w:t>
      </w:r>
      <w:r w:rsidRPr="00C05E7B" w:rsidDel="00382704">
        <w:t>, the AusNCP</w:t>
      </w:r>
      <w:r w:rsidR="0077754D">
        <w:t>,</w:t>
      </w:r>
      <w:r w:rsidR="00FA374F" w:rsidRPr="00C05E7B" w:rsidDel="00382704">
        <w:t xml:space="preserve"> and</w:t>
      </w:r>
      <w:r w:rsidRPr="00C05E7B" w:rsidDel="00382704">
        <w:t xml:space="preserve"> other </w:t>
      </w:r>
      <w:r w:rsidRPr="00C05E7B">
        <w:t xml:space="preserve">NCPs. </w:t>
      </w:r>
      <w:r w:rsidR="00DB6050" w:rsidRPr="00C05E7B">
        <w:t xml:space="preserve">This included allegations of conflict of interest and improper conduct, among others. </w:t>
      </w:r>
    </w:p>
    <w:p w14:paraId="5B731355" w14:textId="2A43E547" w:rsidR="00F47422" w:rsidRPr="00C05E7B" w:rsidRDefault="006D2E10" w:rsidP="0089682A">
      <w:pPr>
        <w:pStyle w:val="OutlineNumbered1"/>
      </w:pPr>
      <w:r w:rsidRPr="00C05E7B">
        <w:t>G</w:t>
      </w:r>
      <w:r w:rsidR="00F47422" w:rsidRPr="00C05E7B">
        <w:t xml:space="preserve">iven </w:t>
      </w:r>
      <w:r w:rsidR="009C631E" w:rsidRPr="00C05E7B">
        <w:t>th</w:t>
      </w:r>
      <w:r w:rsidR="00332FB0" w:rsidRPr="00C05E7B">
        <w:t>ese</w:t>
      </w:r>
      <w:r w:rsidR="00B72CFA" w:rsidRPr="00C05E7B">
        <w:t xml:space="preserve"> allegations</w:t>
      </w:r>
      <w:r w:rsidR="00F47422" w:rsidRPr="00C05E7B">
        <w:t xml:space="preserve">, it is relevant to </w:t>
      </w:r>
      <w:r w:rsidR="00B72CFA" w:rsidRPr="00C05E7B">
        <w:t>state</w:t>
      </w:r>
      <w:r w:rsidR="00D86C94" w:rsidRPr="00C05E7B">
        <w:t xml:space="preserve"> that</w:t>
      </w:r>
      <w:r w:rsidR="007960F2" w:rsidRPr="00C05E7B">
        <w:t>:</w:t>
      </w:r>
    </w:p>
    <w:p w14:paraId="215A1290" w14:textId="686B4E94" w:rsidR="00AD025A" w:rsidRPr="00C05E7B" w:rsidRDefault="005C1500" w:rsidP="0089682A">
      <w:pPr>
        <w:pStyle w:val="OutlineNumbered1"/>
        <w:numPr>
          <w:ilvl w:val="1"/>
          <w:numId w:val="12"/>
        </w:numPr>
      </w:pPr>
      <w:r>
        <w:t>I</w:t>
      </w:r>
      <w:r w:rsidR="0CDD68DF" w:rsidRPr="00C05E7B">
        <w:t>n</w:t>
      </w:r>
      <w:r w:rsidR="000E4F0A" w:rsidRPr="00C05E7B">
        <w:t xml:space="preserve"> July 2025</w:t>
      </w:r>
      <w:r w:rsidR="00EC44D3" w:rsidRPr="00C05E7B">
        <w:t>,</w:t>
      </w:r>
      <w:r w:rsidR="000E4F0A" w:rsidRPr="00C05E7B">
        <w:t xml:space="preserve"> t</w:t>
      </w:r>
      <w:r w:rsidR="00AD025A" w:rsidRPr="00C05E7B">
        <w:t xml:space="preserve">he </w:t>
      </w:r>
      <w:r w:rsidR="004D386C" w:rsidRPr="00C05E7B">
        <w:t>Independent Examiner</w:t>
      </w:r>
      <w:r w:rsidR="00B61436" w:rsidRPr="00C05E7B">
        <w:t xml:space="preserve"> </w:t>
      </w:r>
      <w:r w:rsidR="00AD025A" w:rsidRPr="00C05E7B">
        <w:t xml:space="preserve">consulted </w:t>
      </w:r>
      <w:r w:rsidR="009C4481" w:rsidRPr="00C05E7B">
        <w:t xml:space="preserve">the </w:t>
      </w:r>
      <w:r w:rsidR="006E1A7D">
        <w:t>p</w:t>
      </w:r>
      <w:r w:rsidR="009C4481" w:rsidRPr="00C05E7B">
        <w:t>arties</w:t>
      </w:r>
      <w:r w:rsidR="00AD025A" w:rsidRPr="00C05E7B">
        <w:t xml:space="preserve"> about </w:t>
      </w:r>
      <w:r w:rsidR="005F4FB4" w:rsidRPr="00C05E7B">
        <w:t xml:space="preserve">the </w:t>
      </w:r>
      <w:r w:rsidR="00AD025A" w:rsidRPr="00C05E7B">
        <w:t>potential transfer</w:t>
      </w:r>
      <w:r w:rsidR="005F4FB4" w:rsidRPr="00C05E7B">
        <w:t xml:space="preserve"> of th</w:t>
      </w:r>
      <w:r w:rsidR="005E4711">
        <w:t>e</w:t>
      </w:r>
      <w:r w:rsidR="005F4FB4" w:rsidRPr="00C05E7B">
        <w:t xml:space="preserve"> complaint</w:t>
      </w:r>
      <w:r w:rsidR="0051334F">
        <w:t xml:space="preserve">, </w:t>
      </w:r>
      <w:r w:rsidR="005E4046">
        <w:t>consistent with</w:t>
      </w:r>
      <w:r w:rsidR="00AD025A" w:rsidRPr="00C05E7B">
        <w:t xml:space="preserve"> the </w:t>
      </w:r>
      <w:r w:rsidR="006E1A7D">
        <w:t xml:space="preserve">OECD </w:t>
      </w:r>
      <w:r w:rsidR="00AD025A" w:rsidRPr="00C05E7B">
        <w:t>Guidelines</w:t>
      </w:r>
      <w:r w:rsidR="0051334F">
        <w:t>,</w:t>
      </w:r>
      <w:r w:rsidR="00AD025A" w:rsidRPr="00C05E7B">
        <w:t xml:space="preserve"> and expressly </w:t>
      </w:r>
      <w:r w:rsidR="009507EF">
        <w:t xml:space="preserve">asked </w:t>
      </w:r>
      <w:r w:rsidR="00AD025A" w:rsidRPr="00C05E7B">
        <w:t>Ms</w:t>
      </w:r>
      <w:r w:rsidR="006D54DC" w:rsidRPr="00C05E7B">
        <w:t> </w:t>
      </w:r>
      <w:r w:rsidR="00AD025A" w:rsidRPr="00C05E7B">
        <w:t xml:space="preserve">Stevens whether there were exceptional reasons </w:t>
      </w:r>
      <w:r w:rsidR="006B377C">
        <w:t>for</w:t>
      </w:r>
      <w:r w:rsidR="000E5A35">
        <w:t xml:space="preserve"> </w:t>
      </w:r>
      <w:r w:rsidR="00AD025A" w:rsidRPr="00C05E7B">
        <w:t xml:space="preserve">the AusNCP </w:t>
      </w:r>
      <w:r w:rsidR="006B377C">
        <w:t>to</w:t>
      </w:r>
      <w:r w:rsidR="00A4660E" w:rsidRPr="00C05E7B">
        <w:t xml:space="preserve"> </w:t>
      </w:r>
      <w:r w:rsidR="00AD025A" w:rsidRPr="00C05E7B">
        <w:t xml:space="preserve">handle </w:t>
      </w:r>
      <w:r w:rsidR="00A4660E" w:rsidRPr="00C05E7B">
        <w:t>the</w:t>
      </w:r>
      <w:r w:rsidR="00AD025A" w:rsidRPr="00C05E7B">
        <w:t xml:space="preserve"> complaint instead of another NCP</w:t>
      </w:r>
      <w:r w:rsidR="0051334F">
        <w:t xml:space="preserve">, </w:t>
      </w:r>
      <w:r w:rsidR="1BDC43FC" w:rsidRPr="00C05E7B">
        <w:t xml:space="preserve">as </w:t>
      </w:r>
      <w:r w:rsidR="001D4EE6" w:rsidRPr="00C05E7B">
        <w:t>provided for</w:t>
      </w:r>
      <w:r w:rsidR="00A04B42" w:rsidRPr="00C05E7B">
        <w:t xml:space="preserve"> </w:t>
      </w:r>
      <w:r w:rsidR="000E5A35">
        <w:t>under</w:t>
      </w:r>
      <w:r w:rsidR="00AD025A" w:rsidRPr="00C05E7B">
        <w:t xml:space="preserve"> the AusNCP </w:t>
      </w:r>
      <w:r w:rsidR="000E5A35">
        <w:t>complaint p</w:t>
      </w:r>
      <w:r w:rsidR="00AD025A" w:rsidRPr="00C05E7B">
        <w:t>rocedures</w:t>
      </w:r>
      <w:r w:rsidR="000739C9">
        <w:t>.</w:t>
      </w:r>
      <w:r w:rsidR="004E3F89">
        <w:rPr>
          <w:rStyle w:val="FootnoteReference"/>
        </w:rPr>
        <w:footnoteReference w:id="4"/>
      </w:r>
    </w:p>
    <w:p w14:paraId="22AC1BC5" w14:textId="7ACAA5AE" w:rsidR="00907F57" w:rsidRPr="00C05E7B" w:rsidRDefault="00860BC6" w:rsidP="0089682A">
      <w:pPr>
        <w:pStyle w:val="OutlineNumbered1"/>
        <w:numPr>
          <w:ilvl w:val="1"/>
          <w:numId w:val="12"/>
        </w:numPr>
      </w:pPr>
      <w:r w:rsidRPr="00C05E7B">
        <w:t xml:space="preserve">Ms Stevens alleged </w:t>
      </w:r>
      <w:r w:rsidR="008053DE" w:rsidRPr="00C05E7B">
        <w:t xml:space="preserve">that </w:t>
      </w:r>
      <w:r w:rsidRPr="00C05E7B">
        <w:t>the</w:t>
      </w:r>
      <w:r w:rsidR="008053DE" w:rsidRPr="00C05E7B">
        <w:t xml:space="preserve"> US and German</w:t>
      </w:r>
      <w:r w:rsidRPr="00C05E7B">
        <w:t xml:space="preserve"> NCPs</w:t>
      </w:r>
      <w:r w:rsidR="008053DE" w:rsidRPr="00C05E7B">
        <w:t xml:space="preserve"> were conflicted</w:t>
      </w:r>
      <w:r w:rsidR="00E75C66" w:rsidRPr="00C05E7B">
        <w:t xml:space="preserve"> and </w:t>
      </w:r>
      <w:r w:rsidR="000C3FE7">
        <w:t>requested</w:t>
      </w:r>
      <w:r w:rsidR="000C3FE7" w:rsidRPr="00C05E7B">
        <w:t xml:space="preserve"> </w:t>
      </w:r>
      <w:r w:rsidR="00120C24" w:rsidRPr="00C05E7B">
        <w:t xml:space="preserve">the AusNCP transfer </w:t>
      </w:r>
      <w:r w:rsidR="00844181" w:rsidRPr="00C05E7B">
        <w:t>her complaint</w:t>
      </w:r>
      <w:r w:rsidR="00A866C4" w:rsidRPr="00C05E7B">
        <w:t xml:space="preserve"> to the Netherlands NCP</w:t>
      </w:r>
      <w:r w:rsidR="008A2062" w:rsidRPr="00C05E7B">
        <w:t xml:space="preserve">. The </w:t>
      </w:r>
      <w:r w:rsidR="004D386C" w:rsidRPr="00C05E7B">
        <w:t>Independent Examiner</w:t>
      </w:r>
      <w:r w:rsidR="008A2062" w:rsidRPr="00C05E7B">
        <w:t xml:space="preserve"> notes</w:t>
      </w:r>
      <w:r w:rsidR="00A866C4" w:rsidRPr="00C05E7B">
        <w:t xml:space="preserve"> there </w:t>
      </w:r>
      <w:r w:rsidR="700830EA" w:rsidRPr="00C05E7B">
        <w:t>is</w:t>
      </w:r>
      <w:r w:rsidR="00A866C4" w:rsidRPr="00C05E7B">
        <w:t xml:space="preserve"> no </w:t>
      </w:r>
      <w:r w:rsidR="00844181" w:rsidRPr="00C05E7B">
        <w:t>identified</w:t>
      </w:r>
      <w:r w:rsidR="00A866C4" w:rsidRPr="00C05E7B">
        <w:t xml:space="preserve"> connection</w:t>
      </w:r>
      <w:r w:rsidR="00BD7F6D" w:rsidRPr="00C05E7B">
        <w:t xml:space="preserve"> between th</w:t>
      </w:r>
      <w:r w:rsidR="001E27D9" w:rsidRPr="00C05E7B">
        <w:t>e</w:t>
      </w:r>
      <w:r w:rsidR="00BD7F6D" w:rsidRPr="00C05E7B">
        <w:t xml:space="preserve"> complaint and</w:t>
      </w:r>
      <w:r w:rsidR="00A866C4" w:rsidRPr="00C05E7B">
        <w:t xml:space="preserve"> </w:t>
      </w:r>
      <w:r w:rsidR="12A328F8" w:rsidRPr="00C05E7B">
        <w:t>the</w:t>
      </w:r>
      <w:r w:rsidR="00837351" w:rsidRPr="00C05E7B">
        <w:t xml:space="preserve"> Netherlands</w:t>
      </w:r>
      <w:r w:rsidR="00E348AC">
        <w:t>.</w:t>
      </w:r>
      <w:r w:rsidR="00A866C4" w:rsidRPr="00C05E7B">
        <w:t xml:space="preserve"> </w:t>
      </w:r>
    </w:p>
    <w:p w14:paraId="23D99CCE" w14:textId="480B5813" w:rsidR="00235A7E" w:rsidRPr="00C05E7B" w:rsidRDefault="00215DCB" w:rsidP="0089682A">
      <w:pPr>
        <w:pStyle w:val="OutlineNumbered1"/>
        <w:numPr>
          <w:ilvl w:val="1"/>
          <w:numId w:val="12"/>
        </w:numPr>
      </w:pPr>
      <w:r w:rsidRPr="00C05E7B" w:rsidDel="00BD2BF4">
        <w:lastRenderedPageBreak/>
        <w:t>T</w:t>
      </w:r>
      <w:r w:rsidRPr="00C05E7B">
        <w:t xml:space="preserve">he </w:t>
      </w:r>
      <w:r w:rsidR="004D386C" w:rsidRPr="00C05E7B">
        <w:t>Independent Examiner</w:t>
      </w:r>
      <w:r w:rsidR="004B4AAB" w:rsidRPr="00C05E7B">
        <w:t xml:space="preserve"> </w:t>
      </w:r>
      <w:r w:rsidR="00AD025A" w:rsidRPr="00C05E7B">
        <w:t xml:space="preserve">explained to Ms Stevens </w:t>
      </w:r>
      <w:r w:rsidR="00B072A0" w:rsidRPr="00C05E7B">
        <w:t xml:space="preserve">that NCPs are </w:t>
      </w:r>
      <w:proofErr w:type="gramStart"/>
      <w:r w:rsidR="00B072A0" w:rsidRPr="00C05E7B">
        <w:t>independent</w:t>
      </w:r>
      <w:proofErr w:type="gramEnd"/>
      <w:r w:rsidR="00B072A0" w:rsidRPr="00C05E7B">
        <w:t xml:space="preserve"> and </w:t>
      </w:r>
      <w:r w:rsidR="08E1C3CA" w:rsidRPr="00C05E7B">
        <w:t xml:space="preserve">any </w:t>
      </w:r>
      <w:r w:rsidR="7FDCB09C" w:rsidRPr="00C05E7B">
        <w:t>complaint</w:t>
      </w:r>
      <w:r w:rsidR="4793B866" w:rsidRPr="00C05E7B">
        <w:t xml:space="preserve"> transfer</w:t>
      </w:r>
      <w:r w:rsidR="6A6F70AA" w:rsidRPr="00C05E7B">
        <w:t xml:space="preserve"> must</w:t>
      </w:r>
      <w:r w:rsidR="4793B866" w:rsidRPr="00C05E7B">
        <w:t xml:space="preserve"> accord with the</w:t>
      </w:r>
      <w:r w:rsidR="00BA09CC">
        <w:t xml:space="preserve"> OECD</w:t>
      </w:r>
      <w:r w:rsidR="4793B866" w:rsidRPr="00C05E7B">
        <w:t xml:space="preserve"> Guidelines</w:t>
      </w:r>
      <w:r w:rsidR="001836F7" w:rsidRPr="00C05E7B">
        <w:t xml:space="preserve">. Hence, </w:t>
      </w:r>
      <w:r w:rsidR="00721F58" w:rsidRPr="00C05E7B">
        <w:t xml:space="preserve">her </w:t>
      </w:r>
      <w:r w:rsidR="00CB356E" w:rsidRPr="00C05E7B">
        <w:t>request</w:t>
      </w:r>
      <w:r w:rsidR="00721F58" w:rsidRPr="00C05E7B">
        <w:t xml:space="preserve"> </w:t>
      </w:r>
      <w:r w:rsidR="002F3BB0" w:rsidRPr="00C05E7B">
        <w:t xml:space="preserve">might </w:t>
      </w:r>
      <w:r w:rsidR="00721F58" w:rsidRPr="00C05E7B">
        <w:t>result in</w:t>
      </w:r>
      <w:r w:rsidRPr="00C05E7B">
        <w:t>:</w:t>
      </w:r>
    </w:p>
    <w:p w14:paraId="5F5437AE" w14:textId="0D3F0772" w:rsidR="006352BC" w:rsidRPr="00C05E7B" w:rsidRDefault="00AD025A" w:rsidP="0089682A">
      <w:pPr>
        <w:pStyle w:val="OutlineNumbered1"/>
        <w:numPr>
          <w:ilvl w:val="2"/>
          <w:numId w:val="12"/>
        </w:numPr>
      </w:pPr>
      <w:r w:rsidRPr="00C05E7B">
        <w:t>the</w:t>
      </w:r>
      <w:r w:rsidR="006352BC" w:rsidRPr="00C05E7B">
        <w:t xml:space="preserve"> AusNCP treating her</w:t>
      </w:r>
      <w:r w:rsidRPr="00C05E7B">
        <w:t xml:space="preserve"> complaint as withdrawn </w:t>
      </w:r>
    </w:p>
    <w:p w14:paraId="435662CB" w14:textId="2E5A4E04" w:rsidR="00315760" w:rsidRPr="00C05E7B" w:rsidRDefault="006352BC" w:rsidP="0089682A">
      <w:pPr>
        <w:pStyle w:val="OutlineNumbered1"/>
        <w:numPr>
          <w:ilvl w:val="2"/>
          <w:numId w:val="12"/>
        </w:numPr>
      </w:pPr>
      <w:r w:rsidRPr="00C05E7B">
        <w:t xml:space="preserve">her complaint </w:t>
      </w:r>
      <w:r w:rsidR="00AD025A" w:rsidRPr="00C05E7B">
        <w:t>not</w:t>
      </w:r>
      <w:r w:rsidRPr="00C05E7B">
        <w:t xml:space="preserve"> being</w:t>
      </w:r>
      <w:r w:rsidR="00AD025A" w:rsidRPr="00C05E7B">
        <w:t xml:space="preserve"> transferred </w:t>
      </w:r>
      <w:r w:rsidRPr="00C05E7B">
        <w:t>to</w:t>
      </w:r>
      <w:r w:rsidR="00AD025A" w:rsidRPr="00C05E7B">
        <w:t xml:space="preserve"> the US NCP</w:t>
      </w:r>
    </w:p>
    <w:p w14:paraId="16D2D387" w14:textId="3DDA8845" w:rsidR="001836F7" w:rsidRPr="00C05E7B" w:rsidRDefault="00A367E2" w:rsidP="0089682A">
      <w:pPr>
        <w:pStyle w:val="OutlineNumbered1"/>
        <w:numPr>
          <w:ilvl w:val="2"/>
          <w:numId w:val="12"/>
        </w:numPr>
      </w:pPr>
      <w:r w:rsidRPr="00C05E7B">
        <w:t>potential</w:t>
      </w:r>
      <w:r w:rsidR="00315760" w:rsidRPr="00C05E7B">
        <w:t xml:space="preserve"> </w:t>
      </w:r>
      <w:r w:rsidR="00AD025A" w:rsidRPr="00C05E7B">
        <w:t xml:space="preserve">prejudice </w:t>
      </w:r>
      <w:r w:rsidR="00215DCB" w:rsidRPr="00C05E7B">
        <w:t>to</w:t>
      </w:r>
      <w:r w:rsidR="00782428" w:rsidRPr="00C05E7B">
        <w:t xml:space="preserve"> </w:t>
      </w:r>
      <w:r w:rsidR="00315760" w:rsidRPr="00C05E7B">
        <w:t>any</w:t>
      </w:r>
      <w:r w:rsidR="00AD025A" w:rsidRPr="00C05E7B">
        <w:t xml:space="preserve"> future requests for this matter to be considered by </w:t>
      </w:r>
      <w:r w:rsidR="00315760" w:rsidRPr="00C05E7B">
        <w:t xml:space="preserve">another </w:t>
      </w:r>
      <w:r w:rsidR="00AD025A" w:rsidRPr="00C05E7B">
        <w:t>NCP</w:t>
      </w:r>
      <w:r w:rsidR="00215DCB" w:rsidRPr="00C05E7B">
        <w:t>.</w:t>
      </w:r>
    </w:p>
    <w:p w14:paraId="359AABE7" w14:textId="590BC59E" w:rsidR="00CA1736" w:rsidRPr="00C05E7B" w:rsidRDefault="00CA1736" w:rsidP="0089682A">
      <w:pPr>
        <w:pStyle w:val="OutlineNumbered1"/>
        <w:numPr>
          <w:ilvl w:val="1"/>
          <w:numId w:val="12"/>
        </w:numPr>
      </w:pPr>
      <w:r w:rsidRPr="00C05E7B">
        <w:t>Ms Stevens stated that the AusNCP should not contact her again</w:t>
      </w:r>
      <w:r w:rsidR="003D1ECF">
        <w:t>,</w:t>
      </w:r>
      <w:r w:rsidRPr="00C05E7B">
        <w:t xml:space="preserve"> unless it was to confirm transfer of the complaint to the Netherlands NCP</w:t>
      </w:r>
      <w:r w:rsidR="00B6739A" w:rsidRPr="00C05E7B">
        <w:t xml:space="preserve"> or provide redress</w:t>
      </w:r>
      <w:r w:rsidR="005104EA">
        <w:t>.</w:t>
      </w:r>
    </w:p>
    <w:p w14:paraId="2869E228" w14:textId="49BDDD4A" w:rsidR="00AD025A" w:rsidRPr="00C05E7B" w:rsidRDefault="005C1500" w:rsidP="0089682A">
      <w:pPr>
        <w:pStyle w:val="OutlineNumbered1"/>
        <w:numPr>
          <w:ilvl w:val="1"/>
          <w:numId w:val="12"/>
        </w:numPr>
      </w:pPr>
      <w:r>
        <w:t>A</w:t>
      </w:r>
      <w:r w:rsidR="00120C24" w:rsidRPr="00C05E7B">
        <w:t xml:space="preserve">s Ms Stevens did not change her position, the AusNCP </w:t>
      </w:r>
      <w:r w:rsidR="47F54D67" w:rsidRPr="00C05E7B">
        <w:t>consider</w:t>
      </w:r>
      <w:r w:rsidR="713DFB0A" w:rsidRPr="00C05E7B">
        <w:t>ed</w:t>
      </w:r>
      <w:r w:rsidR="00120C24" w:rsidRPr="00C05E7B">
        <w:t xml:space="preserve"> this complaint withdrawn</w:t>
      </w:r>
      <w:r w:rsidR="005104EA">
        <w:t>.</w:t>
      </w:r>
    </w:p>
    <w:p w14:paraId="0AF1E5D1" w14:textId="381A39BA" w:rsidR="00C434E0" w:rsidRPr="00C05E7B" w:rsidRDefault="005C1500" w:rsidP="0089682A">
      <w:pPr>
        <w:pStyle w:val="OutlineNumbered1"/>
        <w:numPr>
          <w:ilvl w:val="1"/>
          <w:numId w:val="12"/>
        </w:numPr>
      </w:pPr>
      <w:r>
        <w:t>T</w:t>
      </w:r>
      <w:r w:rsidR="00215DCB" w:rsidRPr="00C05E7B">
        <w:t xml:space="preserve">he </w:t>
      </w:r>
      <w:r w:rsidR="00AD025A" w:rsidRPr="00C05E7B">
        <w:t xml:space="preserve">AusNCP is </w:t>
      </w:r>
      <w:r w:rsidR="00DB6050" w:rsidRPr="00C05E7B">
        <w:t xml:space="preserve">not </w:t>
      </w:r>
      <w:r w:rsidR="00AD025A" w:rsidRPr="00C05E7B">
        <w:t xml:space="preserve">aware of any </w:t>
      </w:r>
      <w:r w:rsidR="000220B0" w:rsidRPr="00C05E7B">
        <w:t>evidence</w:t>
      </w:r>
      <w:r w:rsidR="00AD025A" w:rsidRPr="00C05E7B">
        <w:t xml:space="preserve"> </w:t>
      </w:r>
      <w:r w:rsidR="007F4613" w:rsidRPr="00C05E7B">
        <w:t>to suggest</w:t>
      </w:r>
      <w:r w:rsidR="00AD025A" w:rsidRPr="00C05E7B">
        <w:t xml:space="preserve"> </w:t>
      </w:r>
      <w:r w:rsidR="00765D43">
        <w:t xml:space="preserve">that </w:t>
      </w:r>
      <w:r w:rsidR="00AD025A" w:rsidRPr="00C05E7B">
        <w:t>any NCP or NCP offic</w:t>
      </w:r>
      <w:r w:rsidR="00765D43">
        <w:t>ial</w:t>
      </w:r>
      <w:r w:rsidR="00AD025A" w:rsidRPr="00C05E7B">
        <w:t xml:space="preserve"> has acted improperly in dealing with this complaint.</w:t>
      </w:r>
      <w:r w:rsidR="00E72909" w:rsidRPr="00C05E7B">
        <w:t xml:space="preserve"> </w:t>
      </w:r>
      <w:r w:rsidR="0D30B708" w:rsidRPr="00C05E7B" w:rsidDel="001A5BF8">
        <w:t>T</w:t>
      </w:r>
      <w:r w:rsidR="0D30B708" w:rsidRPr="00C05E7B">
        <w:t>he German and US NCPs engaged diligently with the AusNCP</w:t>
      </w:r>
      <w:r w:rsidR="4907B784" w:rsidRPr="00C05E7B">
        <w:t xml:space="preserve"> </w:t>
      </w:r>
      <w:r w:rsidR="03C22431" w:rsidRPr="00C05E7B">
        <w:t>about</w:t>
      </w:r>
      <w:r w:rsidR="0D30B708" w:rsidRPr="00C05E7B">
        <w:t xml:space="preserve"> which NCP </w:t>
      </w:r>
      <w:r w:rsidR="00C87FA2" w:rsidRPr="00C05E7B">
        <w:t xml:space="preserve">would </w:t>
      </w:r>
      <w:r w:rsidR="008B572B" w:rsidRPr="00C05E7B">
        <w:t>have</w:t>
      </w:r>
      <w:r w:rsidR="0D30B708" w:rsidRPr="00C05E7B">
        <w:t xml:space="preserve"> lead responsibility for this complaint, </w:t>
      </w:r>
      <w:r w:rsidR="00C87FA2" w:rsidRPr="00C05E7B">
        <w:t xml:space="preserve">in the event </w:t>
      </w:r>
      <w:r w:rsidR="0D30B708" w:rsidRPr="00C05E7B">
        <w:t>the</w:t>
      </w:r>
      <w:r w:rsidR="00760E72" w:rsidRPr="00C05E7B">
        <w:t xml:space="preserve"> </w:t>
      </w:r>
      <w:r w:rsidR="004D386C" w:rsidRPr="00C05E7B">
        <w:t>Independent Examiner</w:t>
      </w:r>
      <w:r w:rsidR="002D5FD7" w:rsidRPr="00C05E7B">
        <w:t xml:space="preserve"> </w:t>
      </w:r>
      <w:r w:rsidR="0D30B708" w:rsidRPr="00C05E7B">
        <w:t>recommend</w:t>
      </w:r>
      <w:r w:rsidR="002D5FD7" w:rsidRPr="00C05E7B">
        <w:t>ed</w:t>
      </w:r>
      <w:r w:rsidR="0D30B708" w:rsidRPr="00C05E7B">
        <w:t xml:space="preserve"> it be transferred. </w:t>
      </w:r>
      <w:r w:rsidR="3DCB4FC5" w:rsidRPr="00C05E7B">
        <w:t>Th</w:t>
      </w:r>
      <w:r w:rsidR="6954C139" w:rsidRPr="00C05E7B">
        <w:t xml:space="preserve">e </w:t>
      </w:r>
      <w:r w:rsidR="004D386C" w:rsidRPr="00C05E7B">
        <w:t>Independent Examiner</w:t>
      </w:r>
      <w:r w:rsidR="6954C139" w:rsidRPr="00C05E7B">
        <w:t xml:space="preserve"> notes the AusNCP had proposed a path to progress the complaint</w:t>
      </w:r>
      <w:r w:rsidR="00DB6050" w:rsidRPr="00C05E7B">
        <w:t xml:space="preserve"> in a manner consistent with the </w:t>
      </w:r>
      <w:r w:rsidR="00BF0B40">
        <w:t xml:space="preserve">OECD </w:t>
      </w:r>
      <w:r w:rsidR="00DB6050" w:rsidRPr="00C05E7B">
        <w:t>Guidelines</w:t>
      </w:r>
      <w:r w:rsidR="6954C139" w:rsidRPr="00C05E7B">
        <w:t>, namely transfer to the US NCP.</w:t>
      </w:r>
    </w:p>
    <w:p w14:paraId="280A76CE" w14:textId="6AFCC134" w:rsidR="005871C7" w:rsidRPr="00C05E7B" w:rsidRDefault="00DB6050" w:rsidP="0089682A">
      <w:pPr>
        <w:pStyle w:val="OutlineNumbered1"/>
      </w:pPr>
      <w:r w:rsidRPr="00C05E7B">
        <w:t xml:space="preserve">As the complaint </w:t>
      </w:r>
      <w:r w:rsidR="00B05095" w:rsidRPr="00C05E7B">
        <w:t>did not continue</w:t>
      </w:r>
      <w:r w:rsidRPr="00C05E7B">
        <w:t>, the AusNCP makes no determination on the merits of Ms</w:t>
      </w:r>
      <w:r w:rsidR="00787A4B" w:rsidRPr="00C05E7B">
        <w:t> </w:t>
      </w:r>
      <w:r w:rsidRPr="00C05E7B">
        <w:t>Stevens</w:t>
      </w:r>
      <w:r w:rsidR="00277B2B" w:rsidRPr="00C05E7B">
        <w:t>’</w:t>
      </w:r>
      <w:r w:rsidRPr="00C05E7B">
        <w:t xml:space="preserve"> claims against the </w:t>
      </w:r>
      <w:r w:rsidR="005E53A6">
        <w:t>e</w:t>
      </w:r>
      <w:r w:rsidRPr="00C05E7B">
        <w:t xml:space="preserve">nterprises, nor does it assess whether </w:t>
      </w:r>
      <w:r w:rsidR="007E0672" w:rsidRPr="00C05E7B">
        <w:t xml:space="preserve">the </w:t>
      </w:r>
      <w:r w:rsidR="005E53A6">
        <w:t>e</w:t>
      </w:r>
      <w:r w:rsidR="007E0672" w:rsidRPr="00C05E7B">
        <w:t>nterprises</w:t>
      </w:r>
      <w:r w:rsidRPr="00C05E7B">
        <w:t xml:space="preserve">’ actions were consistent with the </w:t>
      </w:r>
      <w:r w:rsidR="005E53A6">
        <w:t xml:space="preserve">OECD </w:t>
      </w:r>
      <w:r w:rsidRPr="00C05E7B">
        <w:t>Guidelines</w:t>
      </w:r>
      <w:r w:rsidR="005871C7" w:rsidRPr="00C05E7B">
        <w:t>.</w:t>
      </w:r>
    </w:p>
    <w:p w14:paraId="41C5F217" w14:textId="28F286C7" w:rsidR="00F47422" w:rsidRPr="00C05E7B" w:rsidRDefault="00F47422" w:rsidP="0089682A">
      <w:pPr>
        <w:pStyle w:val="OutlineNumbered1"/>
      </w:pPr>
      <w:r w:rsidRPr="00C05E7B">
        <w:t xml:space="preserve">A draft of this </w:t>
      </w:r>
      <w:r w:rsidR="005E53A6">
        <w:t>Final S</w:t>
      </w:r>
      <w:r w:rsidRPr="00C05E7B">
        <w:t xml:space="preserve">tatement was provided to Ms Stevens, </w:t>
      </w:r>
      <w:r w:rsidR="007E0672" w:rsidRPr="00C05E7B">
        <w:t xml:space="preserve">the </w:t>
      </w:r>
      <w:r w:rsidR="005E53A6">
        <w:t>e</w:t>
      </w:r>
      <w:r w:rsidR="007E0672" w:rsidRPr="00C05E7B">
        <w:t>nterprises</w:t>
      </w:r>
      <w:r w:rsidR="00A7424B">
        <w:t>,</w:t>
      </w:r>
      <w:r w:rsidR="00D9402F" w:rsidRPr="00C05E7B">
        <w:t xml:space="preserve"> and</w:t>
      </w:r>
      <w:r w:rsidRPr="00C05E7B">
        <w:t xml:space="preserve"> the other NCPs</w:t>
      </w:r>
      <w:r w:rsidR="00D9402F" w:rsidRPr="00C05E7B">
        <w:t xml:space="preserve"> involved</w:t>
      </w:r>
      <w:r w:rsidR="00A56C8F" w:rsidRPr="00C05E7B">
        <w:t xml:space="preserve">, </w:t>
      </w:r>
      <w:r w:rsidR="00B91EB5" w:rsidRPr="00C05E7B">
        <w:t>giving</w:t>
      </w:r>
      <w:r w:rsidR="00A56C8F" w:rsidRPr="00C05E7B">
        <w:t xml:space="preserve"> each the opportunity to </w:t>
      </w:r>
      <w:r w:rsidR="00D25381" w:rsidRPr="00C05E7B">
        <w:t>suggest</w:t>
      </w:r>
      <w:r w:rsidR="00A56C8F" w:rsidRPr="00C05E7B">
        <w:t xml:space="preserve"> corrections.</w:t>
      </w:r>
      <w:r w:rsidR="009D29CD" w:rsidRPr="00C05E7B">
        <w:t xml:space="preserve"> Dow</w:t>
      </w:r>
      <w:r w:rsidR="00DF4FD7">
        <w:t>, Bayer</w:t>
      </w:r>
      <w:r w:rsidR="009D29CD" w:rsidRPr="00C05E7B">
        <w:t xml:space="preserve"> and Ms Stevens provided comments. On receipt of this draft, Ms Stevens indicated her desire to ‘</w:t>
      </w:r>
      <w:r w:rsidR="009D29CD" w:rsidRPr="00990465">
        <w:t>re-engage</w:t>
      </w:r>
      <w:r w:rsidR="009D29CD" w:rsidRPr="00C05E7B">
        <w:t xml:space="preserve">’ and that, if appropriate, the complaint be transferred to the US NCP. Dow </w:t>
      </w:r>
      <w:r w:rsidR="00361875">
        <w:t xml:space="preserve">and Bayer </w:t>
      </w:r>
      <w:r w:rsidR="009D29CD" w:rsidRPr="00C05E7B">
        <w:t xml:space="preserve">identified various changes </w:t>
      </w:r>
      <w:r w:rsidR="00287D49" w:rsidRPr="00C05E7B">
        <w:t xml:space="preserve">it desired </w:t>
      </w:r>
      <w:r w:rsidR="009D29CD" w:rsidRPr="00C05E7B">
        <w:t xml:space="preserve">to the </w:t>
      </w:r>
      <w:r w:rsidR="005E53A6">
        <w:t>Final S</w:t>
      </w:r>
      <w:r w:rsidR="009D29CD" w:rsidRPr="00C05E7B">
        <w:t>tatement’s wording.</w:t>
      </w:r>
      <w:r w:rsidR="00A56C8F" w:rsidRPr="00C05E7B">
        <w:t xml:space="preserve"> The </w:t>
      </w:r>
      <w:r w:rsidR="004D386C" w:rsidRPr="00C05E7B">
        <w:t>Independent Examiner</w:t>
      </w:r>
      <w:r w:rsidR="00A56C8F" w:rsidRPr="00C05E7B">
        <w:t xml:space="preserve"> considered all </w:t>
      </w:r>
      <w:r w:rsidR="00D25381" w:rsidRPr="00C05E7B">
        <w:t xml:space="preserve">suggestions </w:t>
      </w:r>
      <w:r w:rsidR="00A56C8F" w:rsidRPr="00C05E7B">
        <w:t>received in finalising this statement.</w:t>
      </w:r>
    </w:p>
    <w:p w14:paraId="56E478F0" w14:textId="77777777" w:rsidR="005871C7" w:rsidRPr="00C05E7B" w:rsidRDefault="005871C7" w:rsidP="0089682A">
      <w:pPr>
        <w:pStyle w:val="OutlineNumbered1"/>
      </w:pPr>
      <w:r w:rsidRPr="00C05E7B">
        <w:t xml:space="preserve">This statement is available on the AusNCP website at </w:t>
      </w:r>
      <w:hyperlink r:id="rId22" w:history="1">
        <w:r w:rsidRPr="00C05E7B">
          <w:rPr>
            <w:rStyle w:val="Hyperlink"/>
          </w:rPr>
          <w:t>www.ausncp.gov.au</w:t>
        </w:r>
      </w:hyperlink>
      <w:r w:rsidRPr="00C05E7B">
        <w:t>.</w:t>
      </w:r>
    </w:p>
    <w:p w14:paraId="16008667" w14:textId="44E4B645" w:rsidR="00F217DB" w:rsidRPr="00C05E7B" w:rsidRDefault="005871C7" w:rsidP="00F217DB">
      <w:pPr>
        <w:spacing w:after="0"/>
        <w:rPr>
          <w:b/>
          <w:bCs/>
        </w:rPr>
      </w:pPr>
      <w:r w:rsidRPr="00C05E7B">
        <w:br/>
      </w:r>
      <w:r w:rsidR="004B4AAB" w:rsidRPr="00C05E7B">
        <w:rPr>
          <w:b/>
          <w:bCs/>
        </w:rPr>
        <w:t>John Southalan</w:t>
      </w:r>
    </w:p>
    <w:p w14:paraId="3395A70F" w14:textId="7DF81FFB" w:rsidR="00797E7A" w:rsidRPr="0089682A" w:rsidRDefault="00F217DB" w:rsidP="0089682A">
      <w:pPr>
        <w:spacing w:after="0"/>
        <w:rPr>
          <w:highlight w:val="yellow"/>
        </w:rPr>
      </w:pPr>
      <w:r w:rsidRPr="00C05E7B">
        <w:t xml:space="preserve">Independent </w:t>
      </w:r>
      <w:r w:rsidR="00B868BF" w:rsidRPr="00C05E7B">
        <w:t>Examiner</w:t>
      </w:r>
      <w:r w:rsidRPr="00C05E7B">
        <w:rPr>
          <w:highlight w:val="yellow"/>
        </w:rPr>
        <w:br/>
      </w:r>
      <w:r w:rsidRPr="00C05E7B">
        <w:t>Australian National Contact Point for Responsible Business Conduct</w:t>
      </w:r>
      <w:r w:rsidRPr="008F09C0">
        <w:rPr>
          <w:color w:val="FF0000"/>
        </w:rPr>
        <w:br/>
      </w:r>
      <w:r w:rsidRPr="00C05E7B">
        <w:t xml:space="preserve">Email: </w:t>
      </w:r>
      <w:hyperlink r:id="rId23" w:history="1">
        <w:r w:rsidR="007E70CC" w:rsidRPr="004D5798">
          <w:rPr>
            <w:rStyle w:val="Hyperlink"/>
          </w:rPr>
          <w:t>secretariat@ausncp.gov.au</w:t>
        </w:r>
      </w:hyperlink>
      <w:bookmarkStart w:id="9" w:name="_Toc116382008"/>
      <w:r w:rsidR="00797E7A" w:rsidRPr="00C05E7B">
        <w:br w:type="page"/>
      </w:r>
    </w:p>
    <w:p w14:paraId="0F36C7D0" w14:textId="77777777" w:rsidR="00103F3C" w:rsidRPr="00C05E7B" w:rsidRDefault="00A617C4" w:rsidP="0069180D">
      <w:pPr>
        <w:pStyle w:val="Heading1"/>
      </w:pPr>
      <w:bookmarkStart w:id="10" w:name="_Toc211334197"/>
      <w:bookmarkStart w:id="11" w:name="_Toc219735240"/>
      <w:bookmarkStart w:id="12" w:name="_Toc230360310"/>
      <w:bookmarkEnd w:id="8"/>
      <w:bookmarkEnd w:id="9"/>
      <w:r w:rsidRPr="00C05E7B">
        <w:lastRenderedPageBreak/>
        <w:t>Background</w:t>
      </w:r>
      <w:bookmarkEnd w:id="10"/>
      <w:bookmarkEnd w:id="11"/>
      <w:bookmarkEnd w:id="12"/>
    </w:p>
    <w:p w14:paraId="439C367A" w14:textId="2D4F4933" w:rsidR="005871C7" w:rsidRPr="00C05E7B" w:rsidRDefault="00A617C4" w:rsidP="0041599F">
      <w:pPr>
        <w:pStyle w:val="Heading2"/>
        <w:rPr>
          <w:bCs/>
        </w:rPr>
      </w:pPr>
      <w:bookmarkStart w:id="13" w:name="_Toc211334198"/>
      <w:bookmarkStart w:id="14" w:name="_Toc219735241"/>
      <w:bookmarkStart w:id="15" w:name="_Toc230360311"/>
      <w:r w:rsidRPr="00C05E7B">
        <w:rPr>
          <w:bCs/>
        </w:rPr>
        <w:t>Parties</w:t>
      </w:r>
      <w:bookmarkEnd w:id="13"/>
      <w:bookmarkEnd w:id="14"/>
      <w:bookmarkEnd w:id="15"/>
    </w:p>
    <w:p w14:paraId="5AE2BDD6" w14:textId="5E1DE6E8" w:rsidR="005871C7" w:rsidRPr="00C05E7B" w:rsidRDefault="00AE1C6D" w:rsidP="0089682A">
      <w:pPr>
        <w:pStyle w:val="OutlineNumbered1"/>
      </w:pPr>
      <w:r w:rsidRPr="00C05E7B">
        <w:t xml:space="preserve">Ms Stevens </w:t>
      </w:r>
      <w:r w:rsidR="243E8FA1" w:rsidRPr="00C05E7B">
        <w:t>informed</w:t>
      </w:r>
      <w:r w:rsidR="00927D5D" w:rsidRPr="00C05E7B">
        <w:t xml:space="preserve"> the AusNCP that</w:t>
      </w:r>
      <w:r w:rsidRPr="00C05E7B" w:rsidDel="00927D5D">
        <w:t xml:space="preserve"> </w:t>
      </w:r>
      <w:r w:rsidR="00BB0350" w:rsidRPr="00C05E7B">
        <w:t>her father was a</w:t>
      </w:r>
      <w:r w:rsidRPr="00C05E7B">
        <w:t xml:space="preserve"> veteran who served with the Australian</w:t>
      </w:r>
      <w:r w:rsidR="00301E0F">
        <w:t> </w:t>
      </w:r>
      <w:r w:rsidRPr="00C05E7B">
        <w:t xml:space="preserve">Army in Vietnam in </w:t>
      </w:r>
      <w:r w:rsidR="00463E81" w:rsidRPr="00C05E7B">
        <w:t>the late 1960s</w:t>
      </w:r>
      <w:r w:rsidRPr="00C05E7B">
        <w:t xml:space="preserve">. </w:t>
      </w:r>
      <w:r w:rsidR="00037689" w:rsidRPr="00C05E7B">
        <w:t>She</w:t>
      </w:r>
      <w:r w:rsidRPr="00C05E7B">
        <w:t xml:space="preserve"> allege</w:t>
      </w:r>
      <w:r w:rsidR="00356110" w:rsidRPr="00C05E7B">
        <w:t>d</w:t>
      </w:r>
      <w:r w:rsidR="00083CE3">
        <w:t xml:space="preserve"> that</w:t>
      </w:r>
      <w:r w:rsidRPr="00C05E7B">
        <w:t xml:space="preserve"> her father was exposed to and harmed by Agent Orange</w:t>
      </w:r>
      <w:r w:rsidR="00650F20" w:rsidRPr="00C05E7B">
        <w:t>,</w:t>
      </w:r>
      <w:r w:rsidRPr="00C05E7B">
        <w:t xml:space="preserve"> and that she (born </w:t>
      </w:r>
      <w:r w:rsidR="00DB6050" w:rsidRPr="00C05E7B">
        <w:t>after 1970</w:t>
      </w:r>
      <w:r w:rsidRPr="00C05E7B">
        <w:t>) has</w:t>
      </w:r>
      <w:r w:rsidR="00463E81" w:rsidRPr="00C05E7B">
        <w:t xml:space="preserve"> serious </w:t>
      </w:r>
      <w:r w:rsidRPr="00C05E7B">
        <w:t>‘</w:t>
      </w:r>
      <w:r w:rsidRPr="00270657">
        <w:rPr>
          <w:i/>
          <w:iCs/>
        </w:rPr>
        <w:t>congenital and developmental disorders</w:t>
      </w:r>
      <w:r w:rsidRPr="00C05E7B">
        <w:t xml:space="preserve">’ because of her father’s Agent Orange exposure. </w:t>
      </w:r>
      <w:r w:rsidR="00B05095" w:rsidRPr="00C05E7B">
        <w:t>Ms Steven</w:t>
      </w:r>
      <w:r w:rsidR="00FF769C" w:rsidRPr="00C05E7B">
        <w:t>s</w:t>
      </w:r>
      <w:r w:rsidR="00B05095" w:rsidRPr="00C05E7B">
        <w:t xml:space="preserve"> asserted to the AusNCP, and wanted recorded in this statement, that she raised her ‘</w:t>
      </w:r>
      <w:r w:rsidR="00B05095" w:rsidRPr="00270657">
        <w:rPr>
          <w:i/>
          <w:iCs/>
        </w:rPr>
        <w:t>status under the Geneva Conventions Additional Protocol I, including Article 77</w:t>
      </w:r>
      <w:r w:rsidR="00B05095" w:rsidRPr="00C05E7B">
        <w:t xml:space="preserve">’. </w:t>
      </w:r>
      <w:r w:rsidRPr="00C05E7B">
        <w:t xml:space="preserve">Ms Stevens’ father died in </w:t>
      </w:r>
      <w:r w:rsidR="00463E81" w:rsidRPr="00C05E7B">
        <w:t xml:space="preserve">the last </w:t>
      </w:r>
      <w:proofErr w:type="gramStart"/>
      <w:r w:rsidR="00463E81" w:rsidRPr="00C05E7B">
        <w:t>decade</w:t>
      </w:r>
      <w:proofErr w:type="gramEnd"/>
      <w:r w:rsidR="00463E81" w:rsidRPr="00C05E7B">
        <w:t xml:space="preserve"> and she provided the AusNCP with a copy of his </w:t>
      </w:r>
      <w:r w:rsidRPr="00C05E7B">
        <w:t>death certificate</w:t>
      </w:r>
      <w:r w:rsidR="000B78E1" w:rsidRPr="00C05E7B">
        <w:t xml:space="preserve">. </w:t>
      </w:r>
      <w:r w:rsidRPr="00C05E7B">
        <w:t>Ms Stevens</w:t>
      </w:r>
      <w:r w:rsidR="00A8741A" w:rsidRPr="00C05E7B">
        <w:t xml:space="preserve"> claimed</w:t>
      </w:r>
      <w:r w:rsidR="001E4728">
        <w:t xml:space="preserve"> that the </w:t>
      </w:r>
      <w:r w:rsidR="001E4728" w:rsidRPr="00C05E7B">
        <w:t>identified causes of death</w:t>
      </w:r>
      <w:r w:rsidR="00A8741A" w:rsidRPr="00C05E7B">
        <w:t xml:space="preserve"> </w:t>
      </w:r>
      <w:r w:rsidRPr="00C05E7B">
        <w:t>‘</w:t>
      </w:r>
      <w:r w:rsidRPr="00270657">
        <w:rPr>
          <w:i/>
          <w:iCs/>
        </w:rPr>
        <w:t>align directly with known TCDD-linked conditions already recognised</w:t>
      </w:r>
      <w:r w:rsidRPr="00C05E7B">
        <w:t xml:space="preserve">’. TCDD is a chemical </w:t>
      </w:r>
      <w:r w:rsidR="00B5155C" w:rsidRPr="00C05E7B">
        <w:t>which arose</w:t>
      </w:r>
      <w:r w:rsidRPr="00C05E7B">
        <w:t xml:space="preserve"> in the production of Agent Orange</w:t>
      </w:r>
      <w:r w:rsidR="0091263B">
        <w:t>,</w:t>
      </w:r>
      <w:r w:rsidRPr="00C05E7B">
        <w:t xml:space="preserve"> explained further below.</w:t>
      </w:r>
    </w:p>
    <w:p w14:paraId="5FC854F8" w14:textId="77777777" w:rsidR="00A05540" w:rsidRPr="00C05E7B" w:rsidRDefault="00A05540" w:rsidP="0089682A">
      <w:pPr>
        <w:pStyle w:val="OutlineNumbered1"/>
      </w:pPr>
      <w:r w:rsidRPr="00C05E7B">
        <w:t>The complaint was made against four entities:</w:t>
      </w:r>
    </w:p>
    <w:p w14:paraId="141E9455" w14:textId="7EE4469E" w:rsidR="00A05540" w:rsidRPr="00C05E7B" w:rsidRDefault="00895501" w:rsidP="0089682A">
      <w:pPr>
        <w:pStyle w:val="OutlineNumbered1"/>
        <w:numPr>
          <w:ilvl w:val="1"/>
          <w:numId w:val="12"/>
        </w:numPr>
      </w:pPr>
      <w:r w:rsidRPr="00C05E7B">
        <w:t>The Dow Chemical Company</w:t>
      </w:r>
      <w:r w:rsidR="000A0238" w:rsidRPr="00C05E7B">
        <w:t xml:space="preserve"> (referred to in the original complaint as Dow Chemical)</w:t>
      </w:r>
      <w:r w:rsidR="00A10829" w:rsidRPr="00C05E7B">
        <w:t xml:space="preserve">, and by extension, </w:t>
      </w:r>
      <w:r w:rsidR="004C71D4" w:rsidRPr="00C05E7B">
        <w:t xml:space="preserve">its </w:t>
      </w:r>
      <w:r w:rsidR="00676EC2" w:rsidRPr="00C05E7B">
        <w:t>parent</w:t>
      </w:r>
      <w:r w:rsidR="004C71D4" w:rsidRPr="00C05E7B">
        <w:t xml:space="preserve"> Dow </w:t>
      </w:r>
      <w:r w:rsidR="006247FE" w:rsidRPr="00C05E7B">
        <w:t>(a</w:t>
      </w:r>
      <w:r w:rsidR="00F64B5E">
        <w:t xml:space="preserve">n </w:t>
      </w:r>
      <w:r w:rsidR="006247FE" w:rsidRPr="00C05E7B">
        <w:t xml:space="preserve">American </w:t>
      </w:r>
      <w:r w:rsidR="00F64B5E" w:rsidRPr="00C05E7B">
        <w:t xml:space="preserve">multinational </w:t>
      </w:r>
      <w:r w:rsidR="006247FE" w:rsidRPr="00C05E7B">
        <w:t>company)</w:t>
      </w:r>
    </w:p>
    <w:p w14:paraId="1B0E7D58" w14:textId="2C3E05A7" w:rsidR="00A05540" w:rsidRPr="00C05E7B" w:rsidRDefault="00A05540" w:rsidP="0089682A">
      <w:pPr>
        <w:pStyle w:val="OutlineNumbered1"/>
        <w:numPr>
          <w:ilvl w:val="1"/>
          <w:numId w:val="12"/>
        </w:numPr>
      </w:pPr>
      <w:r w:rsidRPr="00C05E7B">
        <w:t>Dow Chemical (Australia) Pty Ltd, which is an Australian subsidiary of Dow</w:t>
      </w:r>
    </w:p>
    <w:p w14:paraId="742D48CF" w14:textId="7A68D18D" w:rsidR="00A05540" w:rsidRPr="00C05E7B" w:rsidRDefault="00A05540" w:rsidP="0089682A">
      <w:pPr>
        <w:pStyle w:val="OutlineNumbered1"/>
        <w:numPr>
          <w:ilvl w:val="1"/>
          <w:numId w:val="12"/>
        </w:numPr>
      </w:pPr>
      <w:r w:rsidRPr="00C05E7B">
        <w:t>Bayer (</w:t>
      </w:r>
      <w:r w:rsidR="00FE4392" w:rsidRPr="00C05E7B">
        <w:t xml:space="preserve">a </w:t>
      </w:r>
      <w:r w:rsidRPr="00C05E7B">
        <w:t xml:space="preserve">German </w:t>
      </w:r>
      <w:r w:rsidR="00FE4392" w:rsidRPr="00C05E7B">
        <w:t>multinational pharmaceutical and biotechnology company)</w:t>
      </w:r>
      <w:r w:rsidR="00B63DD9" w:rsidRPr="00C05E7B">
        <w:t>,</w:t>
      </w:r>
      <w:r w:rsidR="00FE4392" w:rsidRPr="00C05E7B">
        <w:t xml:space="preserve"> </w:t>
      </w:r>
      <w:r w:rsidR="00795684" w:rsidRPr="00C05E7B">
        <w:t xml:space="preserve">due to its </w:t>
      </w:r>
      <w:r w:rsidR="00B63DD9" w:rsidRPr="00C05E7B">
        <w:t xml:space="preserve">2018 </w:t>
      </w:r>
      <w:r w:rsidR="00795684" w:rsidRPr="00C05E7B">
        <w:t xml:space="preserve">acquisition of </w:t>
      </w:r>
      <w:r w:rsidRPr="00C05E7B">
        <w:t>Monsanto</w:t>
      </w:r>
      <w:r w:rsidR="00FE4392" w:rsidRPr="00C05E7B">
        <w:t xml:space="preserve"> (</w:t>
      </w:r>
      <w:r w:rsidR="0093710F" w:rsidRPr="00C05E7B">
        <w:t xml:space="preserve">which </w:t>
      </w:r>
      <w:r w:rsidR="00FE4392" w:rsidRPr="00C05E7B">
        <w:t>was an American agrochemical company)</w:t>
      </w:r>
    </w:p>
    <w:p w14:paraId="46293BFF" w14:textId="5027C558" w:rsidR="00FE4392" w:rsidRPr="00C05E7B" w:rsidRDefault="00A05540" w:rsidP="0089682A">
      <w:pPr>
        <w:pStyle w:val="OutlineNumbered1"/>
        <w:numPr>
          <w:ilvl w:val="1"/>
          <w:numId w:val="12"/>
        </w:numPr>
      </w:pPr>
      <w:r w:rsidRPr="00C05E7B">
        <w:t>Bayer Australia Ltd</w:t>
      </w:r>
      <w:r w:rsidR="00FE4392" w:rsidRPr="00C05E7B">
        <w:t>, which is an Australian subsidiary of Bayer.</w:t>
      </w:r>
    </w:p>
    <w:p w14:paraId="6ACBDF74" w14:textId="741A892A" w:rsidR="00A617C4" w:rsidRPr="00C05E7B" w:rsidRDefault="00A617C4" w:rsidP="0041599F">
      <w:pPr>
        <w:pStyle w:val="Heading2"/>
        <w:rPr>
          <w:bCs/>
        </w:rPr>
      </w:pPr>
      <w:bookmarkStart w:id="16" w:name="_Toc219735242"/>
      <w:bookmarkStart w:id="17" w:name="_Toc211334199"/>
      <w:bookmarkStart w:id="18" w:name="_Toc230360312"/>
      <w:r w:rsidRPr="00C05E7B">
        <w:rPr>
          <w:bCs/>
        </w:rPr>
        <w:t>Complaint and outcomes sought</w:t>
      </w:r>
      <w:r w:rsidR="00700334" w:rsidRPr="00C05E7B">
        <w:rPr>
          <w:bCs/>
        </w:rPr>
        <w:t xml:space="preserve"> by the </w:t>
      </w:r>
      <w:bookmarkEnd w:id="16"/>
      <w:r w:rsidR="00C9437D">
        <w:rPr>
          <w:bCs/>
        </w:rPr>
        <w:t>n</w:t>
      </w:r>
      <w:r w:rsidR="00700334" w:rsidRPr="00C05E7B">
        <w:rPr>
          <w:bCs/>
        </w:rPr>
        <w:t>otifier</w:t>
      </w:r>
      <w:bookmarkEnd w:id="17"/>
      <w:bookmarkEnd w:id="18"/>
    </w:p>
    <w:p w14:paraId="3F10C1BC" w14:textId="4F61BC9B" w:rsidR="00DE2847" w:rsidRPr="00C05E7B" w:rsidRDefault="00B211AB" w:rsidP="00607C7D">
      <w:pPr>
        <w:pStyle w:val="OutlineNumbered1"/>
      </w:pPr>
      <w:r w:rsidRPr="00C05E7B">
        <w:t>Ms Stevens</w:t>
      </w:r>
      <w:r w:rsidR="004651F6" w:rsidRPr="00C05E7B">
        <w:t xml:space="preserve"> </w:t>
      </w:r>
      <w:r w:rsidR="00FE4392" w:rsidRPr="00C05E7B">
        <w:t xml:space="preserve">alleged </w:t>
      </w:r>
      <w:r w:rsidR="00FC34D4">
        <w:t xml:space="preserve">that </w:t>
      </w:r>
      <w:r w:rsidR="007E0672" w:rsidRPr="00C05E7B">
        <w:t xml:space="preserve">the </w:t>
      </w:r>
      <w:r w:rsidR="00F64B5E">
        <w:t>e</w:t>
      </w:r>
      <w:r w:rsidR="007E0672" w:rsidRPr="00C05E7B">
        <w:t>nterprises</w:t>
      </w:r>
      <w:r w:rsidR="00FE4392" w:rsidRPr="00C05E7B">
        <w:t xml:space="preserve"> </w:t>
      </w:r>
      <w:r w:rsidR="00243429" w:rsidRPr="00C05E7B">
        <w:t xml:space="preserve">had </w:t>
      </w:r>
      <w:r w:rsidR="00FC34D4">
        <w:t xml:space="preserve">acted inconsistently with the </w:t>
      </w:r>
      <w:r w:rsidR="00FC34D4" w:rsidRPr="00C05E7B">
        <w:t>General Policies (</w:t>
      </w:r>
      <w:proofErr w:type="spellStart"/>
      <w:r w:rsidR="00FC34D4" w:rsidRPr="00C05E7B">
        <w:t>ch</w:t>
      </w:r>
      <w:proofErr w:type="spellEnd"/>
      <w:r w:rsidR="00FC34D4" w:rsidRPr="00C05E7B">
        <w:t xml:space="preserve"> II), Disclosure (</w:t>
      </w:r>
      <w:proofErr w:type="spellStart"/>
      <w:r w:rsidR="00FC34D4" w:rsidRPr="00C05E7B">
        <w:t>ch</w:t>
      </w:r>
      <w:proofErr w:type="spellEnd"/>
      <w:r w:rsidR="00FC34D4" w:rsidRPr="00C05E7B">
        <w:t xml:space="preserve"> III), Human Rights (</w:t>
      </w:r>
      <w:proofErr w:type="spellStart"/>
      <w:r w:rsidR="00FC34D4" w:rsidRPr="00C05E7B">
        <w:t>ch</w:t>
      </w:r>
      <w:proofErr w:type="spellEnd"/>
      <w:r w:rsidR="00FC34D4" w:rsidRPr="00C05E7B">
        <w:t xml:space="preserve"> IV), Environment (</w:t>
      </w:r>
      <w:proofErr w:type="spellStart"/>
      <w:r w:rsidR="00FC34D4" w:rsidRPr="00C05E7B">
        <w:t>ch</w:t>
      </w:r>
      <w:proofErr w:type="spellEnd"/>
      <w:r w:rsidR="00FC34D4" w:rsidRPr="00C05E7B">
        <w:t xml:space="preserve"> VI)</w:t>
      </w:r>
      <w:r w:rsidR="00BC0165">
        <w:t>,</w:t>
      </w:r>
      <w:r w:rsidR="00FC34D4" w:rsidRPr="00C05E7B">
        <w:t xml:space="preserve"> and Consumer Interests (</w:t>
      </w:r>
      <w:proofErr w:type="spellStart"/>
      <w:r w:rsidR="00FC34D4" w:rsidRPr="00C05E7B">
        <w:t>ch</w:t>
      </w:r>
      <w:proofErr w:type="spellEnd"/>
      <w:r w:rsidR="00FC34D4" w:rsidRPr="00C05E7B">
        <w:t xml:space="preserve"> VIII)</w:t>
      </w:r>
      <w:r w:rsidR="00FC34D4">
        <w:t xml:space="preserve"> chapters of the OECD Guidelines</w:t>
      </w:r>
      <w:r w:rsidR="00FE4392" w:rsidRPr="00C05E7B">
        <w:t xml:space="preserve">, identifying </w:t>
      </w:r>
      <w:r w:rsidR="00F64B5E">
        <w:t>several</w:t>
      </w:r>
      <w:r w:rsidR="00FE4392" w:rsidRPr="00C05E7B">
        <w:t xml:space="preserve"> aspects said to be deficient</w:t>
      </w:r>
      <w:r w:rsidR="00F64B5E">
        <w:t>,</w:t>
      </w:r>
      <w:r w:rsidR="00FE4392" w:rsidRPr="00C05E7B">
        <w:t xml:space="preserve"> </w:t>
      </w:r>
      <w:r w:rsidR="00F54C5B" w:rsidRPr="00C05E7B">
        <w:t xml:space="preserve">including </w:t>
      </w:r>
      <w:r w:rsidR="00FE4392" w:rsidRPr="00C05E7B">
        <w:t>ris</w:t>
      </w:r>
      <w:r w:rsidR="007C67DF">
        <w:t>k</w:t>
      </w:r>
      <w:r w:rsidR="007C67DF">
        <w:noBreakHyphen/>
      </w:r>
      <w:r w:rsidR="00FE4392" w:rsidRPr="00C05E7B">
        <w:t>based due diligence, remediating harms, disclosure of information about product risks, and promotion and export of products.</w:t>
      </w:r>
      <w:r w:rsidRPr="00C05E7B">
        <w:t xml:space="preserve"> </w:t>
      </w:r>
      <w:r w:rsidR="00FE4392" w:rsidRPr="00C05E7B">
        <w:t xml:space="preserve">Ms Stevens </w:t>
      </w:r>
      <w:r w:rsidR="00DE2847" w:rsidRPr="00C05E7B">
        <w:t>requested</w:t>
      </w:r>
      <w:r w:rsidR="00F64B5E">
        <w:t xml:space="preserve"> that</w:t>
      </w:r>
      <w:r w:rsidR="00DE2847" w:rsidRPr="00C05E7B">
        <w:t xml:space="preserve"> the AusNCP </w:t>
      </w:r>
      <w:r w:rsidR="00DE2847" w:rsidRPr="00F46B32">
        <w:rPr>
          <w:i/>
        </w:rPr>
        <w:t>‘facilitate a process to address and remedy the harm suffered’</w:t>
      </w:r>
      <w:r w:rsidR="00DE2847" w:rsidRPr="00C05E7B">
        <w:t xml:space="preserve">, including mediation with </w:t>
      </w:r>
      <w:r w:rsidR="007E0672" w:rsidRPr="00C05E7B">
        <w:t xml:space="preserve">the </w:t>
      </w:r>
      <w:r w:rsidR="00F64B5E">
        <w:t>e</w:t>
      </w:r>
      <w:r w:rsidR="007E0672" w:rsidRPr="00C05E7B">
        <w:t>nterprises</w:t>
      </w:r>
      <w:r w:rsidR="00FD1D62" w:rsidRPr="00C05E7B">
        <w:t xml:space="preserve">. </w:t>
      </w:r>
      <w:r w:rsidR="43179A00" w:rsidRPr="00C05E7B">
        <w:t>She</w:t>
      </w:r>
      <w:r w:rsidR="0095120F" w:rsidRPr="00C05E7B" w:rsidDel="00EB13DE">
        <w:t xml:space="preserve"> </w:t>
      </w:r>
      <w:r w:rsidR="00EB13DE" w:rsidRPr="00C05E7B">
        <w:t xml:space="preserve">wanted </w:t>
      </w:r>
      <w:r w:rsidR="007E0672" w:rsidRPr="00C05E7B">
        <w:t xml:space="preserve">the </w:t>
      </w:r>
      <w:r w:rsidR="00F64B5E">
        <w:t>e</w:t>
      </w:r>
      <w:r w:rsidR="007E0672" w:rsidRPr="00C05E7B">
        <w:t>nterprises</w:t>
      </w:r>
      <w:r w:rsidR="00EB13DE" w:rsidRPr="00C05E7B">
        <w:t xml:space="preserve"> to</w:t>
      </w:r>
      <w:r w:rsidR="006523B1" w:rsidRPr="00C05E7B">
        <w:t xml:space="preserve"> ‘</w:t>
      </w:r>
      <w:r w:rsidR="006523B1" w:rsidRPr="00F46B32">
        <w:rPr>
          <w:i/>
        </w:rPr>
        <w:t>s</w:t>
      </w:r>
      <w:r w:rsidR="00DE2847" w:rsidRPr="00F46B32">
        <w:rPr>
          <w:i/>
        </w:rPr>
        <w:t>upport research, remediation, and reparative measures for second-generation survivors</w:t>
      </w:r>
      <w:r w:rsidR="00DE2847" w:rsidRPr="00C05E7B">
        <w:t>’</w:t>
      </w:r>
      <w:r w:rsidR="00EB13DE" w:rsidRPr="00C05E7B">
        <w:t>, among other outcomes</w:t>
      </w:r>
      <w:r w:rsidR="00DE2847" w:rsidRPr="00C05E7B">
        <w:t>.</w:t>
      </w:r>
    </w:p>
    <w:p w14:paraId="2B3D890F" w14:textId="0DA5E186" w:rsidR="00FE4392" w:rsidRPr="00C05E7B" w:rsidRDefault="00DE2847" w:rsidP="00607C7D">
      <w:pPr>
        <w:pStyle w:val="OutlineNumbered1"/>
      </w:pPr>
      <w:r w:rsidRPr="00C05E7B">
        <w:t>Ms Stevens acknowledge</w:t>
      </w:r>
      <w:r w:rsidR="006523B1" w:rsidRPr="00C05E7B">
        <w:t>d</w:t>
      </w:r>
      <w:r w:rsidRPr="00C05E7B">
        <w:t xml:space="preserve"> </w:t>
      </w:r>
      <w:r w:rsidR="00F64B5E">
        <w:t xml:space="preserve">that </w:t>
      </w:r>
      <w:r w:rsidRPr="00C05E7B">
        <w:t xml:space="preserve">the production of Agent Orange </w:t>
      </w:r>
      <w:r w:rsidR="00B5155C" w:rsidRPr="00C05E7B">
        <w:t>occurred before</w:t>
      </w:r>
      <w:r w:rsidRPr="00C05E7B">
        <w:t xml:space="preserve"> 1976</w:t>
      </w:r>
      <w:r w:rsidR="00693457" w:rsidRPr="00C05E7B">
        <w:t>,</w:t>
      </w:r>
      <w:r w:rsidRPr="00C05E7B">
        <w:t xml:space="preserve"> </w:t>
      </w:r>
      <w:r>
        <w:t xml:space="preserve">which was when </w:t>
      </w:r>
      <w:r w:rsidR="007A3D8C" w:rsidRPr="00C05E7B">
        <w:t xml:space="preserve">the </w:t>
      </w:r>
      <w:r w:rsidR="00434526">
        <w:t xml:space="preserve">OECD </w:t>
      </w:r>
      <w:r w:rsidR="007A3D8C" w:rsidRPr="00C05E7B">
        <w:t xml:space="preserve">Guidelines </w:t>
      </w:r>
      <w:r w:rsidR="00D40ABE">
        <w:t xml:space="preserve">were established </w:t>
      </w:r>
      <w:r w:rsidR="00D40ABE" w:rsidRPr="00C05E7B">
        <w:t>and</w:t>
      </w:r>
      <w:r w:rsidR="00B211AB">
        <w:t>, therefore,</w:t>
      </w:r>
      <w:r w:rsidR="00B211AB" w:rsidRPr="00C05E7B">
        <w:t xml:space="preserve"> when</w:t>
      </w:r>
      <w:r w:rsidR="00D40ABE" w:rsidRPr="00C05E7B">
        <w:t xml:space="preserve"> </w:t>
      </w:r>
      <w:r w:rsidR="33E4F1F3" w:rsidRPr="00C05E7B">
        <w:t xml:space="preserve">its </w:t>
      </w:r>
      <w:r w:rsidRPr="00C05E7B">
        <w:t xml:space="preserve">expectations of multinational enterprises first began. </w:t>
      </w:r>
      <w:r w:rsidR="001130BF" w:rsidRPr="00176AB0">
        <w:t xml:space="preserve">The </w:t>
      </w:r>
      <w:r w:rsidR="00434526" w:rsidRPr="00176AB0">
        <w:t xml:space="preserve">OECD </w:t>
      </w:r>
      <w:r w:rsidR="001130BF" w:rsidRPr="00176AB0">
        <w:t>Guidelines are not retrospective</w:t>
      </w:r>
      <w:r w:rsidR="007C67DF">
        <w:t>,</w:t>
      </w:r>
      <w:r w:rsidR="00AD5A99">
        <w:rPr>
          <w:rStyle w:val="FootnoteReference"/>
        </w:rPr>
        <w:footnoteReference w:id="5"/>
      </w:r>
      <w:r w:rsidR="00A31340" w:rsidRPr="00176AB0">
        <w:t xml:space="preserve"> but </w:t>
      </w:r>
      <w:r w:rsidR="005F1693">
        <w:t>may be</w:t>
      </w:r>
      <w:r w:rsidR="00A31340" w:rsidRPr="00176AB0">
        <w:t xml:space="preserve"> relevant </w:t>
      </w:r>
      <w:r w:rsidR="00A66015" w:rsidRPr="00176AB0">
        <w:t xml:space="preserve">where </w:t>
      </w:r>
      <w:r w:rsidR="00A66015" w:rsidRPr="00176AB0">
        <w:lastRenderedPageBreak/>
        <w:t>current</w:t>
      </w:r>
      <w:r w:rsidR="00176AB0" w:rsidRPr="00176AB0">
        <w:t xml:space="preserve"> and/or </w:t>
      </w:r>
      <w:r w:rsidR="00A66015" w:rsidRPr="00176AB0">
        <w:t xml:space="preserve">ongoing impacts </w:t>
      </w:r>
      <w:r w:rsidR="00AD5A99">
        <w:t xml:space="preserve">are related to </w:t>
      </w:r>
      <w:r w:rsidR="00A31340" w:rsidRPr="00176AB0">
        <w:t>past event</w:t>
      </w:r>
      <w:r w:rsidR="00690E23">
        <w:t>s</w:t>
      </w:r>
      <w:r w:rsidR="001130BF" w:rsidRPr="00176AB0">
        <w:t>.</w:t>
      </w:r>
      <w:r w:rsidR="00A31340" w:rsidRPr="00176AB0">
        <w:rPr>
          <w:rStyle w:val="FootnoteReference"/>
        </w:rPr>
        <w:footnoteReference w:id="6"/>
      </w:r>
      <w:r w:rsidR="001130BF" w:rsidRPr="00176AB0">
        <w:t xml:space="preserve"> </w:t>
      </w:r>
      <w:r w:rsidR="00A31340" w:rsidRPr="00176AB0">
        <w:t>T</w:t>
      </w:r>
      <w:r w:rsidRPr="00176AB0">
        <w:t xml:space="preserve">he complaint </w:t>
      </w:r>
      <w:r w:rsidR="006523B1" w:rsidRPr="00176AB0">
        <w:t xml:space="preserve">alleged various actions of </w:t>
      </w:r>
      <w:r w:rsidR="0023377D" w:rsidRPr="00176AB0">
        <w:t xml:space="preserve">Dow </w:t>
      </w:r>
      <w:r w:rsidR="0023377D">
        <w:t xml:space="preserve">and </w:t>
      </w:r>
      <w:r w:rsidRPr="00176AB0">
        <w:t xml:space="preserve">Monsanto </w:t>
      </w:r>
      <w:r w:rsidR="006523B1" w:rsidRPr="00176AB0">
        <w:t>in the 1980s and 1990s</w:t>
      </w:r>
      <w:r w:rsidR="00434526" w:rsidRPr="00176AB0">
        <w:t xml:space="preserve"> </w:t>
      </w:r>
      <w:r w:rsidR="006523B1" w:rsidRPr="00176AB0">
        <w:t xml:space="preserve">constituted ongoing impacts contrary to the then </w:t>
      </w:r>
      <w:r w:rsidR="00434526" w:rsidRPr="00176AB0">
        <w:t xml:space="preserve">OECD </w:t>
      </w:r>
      <w:r w:rsidR="006523B1" w:rsidRPr="00176AB0">
        <w:t>Guidelines</w:t>
      </w:r>
      <w:r w:rsidR="00434526" w:rsidRPr="00176AB0">
        <w:t>,</w:t>
      </w:r>
      <w:r w:rsidR="006523B1" w:rsidRPr="00176AB0">
        <w:t xml:space="preserve"> and</w:t>
      </w:r>
      <w:r w:rsidR="006523B1" w:rsidRPr="00C05E7B">
        <w:t xml:space="preserve"> that </w:t>
      </w:r>
      <w:r w:rsidR="007E0672" w:rsidRPr="00C05E7B">
        <w:t xml:space="preserve">the </w:t>
      </w:r>
      <w:r w:rsidR="00434526">
        <w:t>e</w:t>
      </w:r>
      <w:r w:rsidR="007E0672" w:rsidRPr="00C05E7B">
        <w:t>nterprises</w:t>
      </w:r>
      <w:r w:rsidR="006523B1" w:rsidRPr="00C05E7B">
        <w:t xml:space="preserve"> ‘</w:t>
      </w:r>
      <w:r w:rsidRPr="009C6F68">
        <w:rPr>
          <w:i/>
          <w:iCs/>
        </w:rPr>
        <w:t xml:space="preserve">ignored new responsibilities under the 2011 </w:t>
      </w:r>
      <w:r w:rsidR="005346C3" w:rsidRPr="009C6F68">
        <w:rPr>
          <w:i/>
          <w:iCs/>
        </w:rPr>
        <w:t>[version of the</w:t>
      </w:r>
      <w:r w:rsidR="00434526" w:rsidRPr="009C6F68">
        <w:rPr>
          <w:i/>
          <w:iCs/>
        </w:rPr>
        <w:t xml:space="preserve"> OECD</w:t>
      </w:r>
      <w:r w:rsidR="005346C3" w:rsidRPr="009C6F68">
        <w:rPr>
          <w:i/>
          <w:iCs/>
        </w:rPr>
        <w:t xml:space="preserve">] </w:t>
      </w:r>
      <w:r w:rsidRPr="009C6F68">
        <w:rPr>
          <w:i/>
          <w:iCs/>
        </w:rPr>
        <w:t>Guidelines, especially regarding due diligence, human rights, and remediation of harm</w:t>
      </w:r>
      <w:r w:rsidR="006523B1" w:rsidRPr="00C05E7B">
        <w:t>’</w:t>
      </w:r>
      <w:r w:rsidRPr="00C05E7B">
        <w:t>.</w:t>
      </w:r>
    </w:p>
    <w:p w14:paraId="46E4BCBC" w14:textId="62F1D113" w:rsidR="004651F6" w:rsidRPr="00C05E7B" w:rsidRDefault="004651F6" w:rsidP="0041599F">
      <w:pPr>
        <w:pStyle w:val="Heading2"/>
        <w:rPr>
          <w:bCs/>
        </w:rPr>
      </w:pPr>
      <w:bookmarkStart w:id="19" w:name="_Toc211334200"/>
      <w:bookmarkStart w:id="20" w:name="_Toc219735243"/>
      <w:bookmarkStart w:id="21" w:name="_Toc230360313"/>
      <w:r w:rsidRPr="00C05E7B">
        <w:rPr>
          <w:bCs/>
        </w:rPr>
        <w:t xml:space="preserve">Summary of </w:t>
      </w:r>
      <w:r w:rsidR="00700334" w:rsidRPr="00C05E7B">
        <w:rPr>
          <w:bCs/>
        </w:rPr>
        <w:t xml:space="preserve">the </w:t>
      </w:r>
      <w:r w:rsidR="00247C0A">
        <w:rPr>
          <w:bCs/>
        </w:rPr>
        <w:t>e</w:t>
      </w:r>
      <w:r w:rsidRPr="00C05E7B">
        <w:rPr>
          <w:bCs/>
        </w:rPr>
        <w:t>nterprise</w:t>
      </w:r>
      <w:r w:rsidR="00700334" w:rsidRPr="00C05E7B">
        <w:rPr>
          <w:bCs/>
        </w:rPr>
        <w:t>s</w:t>
      </w:r>
      <w:r w:rsidR="00053D59" w:rsidRPr="00C05E7B">
        <w:rPr>
          <w:bCs/>
        </w:rPr>
        <w:t>’</w:t>
      </w:r>
      <w:r w:rsidRPr="00C05E7B">
        <w:rPr>
          <w:bCs/>
        </w:rPr>
        <w:t xml:space="preserve"> position</w:t>
      </w:r>
      <w:bookmarkEnd w:id="19"/>
      <w:bookmarkEnd w:id="20"/>
      <w:bookmarkEnd w:id="21"/>
    </w:p>
    <w:p w14:paraId="5029415A" w14:textId="66F03364" w:rsidR="00C20829" w:rsidRPr="00C05E7B" w:rsidRDefault="00C76FB9" w:rsidP="00607C7D">
      <w:pPr>
        <w:pStyle w:val="OutlineNumbered1"/>
      </w:pPr>
      <w:r w:rsidRPr="00C05E7B">
        <w:t>The</w:t>
      </w:r>
      <w:r w:rsidR="0023515E" w:rsidRPr="00C05E7B">
        <w:t xml:space="preserve"> AusNCP </w:t>
      </w:r>
      <w:r w:rsidR="0022645C" w:rsidRPr="00C05E7B">
        <w:t xml:space="preserve">did </w:t>
      </w:r>
      <w:r w:rsidR="005047D3" w:rsidRPr="00C05E7B">
        <w:t xml:space="preserve">not </w:t>
      </w:r>
      <w:r w:rsidR="3FD51452" w:rsidRPr="00C05E7B">
        <w:t>ask</w:t>
      </w:r>
      <w:r w:rsidR="005047D3" w:rsidRPr="00C05E7B">
        <w:t xml:space="preserve"> </w:t>
      </w:r>
      <w:r w:rsidR="007E0672" w:rsidRPr="00C05E7B">
        <w:t xml:space="preserve">the </w:t>
      </w:r>
      <w:r w:rsidR="00247C0A">
        <w:t>e</w:t>
      </w:r>
      <w:r w:rsidR="007E0672" w:rsidRPr="00C05E7B">
        <w:t>nterprises</w:t>
      </w:r>
      <w:r w:rsidR="005047D3" w:rsidRPr="00C05E7B">
        <w:t xml:space="preserve"> </w:t>
      </w:r>
      <w:r w:rsidR="00AA7F66" w:rsidRPr="00C05E7B">
        <w:t xml:space="preserve">to formally </w:t>
      </w:r>
      <w:r w:rsidR="005047D3" w:rsidRPr="00C05E7B">
        <w:t>respond to the allegations</w:t>
      </w:r>
      <w:r w:rsidR="0022645C" w:rsidRPr="00C05E7B">
        <w:t xml:space="preserve"> when it notified them of the complaint</w:t>
      </w:r>
      <w:r w:rsidR="005047D3" w:rsidRPr="00C05E7B">
        <w:t xml:space="preserve">, </w:t>
      </w:r>
      <w:r w:rsidR="6628D59B" w:rsidRPr="00C05E7B">
        <w:t>bec</w:t>
      </w:r>
      <w:r w:rsidR="006E24CD" w:rsidRPr="00C05E7B">
        <w:t>a</w:t>
      </w:r>
      <w:r w:rsidR="5A6043C4" w:rsidRPr="00C05E7B">
        <w:t>u</w:t>
      </w:r>
      <w:r w:rsidR="006E24CD" w:rsidRPr="00C05E7B">
        <w:t>s</w:t>
      </w:r>
      <w:r w:rsidR="6872D7A6" w:rsidRPr="00C05E7B">
        <w:t>e</w:t>
      </w:r>
      <w:r w:rsidR="005C6DA6" w:rsidRPr="00C05E7B">
        <w:t xml:space="preserve"> the AusNCP needed to first determine</w:t>
      </w:r>
      <w:r w:rsidR="006523B1" w:rsidRPr="00C05E7B">
        <w:t xml:space="preserve"> which NCP should conduct </w:t>
      </w:r>
      <w:r w:rsidR="008902B6" w:rsidRPr="00C05E7B">
        <w:t>the</w:t>
      </w:r>
      <w:r w:rsidR="006523B1" w:rsidRPr="00C05E7B">
        <w:t xml:space="preserve"> </w:t>
      </w:r>
      <w:r w:rsidR="00247C0A">
        <w:t>I</w:t>
      </w:r>
      <w:r w:rsidR="006523B1" w:rsidRPr="00C05E7B">
        <w:t xml:space="preserve">nitial </w:t>
      </w:r>
      <w:r w:rsidR="00247C0A">
        <w:t>A</w:t>
      </w:r>
      <w:r w:rsidR="006523B1" w:rsidRPr="00C05E7B">
        <w:t>ssessment</w:t>
      </w:r>
      <w:r w:rsidR="008902B6" w:rsidRPr="00C05E7B">
        <w:t>.</w:t>
      </w:r>
      <w:r w:rsidR="006523B1" w:rsidRPr="00C05E7B">
        <w:t xml:space="preserve"> Nevertheless, Dow </w:t>
      </w:r>
      <w:r w:rsidR="00255912" w:rsidRPr="00C05E7B" w:rsidDel="0026241D">
        <w:t xml:space="preserve">communicated </w:t>
      </w:r>
      <w:r w:rsidR="00255912" w:rsidRPr="00C05E7B">
        <w:t xml:space="preserve">that it </w:t>
      </w:r>
      <w:r w:rsidR="00C24990" w:rsidRPr="00C05E7B">
        <w:t>disputed</w:t>
      </w:r>
      <w:r w:rsidR="006523B1" w:rsidRPr="00C05E7B">
        <w:t xml:space="preserve"> </w:t>
      </w:r>
      <w:r w:rsidR="00DE2981" w:rsidRPr="00C05E7B">
        <w:t>Ms Steven</w:t>
      </w:r>
      <w:r w:rsidR="00FF769C" w:rsidRPr="00C05E7B">
        <w:t>s</w:t>
      </w:r>
      <w:r w:rsidR="00DE2981" w:rsidRPr="00C05E7B">
        <w:t xml:space="preserve">’ </w:t>
      </w:r>
      <w:r w:rsidR="006523B1" w:rsidRPr="00C05E7B">
        <w:t>allegation</w:t>
      </w:r>
      <w:r w:rsidR="009272A9" w:rsidRPr="00C05E7B">
        <w:t>s</w:t>
      </w:r>
      <w:r w:rsidR="006523B1">
        <w:t xml:space="preserve"> and contended </w:t>
      </w:r>
      <w:r w:rsidR="00196300">
        <w:t xml:space="preserve">that </w:t>
      </w:r>
      <w:r w:rsidR="006523B1">
        <w:t>the various actions and decisions involved US Government direction</w:t>
      </w:r>
      <w:r w:rsidR="002D16C0">
        <w:t>s</w:t>
      </w:r>
      <w:r w:rsidR="006523B1">
        <w:t xml:space="preserve"> </w:t>
      </w:r>
      <w:r w:rsidR="002D16C0">
        <w:t xml:space="preserve">to </w:t>
      </w:r>
      <w:r w:rsidR="006523B1">
        <w:t>the relevant companies</w:t>
      </w:r>
      <w:r w:rsidR="006523B1" w:rsidRPr="00C05E7B">
        <w:t>.</w:t>
      </w:r>
      <w:r w:rsidR="00FC23EE" w:rsidRPr="00C05E7B">
        <w:t xml:space="preserve"> Dow also emphasised that it is currently a party to Agent Orange-related legal</w:t>
      </w:r>
      <w:r w:rsidR="006468AD">
        <w:t> </w:t>
      </w:r>
      <w:r w:rsidR="00FC23EE" w:rsidRPr="00C05E7B">
        <w:t xml:space="preserve">proceedings in other </w:t>
      </w:r>
      <w:r w:rsidR="00247C0A">
        <w:t>forums</w:t>
      </w:r>
      <w:r w:rsidR="00FC23EE" w:rsidRPr="00C05E7B">
        <w:t xml:space="preserve">, and that it has </w:t>
      </w:r>
      <w:r w:rsidR="006468AD">
        <w:t xml:space="preserve">an </w:t>
      </w:r>
      <w:r w:rsidR="00FC23EE" w:rsidRPr="00C05E7B">
        <w:t>‘</w:t>
      </w:r>
      <w:r w:rsidR="00FC23EE" w:rsidRPr="009C6F68">
        <w:rPr>
          <w:i/>
          <w:iCs/>
        </w:rPr>
        <w:t>interest in maintaining a consistent record on Agent Orange matters and, to that end here, directed the Independent Examiner to material from prior Agent Orange court rulings, government reports and other academic literature</w:t>
      </w:r>
      <w:r w:rsidR="00FC23EE" w:rsidRPr="00C05E7B">
        <w:t>’. These matters have been noted, where relevant, in this statement.</w:t>
      </w:r>
    </w:p>
    <w:p w14:paraId="05555CF3" w14:textId="23541F56" w:rsidR="006523B1" w:rsidRPr="00C05E7B" w:rsidRDefault="006523B1" w:rsidP="00607C7D">
      <w:pPr>
        <w:pStyle w:val="OutlineNumbered1"/>
      </w:pPr>
      <w:r w:rsidRPr="00C05E7B">
        <w:t xml:space="preserve">As the complaint </w:t>
      </w:r>
      <w:r w:rsidR="002C12D4" w:rsidRPr="00C05E7B">
        <w:t xml:space="preserve">did not continue, the AusNCP makes no determination on the merits of Ms Stevens’ claims against the </w:t>
      </w:r>
      <w:r w:rsidR="00247C0A">
        <w:t>e</w:t>
      </w:r>
      <w:r w:rsidR="002C12D4" w:rsidRPr="00C05E7B">
        <w:t xml:space="preserve">nterprises, nor does it assess whether the </w:t>
      </w:r>
      <w:r w:rsidR="00247C0A">
        <w:t>e</w:t>
      </w:r>
      <w:r w:rsidR="002C12D4" w:rsidRPr="00C05E7B">
        <w:t xml:space="preserve">nterprises’ actions were consistent with the </w:t>
      </w:r>
      <w:r w:rsidR="00247C0A">
        <w:t xml:space="preserve">OECD </w:t>
      </w:r>
      <w:r w:rsidR="002C12D4" w:rsidRPr="00C05E7B">
        <w:t>Guidelines</w:t>
      </w:r>
      <w:r w:rsidR="00D939E1" w:rsidRPr="00C05E7B">
        <w:t>.</w:t>
      </w:r>
    </w:p>
    <w:p w14:paraId="028E87ED" w14:textId="5721CD85" w:rsidR="00F64BE8" w:rsidRPr="00C05E7B" w:rsidRDefault="0021741F" w:rsidP="0041599F">
      <w:pPr>
        <w:pStyle w:val="Heading2"/>
      </w:pPr>
      <w:bookmarkStart w:id="22" w:name="_Toc211334201"/>
      <w:bookmarkStart w:id="23" w:name="_Toc219735244"/>
      <w:bookmarkStart w:id="24" w:name="_Toc230360314"/>
      <w:r w:rsidRPr="00C05E7B">
        <w:t>Notifier</w:t>
      </w:r>
      <w:r w:rsidR="003C2087">
        <w:t>’s</w:t>
      </w:r>
      <w:r w:rsidRPr="00C05E7B">
        <w:t xml:space="preserve"> a</w:t>
      </w:r>
      <w:r w:rsidR="00F64BE8" w:rsidRPr="00C05E7B">
        <w:t>llegations against</w:t>
      </w:r>
      <w:r w:rsidRPr="00C05E7B">
        <w:t xml:space="preserve"> no</w:t>
      </w:r>
      <w:r w:rsidR="003C2087">
        <w:t>n-</w:t>
      </w:r>
      <w:r w:rsidRPr="00C05E7B">
        <w:t>parties</w:t>
      </w:r>
      <w:bookmarkEnd w:id="22"/>
      <w:bookmarkEnd w:id="23"/>
      <w:bookmarkEnd w:id="24"/>
    </w:p>
    <w:p w14:paraId="4728A6EC" w14:textId="2E78CECF" w:rsidR="00FB4270" w:rsidRPr="00C05E7B" w:rsidRDefault="00DB6050" w:rsidP="0089682A">
      <w:pPr>
        <w:pStyle w:val="OutlineNumbered1"/>
      </w:pPr>
      <w:r w:rsidRPr="00C05E7B">
        <w:t xml:space="preserve">Over </w:t>
      </w:r>
      <w:r w:rsidR="0021741F" w:rsidRPr="00C05E7B">
        <w:t>two</w:t>
      </w:r>
      <w:r w:rsidR="00C338B5" w:rsidRPr="00C05E7B">
        <w:t xml:space="preserve"> and a half</w:t>
      </w:r>
      <w:r w:rsidR="0021741F" w:rsidRPr="00C05E7B">
        <w:t xml:space="preserve"> months, from</w:t>
      </w:r>
      <w:r w:rsidR="00C338B5" w:rsidRPr="00C05E7B">
        <w:t xml:space="preserve"> Ms Stevens</w:t>
      </w:r>
      <w:r w:rsidR="0021741F" w:rsidRPr="00C05E7B">
        <w:t xml:space="preserve"> </w:t>
      </w:r>
      <w:r w:rsidR="00C338B5" w:rsidRPr="00C05E7B">
        <w:t xml:space="preserve">first </w:t>
      </w:r>
      <w:r w:rsidR="0021741F" w:rsidRPr="00C05E7B">
        <w:t>lodging the complaint</w:t>
      </w:r>
      <w:r w:rsidR="003C5119" w:rsidRPr="00C05E7B">
        <w:t xml:space="preserve"> (</w:t>
      </w:r>
      <w:r w:rsidR="00545515" w:rsidRPr="00C05E7B">
        <w:t>13 May 2025)</w:t>
      </w:r>
      <w:r w:rsidR="00C86C8A">
        <w:t>,</w:t>
      </w:r>
      <w:r w:rsidR="0021741F" w:rsidRPr="00C05E7B">
        <w:t xml:space="preserve"> to </w:t>
      </w:r>
      <w:r w:rsidR="00607BBD" w:rsidRPr="00C05E7B">
        <w:t>just after she</w:t>
      </w:r>
      <w:r w:rsidR="00E16DFC" w:rsidRPr="00C05E7B">
        <w:t xml:space="preserve"> </w:t>
      </w:r>
      <w:r w:rsidR="617239B6" w:rsidRPr="00C05E7B">
        <w:t>indicat</w:t>
      </w:r>
      <w:r w:rsidR="2E4FFF33" w:rsidRPr="00C05E7B">
        <w:t>ed</w:t>
      </w:r>
      <w:r w:rsidR="0021741F" w:rsidRPr="00C05E7B">
        <w:t xml:space="preserve"> she no longer wanted the AusNCP to </w:t>
      </w:r>
      <w:r w:rsidR="004D5EAB" w:rsidRPr="00C05E7B">
        <w:t>progress the complaint</w:t>
      </w:r>
      <w:r w:rsidR="003C5119" w:rsidRPr="00C05E7B">
        <w:t xml:space="preserve"> (</w:t>
      </w:r>
      <w:r w:rsidR="00545515" w:rsidRPr="00C05E7B">
        <w:t>29</w:t>
      </w:r>
      <w:r w:rsidR="00607BBD" w:rsidRPr="00C05E7B">
        <w:t> </w:t>
      </w:r>
      <w:r w:rsidR="00545515" w:rsidRPr="00C05E7B">
        <w:t>July</w:t>
      </w:r>
      <w:r w:rsidR="007650C6">
        <w:t xml:space="preserve"> 2025</w:t>
      </w:r>
      <w:r w:rsidR="003C5119" w:rsidRPr="00C05E7B">
        <w:t>)</w:t>
      </w:r>
      <w:r w:rsidR="0021741F" w:rsidRPr="00C05E7B">
        <w:t>, Ms</w:t>
      </w:r>
      <w:r w:rsidR="007650C6">
        <w:t> </w:t>
      </w:r>
      <w:r w:rsidR="0021741F" w:rsidRPr="00C05E7B">
        <w:t xml:space="preserve">Stevens made </w:t>
      </w:r>
      <w:r w:rsidR="00607BBD" w:rsidRPr="00C05E7B">
        <w:t xml:space="preserve">numerous </w:t>
      </w:r>
      <w:r w:rsidR="0021741F" w:rsidRPr="00C05E7B">
        <w:t>allegations against</w:t>
      </w:r>
      <w:r w:rsidR="00D54E8F" w:rsidRPr="00C05E7B">
        <w:t xml:space="preserve"> entities other than </w:t>
      </w:r>
      <w:r w:rsidR="007E0672" w:rsidRPr="00C05E7B">
        <w:t xml:space="preserve">the </w:t>
      </w:r>
      <w:r w:rsidR="007650C6">
        <w:t>e</w:t>
      </w:r>
      <w:r w:rsidR="007E0672" w:rsidRPr="00C05E7B">
        <w:t>nterprises</w:t>
      </w:r>
      <w:r w:rsidR="004D5EAB" w:rsidRPr="00C05E7B">
        <w:t xml:space="preserve"> and published many of these</w:t>
      </w:r>
      <w:r w:rsidR="003642E2" w:rsidRPr="00C05E7B">
        <w:t xml:space="preserve"> on her website</w:t>
      </w:r>
      <w:r w:rsidR="009454C6" w:rsidRPr="00C05E7B">
        <w:t>,</w:t>
      </w:r>
      <w:r w:rsidR="008231DC" w:rsidRPr="00C05E7B">
        <w:t xml:space="preserve"> including</w:t>
      </w:r>
      <w:r w:rsidR="009454C6" w:rsidRPr="00C05E7B">
        <w:t xml:space="preserve"> allegations against</w:t>
      </w:r>
      <w:r w:rsidR="008231DC" w:rsidRPr="00C05E7B">
        <w:t>:</w:t>
      </w:r>
    </w:p>
    <w:p w14:paraId="75FEA03C" w14:textId="3DE5B98C" w:rsidR="00FB4270" w:rsidRPr="00C05E7B" w:rsidRDefault="000A17EB" w:rsidP="0089682A">
      <w:pPr>
        <w:pStyle w:val="OutlineNumbered1"/>
        <w:numPr>
          <w:ilvl w:val="1"/>
          <w:numId w:val="12"/>
        </w:numPr>
      </w:pPr>
      <w:r w:rsidRPr="00C05E7B">
        <w:t xml:space="preserve">several </w:t>
      </w:r>
      <w:r w:rsidR="0021741F" w:rsidRPr="00C05E7B">
        <w:t>NCPs</w:t>
      </w:r>
      <w:r w:rsidR="00913B8C" w:rsidRPr="00C05E7B">
        <w:t xml:space="preserve"> involved in this complaint, </w:t>
      </w:r>
      <w:r w:rsidR="0080342C" w:rsidRPr="00C05E7B">
        <w:t>including</w:t>
      </w:r>
      <w:r w:rsidR="0021741F" w:rsidRPr="00C05E7B" w:rsidDel="0080342C">
        <w:t xml:space="preserve"> </w:t>
      </w:r>
      <w:r w:rsidR="00232B1E" w:rsidRPr="00C05E7B">
        <w:t xml:space="preserve">allegations of </w:t>
      </w:r>
      <w:r w:rsidR="0021741F" w:rsidRPr="00C05E7B">
        <w:t xml:space="preserve">obstruction, delay, conflict of interest, </w:t>
      </w:r>
      <w:r w:rsidR="0030598F" w:rsidRPr="00C05E7B">
        <w:t>and</w:t>
      </w:r>
      <w:r w:rsidR="0080342C" w:rsidRPr="00C05E7B">
        <w:t xml:space="preserve"> </w:t>
      </w:r>
      <w:r w:rsidR="0021741F" w:rsidRPr="00C05E7B">
        <w:t>procedural failure</w:t>
      </w:r>
    </w:p>
    <w:p w14:paraId="3F43044C" w14:textId="72265427" w:rsidR="004D5EAB" w:rsidRPr="00C05E7B" w:rsidRDefault="486D886E" w:rsidP="0089682A">
      <w:pPr>
        <w:pStyle w:val="OutlineNumbered1"/>
        <w:numPr>
          <w:ilvl w:val="1"/>
          <w:numId w:val="12"/>
        </w:numPr>
      </w:pPr>
      <w:r w:rsidRPr="00C05E7B">
        <w:t xml:space="preserve">several governments </w:t>
      </w:r>
      <w:r w:rsidR="00232B1E" w:rsidRPr="00C05E7B">
        <w:t>regarding</w:t>
      </w:r>
      <w:r w:rsidRPr="00C05E7B">
        <w:t xml:space="preserve"> </w:t>
      </w:r>
      <w:r w:rsidR="617239B6" w:rsidRPr="00C05E7B">
        <w:t>fraud</w:t>
      </w:r>
      <w:r w:rsidR="3BCEAF7E" w:rsidRPr="00C05E7B">
        <w:t xml:space="preserve"> and</w:t>
      </w:r>
      <w:r w:rsidR="617239B6" w:rsidRPr="00C05E7B">
        <w:t xml:space="preserve"> misrepresentation, treaty breaches</w:t>
      </w:r>
      <w:r w:rsidR="00BA5347">
        <w:t>,</w:t>
      </w:r>
      <w:r w:rsidR="617239B6" w:rsidRPr="00C05E7B">
        <w:t xml:space="preserve"> and complicity in </w:t>
      </w:r>
      <w:r w:rsidR="1EEDE77B" w:rsidRPr="00C05E7B">
        <w:t xml:space="preserve">war crimes and other </w:t>
      </w:r>
      <w:r w:rsidR="617239B6" w:rsidRPr="00C05E7B">
        <w:t>crimes against humanity</w:t>
      </w:r>
      <w:r w:rsidR="00CE4FE2" w:rsidRPr="00C05E7B">
        <w:t xml:space="preserve"> in relation to the </w:t>
      </w:r>
      <w:r w:rsidR="00196FBC" w:rsidRPr="00C05E7B">
        <w:t>use of Agent</w:t>
      </w:r>
      <w:r w:rsidR="00077F43" w:rsidRPr="00C05E7B">
        <w:t> </w:t>
      </w:r>
      <w:r w:rsidR="00196FBC" w:rsidRPr="00C05E7B">
        <w:t xml:space="preserve">Orange and </w:t>
      </w:r>
      <w:r w:rsidR="002D7DE7" w:rsidRPr="00C05E7B">
        <w:t>other matters</w:t>
      </w:r>
      <w:r w:rsidR="617239B6" w:rsidRPr="00C05E7B">
        <w:t>.</w:t>
      </w:r>
    </w:p>
    <w:p w14:paraId="7ACD0A6C" w14:textId="6FBDC5E1" w:rsidR="00F64BE8" w:rsidRPr="00C05E7B" w:rsidRDefault="00D14AAA" w:rsidP="0089682A">
      <w:pPr>
        <w:pStyle w:val="OutlineNumbered1"/>
      </w:pPr>
      <w:r w:rsidRPr="00C05E7B">
        <w:t>Given the above</w:t>
      </w:r>
      <w:r w:rsidR="00A87C51" w:rsidRPr="00C05E7B">
        <w:t>,</w:t>
      </w:r>
      <w:r w:rsidR="00AB3902" w:rsidRPr="00C05E7B">
        <w:t xml:space="preserve"> </w:t>
      </w:r>
      <w:r w:rsidR="00A33C0F" w:rsidRPr="00C05E7B">
        <w:t xml:space="preserve">the </w:t>
      </w:r>
      <w:r w:rsidR="004D386C" w:rsidRPr="00C05E7B">
        <w:t>Independent Examiner</w:t>
      </w:r>
      <w:r w:rsidR="00A33C0F" w:rsidRPr="00C05E7B">
        <w:t xml:space="preserve"> </w:t>
      </w:r>
      <w:r w:rsidR="00F21842" w:rsidRPr="00C05E7B">
        <w:t xml:space="preserve">has </w:t>
      </w:r>
      <w:r w:rsidR="00202E3D" w:rsidRPr="00C05E7B">
        <w:t>include</w:t>
      </w:r>
      <w:r w:rsidR="00F21842" w:rsidRPr="00C05E7B">
        <w:t>d</w:t>
      </w:r>
      <w:r w:rsidR="00202E3D" w:rsidRPr="00C05E7B">
        <w:t xml:space="preserve"> </w:t>
      </w:r>
      <w:r w:rsidR="00F21842" w:rsidRPr="00C05E7B">
        <w:t xml:space="preserve">in this statement </w:t>
      </w:r>
      <w:r w:rsidR="00202E3D" w:rsidRPr="00C05E7B">
        <w:t xml:space="preserve">some exchanges with </w:t>
      </w:r>
      <w:r w:rsidR="009C4481" w:rsidRPr="00C05E7B">
        <w:t xml:space="preserve">the </w:t>
      </w:r>
      <w:r w:rsidR="007650C6">
        <w:t>p</w:t>
      </w:r>
      <w:r w:rsidR="009C4481" w:rsidRPr="00C05E7B">
        <w:t>arties</w:t>
      </w:r>
      <w:r w:rsidR="0021741F" w:rsidRPr="00C05E7B">
        <w:t>.</w:t>
      </w:r>
      <w:r w:rsidR="00DB6050" w:rsidRPr="00C05E7B">
        <w:t xml:space="preserve"> This </w:t>
      </w:r>
      <w:r w:rsidR="00202E3D" w:rsidRPr="00C05E7B">
        <w:t>involve</w:t>
      </w:r>
      <w:r w:rsidR="008231DC" w:rsidRPr="00C05E7B">
        <w:t>d</w:t>
      </w:r>
      <w:r w:rsidR="00202E3D" w:rsidRPr="00C05E7B">
        <w:t xml:space="preserve"> a balance between transparency and </w:t>
      </w:r>
      <w:r w:rsidR="00D15F13" w:rsidRPr="00C05E7B">
        <w:t xml:space="preserve">recognising the need to avoid sharing sensitive information, </w:t>
      </w:r>
      <w:r w:rsidR="00202E3D" w:rsidRPr="00C05E7B">
        <w:t xml:space="preserve">and </w:t>
      </w:r>
      <w:r w:rsidR="00DB6050" w:rsidRPr="00C05E7B">
        <w:t>has been done in the following context</w:t>
      </w:r>
      <w:r w:rsidR="007650C6">
        <w:t>:</w:t>
      </w:r>
    </w:p>
    <w:p w14:paraId="57FC8016" w14:textId="36DFF131" w:rsidR="00B00037" w:rsidRPr="00C05E7B" w:rsidRDefault="00B00037" w:rsidP="0089682A">
      <w:pPr>
        <w:pStyle w:val="OutlineNumbered1"/>
        <w:numPr>
          <w:ilvl w:val="1"/>
          <w:numId w:val="12"/>
        </w:numPr>
      </w:pPr>
      <w:r w:rsidRPr="00C05E7B">
        <w:t xml:space="preserve">The </w:t>
      </w:r>
      <w:r w:rsidR="007650C6">
        <w:t xml:space="preserve">OECD </w:t>
      </w:r>
      <w:r w:rsidRPr="00C05E7B">
        <w:t>Guidelines require that, at the conclusion of the proceedings and after consultation with the parties involved, an NCP must ‘</w:t>
      </w:r>
      <w:r w:rsidRPr="009C6F68">
        <w:rPr>
          <w:i/>
          <w:iCs/>
        </w:rPr>
        <w:t xml:space="preserve">make the results of the proceedings publicly available, taking into account the need to protect sensitive business and other </w:t>
      </w:r>
      <w:r w:rsidRPr="009C6F68">
        <w:rPr>
          <w:i/>
          <w:iCs/>
        </w:rPr>
        <w:lastRenderedPageBreak/>
        <w:t xml:space="preserve">stakeholder information, by publicly issuing a </w:t>
      </w:r>
      <w:r w:rsidR="007650C6" w:rsidRPr="009C6F68">
        <w:rPr>
          <w:i/>
          <w:iCs/>
        </w:rPr>
        <w:t>[F]</w:t>
      </w:r>
      <w:proofErr w:type="spellStart"/>
      <w:r w:rsidRPr="009C6F68">
        <w:rPr>
          <w:i/>
          <w:iCs/>
        </w:rPr>
        <w:t>inal</w:t>
      </w:r>
      <w:proofErr w:type="spellEnd"/>
      <w:r w:rsidRPr="009C6F68">
        <w:rPr>
          <w:i/>
          <w:iCs/>
        </w:rPr>
        <w:t xml:space="preserve"> </w:t>
      </w:r>
      <w:r w:rsidR="007650C6" w:rsidRPr="009C6F68">
        <w:rPr>
          <w:i/>
          <w:iCs/>
        </w:rPr>
        <w:t>[S]</w:t>
      </w:r>
      <w:proofErr w:type="spellStart"/>
      <w:r w:rsidRPr="009C6F68">
        <w:rPr>
          <w:i/>
          <w:iCs/>
        </w:rPr>
        <w:t>tatement</w:t>
      </w:r>
      <w:proofErr w:type="spellEnd"/>
      <w:r w:rsidRPr="00C05E7B">
        <w:t xml:space="preserve">’. </w:t>
      </w:r>
      <w:r w:rsidR="00ED0089">
        <w:t xml:space="preserve">The </w:t>
      </w:r>
      <w:r w:rsidR="00C319A0" w:rsidRPr="00C05E7B">
        <w:t xml:space="preserve">content </w:t>
      </w:r>
      <w:r w:rsidR="00ED0089">
        <w:t xml:space="preserve">of such a statement </w:t>
      </w:r>
      <w:r w:rsidR="00C319A0" w:rsidRPr="00C05E7B">
        <w:t>depends on the course of the proceedings</w:t>
      </w:r>
      <w:r w:rsidR="00ED0089">
        <w:t>,</w:t>
      </w:r>
      <w:r w:rsidR="00C319A0" w:rsidRPr="00C05E7B">
        <w:t xml:space="preserve"> but where there has been no agreement, the </w:t>
      </w:r>
      <w:r w:rsidR="00696428">
        <w:t xml:space="preserve">OECD </w:t>
      </w:r>
      <w:r w:rsidR="00C319A0" w:rsidRPr="00C05E7B">
        <w:t>Guidelines indicate</w:t>
      </w:r>
      <w:r w:rsidR="00696428">
        <w:t xml:space="preserve"> that</w:t>
      </w:r>
      <w:r w:rsidR="00C319A0" w:rsidRPr="00C05E7B">
        <w:t xml:space="preserve"> </w:t>
      </w:r>
      <w:r w:rsidR="00466D9D">
        <w:t>it</w:t>
      </w:r>
      <w:r w:rsidR="00C319A0" w:rsidRPr="00C05E7B">
        <w:t xml:space="preserve"> ‘</w:t>
      </w:r>
      <w:r w:rsidR="00C319A0" w:rsidRPr="009C6F68">
        <w:rPr>
          <w:i/>
          <w:iCs/>
        </w:rPr>
        <w:t xml:space="preserve">should at a minimum describe the issues raised, </w:t>
      </w:r>
      <w:r w:rsidR="00C319A0" w:rsidRPr="009C6F68">
        <w:rPr>
          <w:i/>
          <w:iCs/>
          <w:u w:val="single"/>
        </w:rPr>
        <w:t>the parties</w:t>
      </w:r>
      <w:r w:rsidR="002A4E01" w:rsidRPr="009C6F68">
        <w:rPr>
          <w:i/>
          <w:iCs/>
          <w:u w:val="single"/>
        </w:rPr>
        <w:t>’</w:t>
      </w:r>
      <w:r w:rsidR="00C319A0" w:rsidRPr="009C6F68">
        <w:rPr>
          <w:i/>
          <w:iCs/>
          <w:u w:val="single"/>
        </w:rPr>
        <w:t xml:space="preserve"> respective positions as appropriate</w:t>
      </w:r>
      <w:r w:rsidR="00C319A0" w:rsidRPr="009C6F68">
        <w:rPr>
          <w:i/>
          <w:iCs/>
        </w:rPr>
        <w:t>, the steps taken by the NCP</w:t>
      </w:r>
      <w:r w:rsidR="00466D9D" w:rsidRPr="009C6F68">
        <w:rPr>
          <w:i/>
          <w:iCs/>
        </w:rPr>
        <w:t xml:space="preserve"> …</w:t>
      </w:r>
      <w:r w:rsidR="00C319A0" w:rsidRPr="009C6F68">
        <w:rPr>
          <w:i/>
          <w:iCs/>
        </w:rPr>
        <w:t>, and the reasons for the NCP</w:t>
      </w:r>
      <w:r w:rsidR="00780051" w:rsidRPr="009C6F68">
        <w:rPr>
          <w:i/>
          <w:iCs/>
        </w:rPr>
        <w:t>’</w:t>
      </w:r>
      <w:r w:rsidR="00C319A0" w:rsidRPr="009C6F68">
        <w:rPr>
          <w:i/>
          <w:iCs/>
        </w:rPr>
        <w:t>s decision</w:t>
      </w:r>
      <w:r w:rsidR="00C319A0" w:rsidRPr="00C05E7B">
        <w:t>’.</w:t>
      </w:r>
      <w:r w:rsidR="00C319A0" w:rsidRPr="00C05E7B">
        <w:rPr>
          <w:rStyle w:val="FootnoteReference"/>
        </w:rPr>
        <w:footnoteReference w:id="7"/>
      </w:r>
    </w:p>
    <w:p w14:paraId="17E0C103" w14:textId="66F1B8F2" w:rsidR="009D0431" w:rsidRPr="00C05E7B" w:rsidRDefault="00077F43" w:rsidP="0089682A">
      <w:pPr>
        <w:pStyle w:val="OutlineNumbered1"/>
        <w:numPr>
          <w:ilvl w:val="1"/>
          <w:numId w:val="12"/>
        </w:numPr>
      </w:pPr>
      <w:r w:rsidRPr="00C05E7B">
        <w:t xml:space="preserve">According to the </w:t>
      </w:r>
      <w:r w:rsidR="00696428">
        <w:t xml:space="preserve">OECD </w:t>
      </w:r>
      <w:r w:rsidRPr="00C05E7B">
        <w:t>Guidelines</w:t>
      </w:r>
      <w:r w:rsidR="00696428">
        <w:t>’</w:t>
      </w:r>
      <w:r w:rsidRPr="00C05E7B">
        <w:t xml:space="preserve"> Implementation Procedures, </w:t>
      </w:r>
      <w:r w:rsidR="00202E3D" w:rsidRPr="00C05E7B">
        <w:t xml:space="preserve">NCPs </w:t>
      </w:r>
      <w:r w:rsidR="00F21842" w:rsidRPr="00C05E7B">
        <w:t>must</w:t>
      </w:r>
      <w:r w:rsidR="00202E3D" w:rsidRPr="00C05E7B">
        <w:t xml:space="preserve"> operate in a manner </w:t>
      </w:r>
      <w:r w:rsidR="00696428">
        <w:t>that</w:t>
      </w:r>
      <w:r w:rsidR="00202E3D" w:rsidRPr="00C05E7B">
        <w:t xml:space="preserve"> is</w:t>
      </w:r>
      <w:r w:rsidR="00BC4736">
        <w:t xml:space="preserve"> visible, accessible,</w:t>
      </w:r>
      <w:r w:rsidR="00202E3D" w:rsidRPr="00C05E7B">
        <w:t xml:space="preserve"> transparent, accountable, impartial and equitable, predictable, and compatible with the </w:t>
      </w:r>
      <w:r w:rsidR="00DC5456">
        <w:t xml:space="preserve">OECD </w:t>
      </w:r>
      <w:r w:rsidR="00202E3D" w:rsidRPr="00C05E7B">
        <w:t>Guidelines.</w:t>
      </w:r>
      <w:r w:rsidR="00202E3D" w:rsidRPr="00C05E7B">
        <w:rPr>
          <w:rStyle w:val="FootnoteReference"/>
        </w:rPr>
        <w:footnoteReference w:id="8"/>
      </w:r>
      <w:r w:rsidR="00202E3D" w:rsidRPr="00C05E7B">
        <w:t xml:space="preserve"> Particularly relevant here</w:t>
      </w:r>
      <w:r w:rsidR="00A871A2">
        <w:t xml:space="preserve"> is</w:t>
      </w:r>
      <w:r w:rsidR="009D0431" w:rsidRPr="00C05E7B">
        <w:t>:</w:t>
      </w:r>
    </w:p>
    <w:p w14:paraId="6D54F98D" w14:textId="7CCBEB8F" w:rsidR="00202E3D" w:rsidRPr="009C6F68" w:rsidRDefault="003055CB" w:rsidP="0089682A">
      <w:pPr>
        <w:pStyle w:val="OutlineNumbered1"/>
        <w:numPr>
          <w:ilvl w:val="0"/>
          <w:numId w:val="0"/>
        </w:numPr>
        <w:ind w:left="1701"/>
        <w:rPr>
          <w:i/>
          <w:sz w:val="20"/>
        </w:rPr>
      </w:pPr>
      <w:r>
        <w:rPr>
          <w:iCs/>
          <w:sz w:val="20"/>
          <w:u w:val="single"/>
        </w:rPr>
        <w:t>‘</w:t>
      </w:r>
      <w:r w:rsidR="00202E3D" w:rsidRPr="009C6F68">
        <w:rPr>
          <w:i/>
          <w:sz w:val="20"/>
          <w:u w:val="single"/>
        </w:rPr>
        <w:t>Transparency</w:t>
      </w:r>
      <w:r w:rsidR="00202E3D" w:rsidRPr="009C6F68">
        <w:rPr>
          <w:i/>
          <w:sz w:val="20"/>
        </w:rPr>
        <w:t xml:space="preserve"> is an important criterion … in gaining the confidence of stakeholders, parties to specific instances and the general public [and so] as a general principle and subject to applicable law, the activities of the NCP will be transparent.</w:t>
      </w:r>
      <w:r w:rsidR="009D0431" w:rsidRPr="009C6F68">
        <w:rPr>
          <w:i/>
          <w:sz w:val="20"/>
        </w:rPr>
        <w:t xml:space="preserve"> …</w:t>
      </w:r>
      <w:r w:rsidR="00202E3D" w:rsidRPr="009C6F68">
        <w:rPr>
          <w:i/>
          <w:sz w:val="20"/>
        </w:rPr>
        <w:t xml:space="preserve"> </w:t>
      </w:r>
    </w:p>
    <w:p w14:paraId="235E37F4" w14:textId="52BDAE44" w:rsidR="009D0431" w:rsidRPr="009C6F68" w:rsidRDefault="009D0431" w:rsidP="0089682A">
      <w:pPr>
        <w:pStyle w:val="OutlineNumbered1"/>
        <w:numPr>
          <w:ilvl w:val="0"/>
          <w:numId w:val="0"/>
        </w:numPr>
        <w:ind w:left="1701"/>
        <w:rPr>
          <w:i/>
          <w:sz w:val="20"/>
        </w:rPr>
      </w:pPr>
      <w:r w:rsidRPr="009C6F68">
        <w:rPr>
          <w:i/>
          <w:sz w:val="20"/>
          <w:u w:val="single"/>
        </w:rPr>
        <w:t>Predictable</w:t>
      </w:r>
      <w:r w:rsidRPr="009C6F68">
        <w:rPr>
          <w:i/>
          <w:sz w:val="20"/>
        </w:rPr>
        <w:t xml:space="preserve"> [entails that] NCPs</w:t>
      </w:r>
      <w:r w:rsidR="00C04AF9" w:rsidRPr="009C6F68">
        <w:rPr>
          <w:i/>
          <w:sz w:val="20"/>
        </w:rPr>
        <w:t>’</w:t>
      </w:r>
      <w:r w:rsidRPr="009C6F68">
        <w:rPr>
          <w:i/>
          <w:sz w:val="20"/>
        </w:rPr>
        <w:t xml:space="preserve"> operations will provide clear and publicly available information on their role and the procedures they follow in fulfilling their responsibilities, particularly in the resolution of specific instances. …</w:t>
      </w:r>
    </w:p>
    <w:p w14:paraId="754FC1EC" w14:textId="4F001A51" w:rsidR="009D0431" w:rsidRPr="00C05E7B" w:rsidRDefault="009D0431" w:rsidP="0089682A">
      <w:pPr>
        <w:pStyle w:val="OutlineNumbered1"/>
        <w:numPr>
          <w:ilvl w:val="0"/>
          <w:numId w:val="0"/>
        </w:numPr>
        <w:ind w:left="1701"/>
        <w:rPr>
          <w:iCs/>
          <w:sz w:val="20"/>
        </w:rPr>
      </w:pPr>
      <w:r w:rsidRPr="009C6F68">
        <w:rPr>
          <w:i/>
          <w:sz w:val="20"/>
          <w:u w:val="single"/>
        </w:rPr>
        <w:t xml:space="preserve">Compatible with the </w:t>
      </w:r>
      <w:r w:rsidR="00EC2AC8" w:rsidRPr="009C6F68">
        <w:rPr>
          <w:i/>
          <w:sz w:val="20"/>
          <w:u w:val="single"/>
        </w:rPr>
        <w:t xml:space="preserve">[OECD] </w:t>
      </w:r>
      <w:r w:rsidRPr="009C6F68">
        <w:rPr>
          <w:i/>
          <w:sz w:val="20"/>
          <w:u w:val="single"/>
        </w:rPr>
        <w:t>Guidelines</w:t>
      </w:r>
      <w:r w:rsidRPr="009C6F68">
        <w:rPr>
          <w:i/>
          <w:sz w:val="20"/>
        </w:rPr>
        <w:t xml:space="preserve"> … means working with parties to avoid any situation where agreements are contrary to the </w:t>
      </w:r>
      <w:r w:rsidR="00EC2AC8" w:rsidRPr="009C6F68">
        <w:rPr>
          <w:i/>
          <w:sz w:val="20"/>
        </w:rPr>
        <w:t xml:space="preserve">[OECD] </w:t>
      </w:r>
      <w:r w:rsidRPr="009C6F68">
        <w:rPr>
          <w:i/>
          <w:sz w:val="20"/>
        </w:rPr>
        <w:t xml:space="preserve">Guidelines, or where case-handling procedures are inconsistent with the </w:t>
      </w:r>
      <w:r w:rsidR="002B4932" w:rsidRPr="009C6F68">
        <w:rPr>
          <w:i/>
          <w:sz w:val="20"/>
        </w:rPr>
        <w:t xml:space="preserve">[Implementation] </w:t>
      </w:r>
      <w:r w:rsidRPr="009C6F68">
        <w:rPr>
          <w:i/>
          <w:sz w:val="20"/>
        </w:rPr>
        <w:t>Procedures</w:t>
      </w:r>
      <w:r w:rsidRPr="00C05E7B">
        <w:rPr>
          <w:iCs/>
          <w:sz w:val="20"/>
        </w:rPr>
        <w:t>.</w:t>
      </w:r>
      <w:r w:rsidR="003055CB">
        <w:rPr>
          <w:iCs/>
          <w:sz w:val="20"/>
        </w:rPr>
        <w:t>’</w:t>
      </w:r>
      <w:r w:rsidRPr="00C05E7B">
        <w:rPr>
          <w:rStyle w:val="FootnoteReference"/>
          <w:iCs/>
        </w:rPr>
        <w:footnoteReference w:id="9"/>
      </w:r>
    </w:p>
    <w:p w14:paraId="0A57D199" w14:textId="41050AC4" w:rsidR="00C319A0" w:rsidRPr="00C05E7B" w:rsidRDefault="00C319A0" w:rsidP="0089682A">
      <w:pPr>
        <w:pStyle w:val="OutlineNumbered1"/>
        <w:numPr>
          <w:ilvl w:val="1"/>
          <w:numId w:val="12"/>
        </w:numPr>
      </w:pPr>
      <w:r w:rsidRPr="00C05E7B">
        <w:t xml:space="preserve">The </w:t>
      </w:r>
      <w:r w:rsidR="008E4168">
        <w:t xml:space="preserve">OECD </w:t>
      </w:r>
      <w:r w:rsidRPr="00C05E7B">
        <w:t>Guidelines’ commentary expressly acknowledges the relationship between transparency and confidentiality</w:t>
      </w:r>
      <w:r w:rsidR="008E4168">
        <w:t>:</w:t>
      </w:r>
    </w:p>
    <w:p w14:paraId="7AF2A6FC" w14:textId="64EB5664" w:rsidR="00C319A0" w:rsidRPr="00C05E7B" w:rsidRDefault="00E84741" w:rsidP="0089682A">
      <w:pPr>
        <w:pStyle w:val="OutlineNumbered1"/>
        <w:numPr>
          <w:ilvl w:val="0"/>
          <w:numId w:val="0"/>
        </w:numPr>
        <w:ind w:left="1701"/>
        <w:rPr>
          <w:iCs/>
          <w:sz w:val="20"/>
        </w:rPr>
      </w:pPr>
      <w:r>
        <w:rPr>
          <w:iCs/>
          <w:sz w:val="20"/>
        </w:rPr>
        <w:t>‘</w:t>
      </w:r>
      <w:r w:rsidR="00C319A0" w:rsidRPr="009C6F68">
        <w:rPr>
          <w:i/>
          <w:sz w:val="20"/>
        </w:rPr>
        <w:t xml:space="preserve">Transparency is … a general principle for the conduct of NCPs </w:t>
      </w:r>
      <w:r w:rsidR="00C56E63" w:rsidRPr="009C6F68">
        <w:rPr>
          <w:i/>
          <w:sz w:val="20"/>
        </w:rPr>
        <w:t>…</w:t>
      </w:r>
      <w:r w:rsidR="00C319A0" w:rsidRPr="009C6F68">
        <w:rPr>
          <w:i/>
          <w:sz w:val="20"/>
        </w:rPr>
        <w:t xml:space="preserve"> However, … there are specific circumstances where maintaining confidentiality of certain facts and arguments brought forward by the parties is justified. For example … to protect sensitive business information, such as commercial secrets …</w:t>
      </w:r>
      <w:r w:rsidR="00176AB0" w:rsidRPr="009C6F68">
        <w:rPr>
          <w:i/>
          <w:sz w:val="20"/>
        </w:rPr>
        <w:t xml:space="preserve"> </w:t>
      </w:r>
      <w:r w:rsidR="00C319A0" w:rsidRPr="009C6F68">
        <w:rPr>
          <w:i/>
          <w:sz w:val="20"/>
        </w:rPr>
        <w:t xml:space="preserve">[and] the identity of individuals … if disclosing it places them or related persons at risk of retaliation. Nonetheless, </w:t>
      </w:r>
      <w:r w:rsidR="00C319A0" w:rsidRPr="009C6F68">
        <w:rPr>
          <w:i/>
          <w:sz w:val="20"/>
          <w:u w:val="single"/>
        </w:rPr>
        <w:t xml:space="preserve">it remains important to strike a balance between transparency and confidentiality in order to build confidence in the </w:t>
      </w:r>
      <w:r w:rsidR="005C40EB" w:rsidRPr="009C6F68">
        <w:rPr>
          <w:i/>
          <w:sz w:val="20"/>
          <w:u w:val="single"/>
        </w:rPr>
        <w:t>[NCP]</w:t>
      </w:r>
      <w:r w:rsidR="00C319A0" w:rsidRPr="009C6F68">
        <w:rPr>
          <w:i/>
          <w:sz w:val="20"/>
          <w:u w:val="single"/>
        </w:rPr>
        <w:t xml:space="preserve"> process and to promote the </w:t>
      </w:r>
      <w:r w:rsidR="000A61BD" w:rsidRPr="009C6F68">
        <w:rPr>
          <w:i/>
          <w:sz w:val="20"/>
          <w:u w:val="single"/>
        </w:rPr>
        <w:t xml:space="preserve">[OECD] </w:t>
      </w:r>
      <w:r w:rsidR="00C319A0" w:rsidRPr="009C6F68">
        <w:rPr>
          <w:i/>
          <w:sz w:val="20"/>
          <w:u w:val="single"/>
        </w:rPr>
        <w:t>Guidelines</w:t>
      </w:r>
      <w:r w:rsidR="000A61BD" w:rsidRPr="009C6F68">
        <w:rPr>
          <w:i/>
          <w:sz w:val="20"/>
          <w:u w:val="single"/>
        </w:rPr>
        <w:t>’</w:t>
      </w:r>
      <w:r w:rsidR="00C319A0" w:rsidRPr="009C6F68">
        <w:rPr>
          <w:i/>
          <w:sz w:val="20"/>
          <w:u w:val="single"/>
        </w:rPr>
        <w:t xml:space="preserve"> effective implementation</w:t>
      </w:r>
      <w:r w:rsidR="00C319A0" w:rsidRPr="009C6F68">
        <w:rPr>
          <w:i/>
          <w:sz w:val="20"/>
        </w:rPr>
        <w:t>.</w:t>
      </w:r>
      <w:r>
        <w:rPr>
          <w:iCs/>
          <w:sz w:val="20"/>
        </w:rPr>
        <w:t>’</w:t>
      </w:r>
      <w:r w:rsidR="00C319A0" w:rsidRPr="00C05E7B">
        <w:rPr>
          <w:rStyle w:val="FootnoteReference"/>
          <w:iCs/>
        </w:rPr>
        <w:footnoteReference w:id="10"/>
      </w:r>
    </w:p>
    <w:p w14:paraId="090835D2" w14:textId="3408BA10" w:rsidR="00DB6050" w:rsidRPr="00C05E7B" w:rsidRDefault="005168CE" w:rsidP="0089682A">
      <w:pPr>
        <w:pStyle w:val="OutlineNumbered1"/>
        <w:numPr>
          <w:ilvl w:val="1"/>
          <w:numId w:val="12"/>
        </w:numPr>
      </w:pPr>
      <w:r w:rsidRPr="00C05E7B">
        <w:t xml:space="preserve">The </w:t>
      </w:r>
      <w:r w:rsidR="00E51A5B" w:rsidRPr="00C05E7B">
        <w:t xml:space="preserve">AusNCP </w:t>
      </w:r>
      <w:r w:rsidR="000A61BD">
        <w:t>complaint p</w:t>
      </w:r>
      <w:r w:rsidRPr="00C05E7B">
        <w:t xml:space="preserve">rocedures </w:t>
      </w:r>
      <w:r w:rsidR="00991895" w:rsidRPr="00C05E7B">
        <w:t>align with</w:t>
      </w:r>
      <w:r w:rsidRPr="00C05E7B">
        <w:t xml:space="preserve"> the </w:t>
      </w:r>
      <w:r w:rsidR="000A61BD">
        <w:t xml:space="preserve">OECD </w:t>
      </w:r>
      <w:r w:rsidRPr="00C05E7B">
        <w:t>Guidelines</w:t>
      </w:r>
      <w:r w:rsidR="00BD0C0C" w:rsidRPr="00C05E7B">
        <w:t xml:space="preserve"> in emphasising the importance of confidentiality and transparency,</w:t>
      </w:r>
      <w:r w:rsidR="00BD0C0C" w:rsidRPr="00C05E7B">
        <w:rPr>
          <w:rStyle w:val="FootnoteReference"/>
        </w:rPr>
        <w:footnoteReference w:id="11"/>
      </w:r>
      <w:r w:rsidR="00BD0C0C" w:rsidRPr="00C05E7B">
        <w:t xml:space="preserve"> and</w:t>
      </w:r>
      <w:r w:rsidR="002C0588" w:rsidRPr="00C05E7B">
        <w:t xml:space="preserve"> </w:t>
      </w:r>
      <w:r w:rsidR="008231DC" w:rsidRPr="00C05E7B">
        <w:t xml:space="preserve">requiring </w:t>
      </w:r>
      <w:r w:rsidR="002C0588" w:rsidRPr="00C05E7B">
        <w:t xml:space="preserve">the </w:t>
      </w:r>
      <w:proofErr w:type="spellStart"/>
      <w:r w:rsidR="002C0588" w:rsidRPr="00C05E7B">
        <w:t>AusNCP’s</w:t>
      </w:r>
      <w:proofErr w:type="spellEnd"/>
      <w:r w:rsidR="002C0588" w:rsidRPr="00C05E7B">
        <w:t xml:space="preserve"> public statement at the conclusion </w:t>
      </w:r>
      <w:r w:rsidR="008231DC" w:rsidRPr="00C05E7B">
        <w:t xml:space="preserve">of a complaint to </w:t>
      </w:r>
      <w:r w:rsidR="002C0588" w:rsidRPr="009C6F68">
        <w:rPr>
          <w:i/>
          <w:iCs/>
        </w:rPr>
        <w:t>‘</w:t>
      </w:r>
      <w:r w:rsidR="001136D4" w:rsidRPr="009C6F68">
        <w:rPr>
          <w:i/>
          <w:iCs/>
        </w:rPr>
        <w:t>[a]</w:t>
      </w:r>
      <w:r w:rsidR="002C0588" w:rsidRPr="009C6F68">
        <w:rPr>
          <w:i/>
          <w:iCs/>
        </w:rPr>
        <w:t xml:space="preserve">t a minimum … account for: the need to protect sensitive business and other stakeholder information; the parties’ respective positions as appropriate; the steps taken by </w:t>
      </w:r>
      <w:r w:rsidR="00800173">
        <w:rPr>
          <w:i/>
          <w:iCs/>
        </w:rPr>
        <w:t xml:space="preserve">[the] </w:t>
      </w:r>
      <w:r w:rsidR="002C0588" w:rsidRPr="009C6F68">
        <w:rPr>
          <w:i/>
          <w:iCs/>
        </w:rPr>
        <w:t xml:space="preserve">AusNCP; </w:t>
      </w:r>
      <w:r w:rsidR="008C10AF">
        <w:rPr>
          <w:i/>
        </w:rPr>
        <w:t>[</w:t>
      </w:r>
      <w:r w:rsidR="002C0588" w:rsidRPr="009C6F68">
        <w:rPr>
          <w:i/>
          <w:iCs/>
        </w:rPr>
        <w:t>and</w:t>
      </w:r>
      <w:r w:rsidR="008C10AF">
        <w:rPr>
          <w:i/>
        </w:rPr>
        <w:t>]</w:t>
      </w:r>
      <w:r w:rsidR="002C0588" w:rsidRPr="009C6F68">
        <w:rPr>
          <w:i/>
          <w:iCs/>
        </w:rPr>
        <w:t xml:space="preserve"> the parties’ engagement in the process, and will include the issues raised</w:t>
      </w:r>
      <w:r w:rsidR="002C0588" w:rsidRPr="00C05E7B">
        <w:t>’</w:t>
      </w:r>
      <w:r w:rsidR="00BD0C0C" w:rsidRPr="00C05E7B">
        <w:t>.</w:t>
      </w:r>
      <w:r w:rsidR="002C0588" w:rsidRPr="00C05E7B">
        <w:rPr>
          <w:rStyle w:val="FootnoteReference"/>
        </w:rPr>
        <w:footnoteReference w:id="12"/>
      </w:r>
      <w:r w:rsidR="00BD0C0C" w:rsidRPr="00C05E7B">
        <w:t xml:space="preserve"> The AusNCP </w:t>
      </w:r>
      <w:r w:rsidR="001136D4">
        <w:t>complaint p</w:t>
      </w:r>
      <w:r w:rsidR="00BD0C0C" w:rsidRPr="00C05E7B">
        <w:t>rocedures</w:t>
      </w:r>
      <w:r w:rsidR="000B78E1" w:rsidRPr="00C05E7B">
        <w:t xml:space="preserve"> state</w:t>
      </w:r>
      <w:r w:rsidR="001136D4">
        <w:t xml:space="preserve"> that</w:t>
      </w:r>
      <w:r w:rsidR="008231DC" w:rsidRPr="00C05E7B">
        <w:t>:</w:t>
      </w:r>
    </w:p>
    <w:p w14:paraId="5E6FDE5B" w14:textId="2320D0B0" w:rsidR="00BD0C0C" w:rsidRPr="00C05E7B" w:rsidRDefault="00E84741" w:rsidP="0089682A">
      <w:pPr>
        <w:pStyle w:val="OutlineNumbered1"/>
        <w:numPr>
          <w:ilvl w:val="0"/>
          <w:numId w:val="0"/>
        </w:numPr>
        <w:ind w:left="1701"/>
      </w:pPr>
      <w:r>
        <w:lastRenderedPageBreak/>
        <w:t>‘</w:t>
      </w:r>
      <w:r w:rsidR="00BD0C0C" w:rsidRPr="009C6F68">
        <w:rPr>
          <w:i/>
          <w:iCs/>
        </w:rPr>
        <w:t>Transparency is one of the core criteria by which</w:t>
      </w:r>
      <w:r w:rsidR="00F33E57" w:rsidRPr="009C6F68">
        <w:rPr>
          <w:i/>
          <w:iCs/>
        </w:rPr>
        <w:t xml:space="preserve"> [the]</w:t>
      </w:r>
      <w:r w:rsidR="00BD0C0C" w:rsidRPr="009C6F68">
        <w:rPr>
          <w:i/>
          <w:iCs/>
        </w:rPr>
        <w:t xml:space="preserve"> AusNCP operates. At the same time, </w:t>
      </w:r>
      <w:r w:rsidR="00BD0C0C" w:rsidRPr="009C6F68">
        <w:rPr>
          <w:i/>
          <w:iCs/>
          <w:u w:val="single"/>
        </w:rPr>
        <w:t xml:space="preserve">it is important for the parties to have confidence that information provided to </w:t>
      </w:r>
      <w:r w:rsidR="00F33E57" w:rsidRPr="009C6F68">
        <w:rPr>
          <w:i/>
          <w:iCs/>
          <w:u w:val="single"/>
        </w:rPr>
        <w:t xml:space="preserve">[the] </w:t>
      </w:r>
      <w:r w:rsidR="00BD0C0C" w:rsidRPr="009C6F68">
        <w:rPr>
          <w:i/>
          <w:iCs/>
          <w:u w:val="single"/>
        </w:rPr>
        <w:t xml:space="preserve">AusNCP </w:t>
      </w:r>
      <w:r w:rsidR="00BD0C0C" w:rsidRPr="009C6F68">
        <w:rPr>
          <w:i/>
          <w:iCs/>
        </w:rPr>
        <w:t>will be treated sensitively. This information</w:t>
      </w:r>
      <w:r w:rsidR="00BD0C0C" w:rsidRPr="009C6F68">
        <w:rPr>
          <w:i/>
          <w:iCs/>
          <w:u w:val="single"/>
        </w:rPr>
        <w:t xml:space="preserve"> will not be released publicly by representatives of </w:t>
      </w:r>
      <w:r w:rsidR="00F33E57" w:rsidRPr="009C6F68">
        <w:rPr>
          <w:i/>
          <w:iCs/>
          <w:u w:val="single"/>
        </w:rPr>
        <w:t xml:space="preserve">[the] </w:t>
      </w:r>
      <w:r w:rsidR="00BD0C0C" w:rsidRPr="009C6F68">
        <w:rPr>
          <w:i/>
          <w:iCs/>
          <w:u w:val="single"/>
        </w:rPr>
        <w:t xml:space="preserve">AusNCP without </w:t>
      </w:r>
      <w:r w:rsidR="00BD0C0C" w:rsidRPr="009C6F68">
        <w:rPr>
          <w:rFonts w:cstheme="minorHAnsi"/>
          <w:i/>
          <w:iCs/>
          <w:u w:val="single"/>
        </w:rPr>
        <w:t>consultation and consent</w:t>
      </w:r>
      <w:r w:rsidRPr="00D519BC">
        <w:rPr>
          <w:rFonts w:cstheme="minorHAnsi"/>
        </w:rPr>
        <w:t>’</w:t>
      </w:r>
      <w:r w:rsidR="00D519BC" w:rsidRPr="00D519BC">
        <w:rPr>
          <w:rFonts w:cstheme="minorHAnsi"/>
        </w:rPr>
        <w:t>.</w:t>
      </w:r>
      <w:r w:rsidR="00BD0C0C" w:rsidRPr="00D519BC">
        <w:rPr>
          <w:rStyle w:val="FootnoteReference"/>
          <w:rFonts w:cstheme="minorHAnsi"/>
        </w:rPr>
        <w:footnoteReference w:id="13"/>
      </w:r>
    </w:p>
    <w:p w14:paraId="02A7A95C" w14:textId="45B06205" w:rsidR="00B00037" w:rsidRPr="00C05E7B" w:rsidRDefault="0023378C" w:rsidP="0089682A">
      <w:pPr>
        <w:pStyle w:val="OutlineNumbered1"/>
        <w:numPr>
          <w:ilvl w:val="1"/>
          <w:numId w:val="12"/>
        </w:numPr>
      </w:pPr>
      <w:r w:rsidRPr="00C05E7B">
        <w:t>T</w:t>
      </w:r>
      <w:r w:rsidR="00B00037" w:rsidRPr="00C05E7B">
        <w:t xml:space="preserve">he main focus of protections for parties’ confidentiality and interests is </w:t>
      </w:r>
      <w:r w:rsidR="000B78E1" w:rsidRPr="00C05E7B">
        <w:t xml:space="preserve">about </w:t>
      </w:r>
      <w:r w:rsidR="00C319A0" w:rsidRPr="00C05E7B">
        <w:t xml:space="preserve">exchanges during any </w:t>
      </w:r>
      <w:r w:rsidR="00B00037" w:rsidRPr="00C05E7B">
        <w:t>‘</w:t>
      </w:r>
      <w:r w:rsidR="00F33E57">
        <w:t>g</w:t>
      </w:r>
      <w:r w:rsidR="00E62730" w:rsidRPr="00C05E7B">
        <w:t xml:space="preserve">ood </w:t>
      </w:r>
      <w:r w:rsidR="00F33E57">
        <w:t>o</w:t>
      </w:r>
      <w:r w:rsidR="00E62730" w:rsidRPr="00C05E7B">
        <w:t>ffices</w:t>
      </w:r>
      <w:r w:rsidR="00B00037" w:rsidRPr="00C05E7B">
        <w:t xml:space="preserve">’ </w:t>
      </w:r>
      <w:r w:rsidR="00F33E57">
        <w:t xml:space="preserve">process </w:t>
      </w:r>
      <w:r w:rsidR="00B00037" w:rsidRPr="00C05E7B">
        <w:t>(or ‘dispute resolution’</w:t>
      </w:r>
      <w:r w:rsidR="00F33E57">
        <w:t>,</w:t>
      </w:r>
      <w:r w:rsidR="00B00037" w:rsidRPr="00C05E7B">
        <w:t xml:space="preserve"> as it is termed in the AusNCP </w:t>
      </w:r>
      <w:r w:rsidR="00F33E57">
        <w:t>complaint p</w:t>
      </w:r>
      <w:r w:rsidR="00B00037" w:rsidRPr="00C05E7B">
        <w:t>rocedures).</w:t>
      </w:r>
      <w:r w:rsidR="00B00037" w:rsidRPr="00C05E7B">
        <w:rPr>
          <w:rStyle w:val="FootnoteReference"/>
        </w:rPr>
        <w:footnoteReference w:id="14"/>
      </w:r>
      <w:r w:rsidR="00B00037" w:rsidRPr="00C05E7B">
        <w:t xml:space="preserve"> </w:t>
      </w:r>
      <w:r w:rsidR="002C0588" w:rsidRPr="00C05E7B">
        <w:t xml:space="preserve">Strict confidentiality </w:t>
      </w:r>
      <w:r w:rsidR="007708A3" w:rsidRPr="00C05E7B">
        <w:t>for that</w:t>
      </w:r>
      <w:r w:rsidR="008231DC" w:rsidRPr="00C05E7B">
        <w:t xml:space="preserve"> </w:t>
      </w:r>
      <w:r w:rsidR="001257BA">
        <w:t>phase</w:t>
      </w:r>
      <w:r w:rsidR="007708A3" w:rsidRPr="00C05E7B">
        <w:t xml:space="preserve"> </w:t>
      </w:r>
      <w:r w:rsidR="002C0588" w:rsidRPr="00C05E7B">
        <w:t xml:space="preserve">is essential to providing a forum for the parties’ engagement. </w:t>
      </w:r>
      <w:r w:rsidR="008231DC" w:rsidRPr="00C05E7B">
        <w:t>T</w:t>
      </w:r>
      <w:r w:rsidR="002C0588" w:rsidRPr="00C05E7B">
        <w:t xml:space="preserve">hat confidentiality regime </w:t>
      </w:r>
      <w:r w:rsidR="008231DC" w:rsidRPr="00C05E7B">
        <w:t>shou</w:t>
      </w:r>
      <w:r w:rsidR="000B78E1" w:rsidRPr="00C05E7B">
        <w:t>l</w:t>
      </w:r>
      <w:r w:rsidR="008231DC" w:rsidRPr="00C05E7B">
        <w:t xml:space="preserve">d not, however, govern all </w:t>
      </w:r>
      <w:r w:rsidR="002C0588" w:rsidRPr="00C05E7B">
        <w:t>information an NCP receives from parties</w:t>
      </w:r>
      <w:r w:rsidR="007708A3" w:rsidRPr="00C05E7B">
        <w:t xml:space="preserve">. To do so </w:t>
      </w:r>
      <w:r w:rsidR="002C0588" w:rsidRPr="00C05E7B">
        <w:t xml:space="preserve">would </w:t>
      </w:r>
      <w:r w:rsidR="008231DC" w:rsidRPr="00C05E7B">
        <w:t>impede</w:t>
      </w:r>
      <w:r w:rsidR="002C0588" w:rsidRPr="00C05E7B">
        <w:t xml:space="preserve"> an NCP from performing its fundamental role of furthering the effectiveness of the </w:t>
      </w:r>
      <w:r w:rsidR="001257BA">
        <w:t xml:space="preserve">OECD </w:t>
      </w:r>
      <w:r w:rsidR="002C0588" w:rsidRPr="00C05E7B">
        <w:t>Guidelines.</w:t>
      </w:r>
    </w:p>
    <w:p w14:paraId="280D9B9E" w14:textId="1D3CDA13" w:rsidR="00E51A5B" w:rsidRPr="00C05E7B" w:rsidRDefault="002C0588" w:rsidP="0089682A">
      <w:pPr>
        <w:pStyle w:val="OutlineNumbered1"/>
        <w:numPr>
          <w:ilvl w:val="1"/>
          <w:numId w:val="12"/>
        </w:numPr>
      </w:pPr>
      <w:r w:rsidRPr="00C05E7B">
        <w:t>In this case, considerable t</w:t>
      </w:r>
      <w:r w:rsidR="00E51A5B" w:rsidRPr="00C05E7B">
        <w:t xml:space="preserve">ime and resources </w:t>
      </w:r>
      <w:r w:rsidRPr="00C05E7B">
        <w:t>ha</w:t>
      </w:r>
      <w:r w:rsidR="007708A3" w:rsidRPr="00C05E7B">
        <w:t>ve</w:t>
      </w:r>
      <w:r w:rsidRPr="00C05E7B">
        <w:t xml:space="preserve"> been devoted by many parties in </w:t>
      </w:r>
      <w:r w:rsidR="001257BA">
        <w:t>seeking</w:t>
      </w:r>
      <w:r w:rsidRPr="00C05E7B">
        <w:t xml:space="preserve"> to progress the </w:t>
      </w:r>
      <w:r w:rsidR="001257BA">
        <w:t xml:space="preserve">notifier’s </w:t>
      </w:r>
      <w:r w:rsidRPr="00C05E7B">
        <w:t xml:space="preserve">complaint according to the </w:t>
      </w:r>
      <w:r w:rsidR="001257BA">
        <w:t xml:space="preserve">OECD </w:t>
      </w:r>
      <w:r w:rsidRPr="00C05E7B">
        <w:t xml:space="preserve">Guidelines. This includes the time and resources of Ms Stevens, </w:t>
      </w:r>
      <w:r w:rsidR="007E0672" w:rsidRPr="00C05E7B">
        <w:t xml:space="preserve">the </w:t>
      </w:r>
      <w:r w:rsidR="001257BA">
        <w:t>e</w:t>
      </w:r>
      <w:r w:rsidR="007E0672" w:rsidRPr="00C05E7B">
        <w:t>nterprises</w:t>
      </w:r>
      <w:r w:rsidRPr="00C05E7B">
        <w:t>, and the various NCPs.</w:t>
      </w:r>
    </w:p>
    <w:p w14:paraId="113CEC49" w14:textId="0BA99953" w:rsidR="007708A3" w:rsidRPr="00C05E7B" w:rsidRDefault="002C0588" w:rsidP="0089682A">
      <w:pPr>
        <w:pStyle w:val="OutlineNumbered1"/>
        <w:numPr>
          <w:ilvl w:val="1"/>
          <w:numId w:val="12"/>
        </w:numPr>
      </w:pPr>
      <w:r w:rsidRPr="00C05E7B">
        <w:t>There is a b</w:t>
      </w:r>
      <w:r w:rsidR="00E51A5B" w:rsidRPr="00C05E7B">
        <w:t>alance as to what</w:t>
      </w:r>
      <w:r w:rsidR="0091306F">
        <w:t xml:space="preserve"> information</w:t>
      </w:r>
      <w:r w:rsidR="007708A3" w:rsidRPr="00C05E7B">
        <w:t xml:space="preserve"> should be</w:t>
      </w:r>
      <w:r w:rsidR="00E51A5B" w:rsidRPr="00C05E7B">
        <w:t xml:space="preserve"> included</w:t>
      </w:r>
      <w:r w:rsidR="007708A3" w:rsidRPr="00C05E7B">
        <w:t xml:space="preserve"> in this </w:t>
      </w:r>
      <w:r w:rsidR="001257BA">
        <w:t>Final S</w:t>
      </w:r>
      <w:r w:rsidR="007708A3" w:rsidRPr="00C05E7B">
        <w:t>tatement</w:t>
      </w:r>
      <w:r w:rsidR="00E51A5B" w:rsidRPr="00C05E7B">
        <w:t xml:space="preserve">, </w:t>
      </w:r>
      <w:r w:rsidR="006713E5" w:rsidRPr="006713E5">
        <w:t>in endeavouring to appropriately protect the interests of all parties while also providing transparency</w:t>
      </w:r>
      <w:r w:rsidR="00E51A5B" w:rsidRPr="00C05E7B">
        <w:t>.</w:t>
      </w:r>
      <w:r w:rsidR="005168CE" w:rsidRPr="00C05E7B">
        <w:t xml:space="preserve"> </w:t>
      </w:r>
      <w:r w:rsidR="002C01D4" w:rsidRPr="002C01D4">
        <w:t xml:space="preserve">This is in the context of communications in which Ms Stevens has indicated that the Netherlands NCP should consider her concerns regarding the enterprises, and </w:t>
      </w:r>
      <w:r w:rsidR="002C01D4">
        <w:t xml:space="preserve">where </w:t>
      </w:r>
      <w:r w:rsidR="002C01D4" w:rsidRPr="002C01D4">
        <w:t>Dow has addressed the relevance of the OECD Guidelines to these issues</w:t>
      </w:r>
      <w:r w:rsidR="00C46ECF">
        <w:t xml:space="preserve">, </w:t>
      </w:r>
      <w:r w:rsidR="002C01D4" w:rsidRPr="002C01D4">
        <w:t xml:space="preserve">as explained later in this </w:t>
      </w:r>
      <w:r w:rsidR="002C01D4">
        <w:t>s</w:t>
      </w:r>
      <w:r w:rsidR="002C01D4" w:rsidRPr="002C01D4">
        <w:t>tatement</w:t>
      </w:r>
      <w:r w:rsidR="008231DC" w:rsidRPr="00C05E7B">
        <w:t>.</w:t>
      </w:r>
    </w:p>
    <w:p w14:paraId="2DA12214" w14:textId="2CEE9D8B" w:rsidR="007708A3" w:rsidRPr="00C05E7B" w:rsidRDefault="007708A3" w:rsidP="0089682A">
      <w:pPr>
        <w:pStyle w:val="OutlineNumbered1"/>
      </w:pPr>
      <w:r w:rsidRPr="00C05E7B">
        <w:t xml:space="preserve">The </w:t>
      </w:r>
      <w:r w:rsidR="004D386C" w:rsidRPr="00C05E7B">
        <w:t>Independent Examiner</w:t>
      </w:r>
      <w:r w:rsidR="00F21842" w:rsidRPr="00C05E7B">
        <w:t xml:space="preserve"> considers the extracts included </w:t>
      </w:r>
      <w:r w:rsidRPr="00C05E7B">
        <w:t xml:space="preserve">in this </w:t>
      </w:r>
      <w:r w:rsidR="002C01D4">
        <w:t>Final S</w:t>
      </w:r>
      <w:r w:rsidRPr="00C05E7B">
        <w:t xml:space="preserve">tatement </w:t>
      </w:r>
      <w:r w:rsidR="00F21842" w:rsidRPr="00C05E7B">
        <w:t xml:space="preserve">are appropriate </w:t>
      </w:r>
      <w:r w:rsidRPr="00C05E7B">
        <w:t xml:space="preserve">to further the effectiveness of the </w:t>
      </w:r>
      <w:r w:rsidR="002C01D4">
        <w:t xml:space="preserve">OECD </w:t>
      </w:r>
      <w:r w:rsidRPr="00C05E7B">
        <w:t xml:space="preserve">Guidelines, </w:t>
      </w:r>
      <w:r w:rsidR="002C01D4">
        <w:t>noting</w:t>
      </w:r>
      <w:r w:rsidR="005100F6">
        <w:t xml:space="preserve"> that</w:t>
      </w:r>
      <w:r w:rsidRPr="00C05E7B">
        <w:t>:</w:t>
      </w:r>
    </w:p>
    <w:p w14:paraId="6F4220B9" w14:textId="3E1D555C" w:rsidR="00A56FC1" w:rsidRPr="00C05E7B" w:rsidRDefault="00A56FC1" w:rsidP="0089682A">
      <w:pPr>
        <w:pStyle w:val="OutlineNumbered1"/>
        <w:numPr>
          <w:ilvl w:val="1"/>
          <w:numId w:val="12"/>
        </w:numPr>
      </w:pPr>
      <w:r w:rsidRPr="00C05E7B">
        <w:t>many of the allegations and assertions made by Ms Stevens have been publicly disclosed on her website</w:t>
      </w:r>
    </w:p>
    <w:p w14:paraId="402BB160" w14:textId="288D9483" w:rsidR="00A56FC1" w:rsidRPr="0093774E" w:rsidRDefault="00A56FC1" w:rsidP="0089682A">
      <w:pPr>
        <w:pStyle w:val="OutlineNumbered1"/>
        <w:numPr>
          <w:ilvl w:val="1"/>
          <w:numId w:val="12"/>
        </w:numPr>
      </w:pPr>
      <w:r w:rsidRPr="00C05E7B">
        <w:t>generalis</w:t>
      </w:r>
      <w:r w:rsidR="005100F6">
        <w:t>ing</w:t>
      </w:r>
      <w:r w:rsidRPr="00C05E7B">
        <w:t xml:space="preserve"> </w:t>
      </w:r>
      <w:r w:rsidR="005100F6">
        <w:t xml:space="preserve">the </w:t>
      </w:r>
      <w:r w:rsidRPr="00C05E7B">
        <w:t xml:space="preserve">allegations made </w:t>
      </w:r>
      <w:r w:rsidR="005100F6">
        <w:t>around</w:t>
      </w:r>
      <w:r w:rsidRPr="00C05E7B">
        <w:t xml:space="preserve"> </w:t>
      </w:r>
      <w:r w:rsidRPr="0093774E">
        <w:t xml:space="preserve">NCP irregularities, without providing more detail or context, could </w:t>
      </w:r>
      <w:r w:rsidR="00106E9D" w:rsidRPr="0093774E">
        <w:t>harm</w:t>
      </w:r>
      <w:r w:rsidRPr="0093774E">
        <w:t xml:space="preserve"> confidence in the</w:t>
      </w:r>
      <w:r w:rsidR="005100F6" w:rsidRPr="0093774E">
        <w:t xml:space="preserve"> OECD</w:t>
      </w:r>
      <w:r w:rsidRPr="0093774E">
        <w:t xml:space="preserve"> Guidelines and NCPs</w:t>
      </w:r>
    </w:p>
    <w:p w14:paraId="677F34CE" w14:textId="2A8BEE51" w:rsidR="00106E9D" w:rsidRPr="0093774E" w:rsidRDefault="00A56FC1" w:rsidP="0089682A">
      <w:pPr>
        <w:pStyle w:val="OutlineNumbered1"/>
        <w:numPr>
          <w:ilvl w:val="1"/>
          <w:numId w:val="12"/>
        </w:numPr>
      </w:pPr>
      <w:r w:rsidRPr="0093774E">
        <w:t>Ms Stevens</w:t>
      </w:r>
      <w:r w:rsidR="005100F6" w:rsidRPr="0093774E">
        <w:t xml:space="preserve"> indicated </w:t>
      </w:r>
      <w:r w:rsidRPr="0093774E">
        <w:t>that she want</w:t>
      </w:r>
      <w:r w:rsidR="003F060A" w:rsidRPr="0093774E">
        <w:t>ed</w:t>
      </w:r>
      <w:r w:rsidRPr="0093774E">
        <w:t xml:space="preserve"> the Netherlands NCP to deal with her allegations </w:t>
      </w:r>
      <w:r w:rsidR="003F060A" w:rsidRPr="0093774E">
        <w:t xml:space="preserve">concerning </w:t>
      </w:r>
      <w:r w:rsidR="007E0672" w:rsidRPr="0093774E">
        <w:t xml:space="preserve">the </w:t>
      </w:r>
      <w:r w:rsidR="005100F6" w:rsidRPr="0093774E">
        <w:t>e</w:t>
      </w:r>
      <w:r w:rsidR="007E0672" w:rsidRPr="0093774E">
        <w:t>nterprises</w:t>
      </w:r>
      <w:r w:rsidRPr="0093774E">
        <w:t xml:space="preserve"> and their consistency with the </w:t>
      </w:r>
      <w:r w:rsidR="005100F6" w:rsidRPr="0093774E">
        <w:t xml:space="preserve">OECD </w:t>
      </w:r>
      <w:r w:rsidRPr="0093774E">
        <w:t>Guidelines</w:t>
      </w:r>
    </w:p>
    <w:p w14:paraId="367D25CC" w14:textId="740C6A73" w:rsidR="00A56FC1" w:rsidRPr="0093774E" w:rsidRDefault="00052745" w:rsidP="0089682A">
      <w:pPr>
        <w:pStyle w:val="OutlineNumbered1"/>
        <w:numPr>
          <w:ilvl w:val="1"/>
          <w:numId w:val="12"/>
        </w:numPr>
      </w:pPr>
      <w:r w:rsidRPr="0093774E">
        <w:t>some of this</w:t>
      </w:r>
      <w:r w:rsidR="009B3F2C" w:rsidRPr="0093774E">
        <w:t xml:space="preserve"> information </w:t>
      </w:r>
      <w:r w:rsidRPr="0093774E">
        <w:t>may assist if there are future</w:t>
      </w:r>
      <w:r w:rsidR="00D361DA" w:rsidRPr="0093774E">
        <w:t xml:space="preserve"> and/or </w:t>
      </w:r>
      <w:r w:rsidRPr="0093774E">
        <w:t>other allegations about</w:t>
      </w:r>
      <w:r w:rsidR="009B3F2C" w:rsidRPr="0093774E">
        <w:t xml:space="preserve"> </w:t>
      </w:r>
      <w:r w:rsidR="00165C8F">
        <w:t xml:space="preserve">the </w:t>
      </w:r>
      <w:r w:rsidR="009B3F2C" w:rsidRPr="0093774E">
        <w:t>relevance of the OECD Guidelines to the use of and responses to Agent Orange</w:t>
      </w:r>
    </w:p>
    <w:p w14:paraId="12F061C9" w14:textId="1C0C6B6A" w:rsidR="00106E9D" w:rsidRPr="00C05E7B" w:rsidRDefault="00D902E2" w:rsidP="0089682A">
      <w:pPr>
        <w:pStyle w:val="OutlineNumbered1"/>
        <w:numPr>
          <w:ilvl w:val="1"/>
          <w:numId w:val="12"/>
        </w:numPr>
      </w:pPr>
      <w:r w:rsidRPr="0093774E">
        <w:t xml:space="preserve">based on all information known to the Independent Examiner, the inclusion of the extracts in this </w:t>
      </w:r>
      <w:r w:rsidR="0056114D" w:rsidRPr="0093774E">
        <w:t>s</w:t>
      </w:r>
      <w:r w:rsidRPr="0093774E">
        <w:t>tatement would not disclose the identity of individuals</w:t>
      </w:r>
      <w:r w:rsidRPr="00D902E2">
        <w:t xml:space="preserve"> in a manner that increases the risk of retaliation, nor reveal sensitive business information or commercial secrets</w:t>
      </w:r>
      <w:r w:rsidR="00B45666" w:rsidRPr="00C05E7B">
        <w:t>.</w:t>
      </w:r>
    </w:p>
    <w:p w14:paraId="5FCDAC45" w14:textId="3D9B0CBB" w:rsidR="00E51A5B" w:rsidRPr="00C05E7B" w:rsidRDefault="008231DC" w:rsidP="0089682A">
      <w:pPr>
        <w:pStyle w:val="OutlineNumbered1"/>
      </w:pPr>
      <w:r w:rsidRPr="00C05E7B">
        <w:t xml:space="preserve">For the above reasons, </w:t>
      </w:r>
      <w:r w:rsidR="00584916" w:rsidRPr="00C05E7B">
        <w:t>the Independent Examiner has determined</w:t>
      </w:r>
      <w:r w:rsidR="0056114D">
        <w:t xml:space="preserve"> that</w:t>
      </w:r>
      <w:r w:rsidR="00584916" w:rsidRPr="00C05E7B">
        <w:t xml:space="preserve"> </w:t>
      </w:r>
      <w:r w:rsidRPr="00C05E7B">
        <w:t>it is a</w:t>
      </w:r>
      <w:r w:rsidR="00106E9D" w:rsidRPr="00C05E7B">
        <w:t xml:space="preserve">ppropriate to provide some detail of </w:t>
      </w:r>
      <w:r w:rsidR="009C4481" w:rsidRPr="00C05E7B">
        <w:t xml:space="preserve">the </w:t>
      </w:r>
      <w:r w:rsidR="0056114D">
        <w:t>p</w:t>
      </w:r>
      <w:r w:rsidR="009C4481" w:rsidRPr="00C05E7B">
        <w:t>arties</w:t>
      </w:r>
      <w:r w:rsidR="00106E9D" w:rsidRPr="00C05E7B">
        <w:t>’ respective positions</w:t>
      </w:r>
      <w:r w:rsidRPr="00C05E7B">
        <w:t xml:space="preserve"> </w:t>
      </w:r>
      <w:r w:rsidR="00106E9D" w:rsidRPr="00C05E7B">
        <w:t>in this statement</w:t>
      </w:r>
      <w:r w:rsidR="008E3B9D">
        <w:t xml:space="preserve">, </w:t>
      </w:r>
      <w:r w:rsidR="00106E9D" w:rsidRPr="00C05E7B">
        <w:t>consistent with the</w:t>
      </w:r>
      <w:r w:rsidR="00F55385">
        <w:t xml:space="preserve"> OECD</w:t>
      </w:r>
      <w:r w:rsidR="00795303">
        <w:t> </w:t>
      </w:r>
      <w:r w:rsidR="00106E9D" w:rsidRPr="00C05E7B">
        <w:t xml:space="preserve">Guidelines and the AusNCP </w:t>
      </w:r>
      <w:r w:rsidR="00F55385">
        <w:t>complaint p</w:t>
      </w:r>
      <w:r w:rsidR="00106E9D" w:rsidRPr="00C05E7B">
        <w:t>rocedures.</w:t>
      </w:r>
      <w:r w:rsidRPr="00C05E7B">
        <w:t xml:space="preserve"> </w:t>
      </w:r>
      <w:r w:rsidR="00F21842" w:rsidRPr="00C05E7B">
        <w:t>However</w:t>
      </w:r>
      <w:r w:rsidR="00B45666" w:rsidRPr="00C05E7B">
        <w:t>,</w:t>
      </w:r>
      <w:r w:rsidR="00F21842" w:rsidRPr="00C05E7B">
        <w:t xml:space="preserve"> </w:t>
      </w:r>
      <w:r w:rsidR="007708A3" w:rsidRPr="00C05E7B">
        <w:t xml:space="preserve">the </w:t>
      </w:r>
      <w:r w:rsidR="004D386C" w:rsidRPr="00C05E7B">
        <w:t>Independent Examiner</w:t>
      </w:r>
      <w:r w:rsidR="007708A3" w:rsidRPr="00C05E7B">
        <w:t xml:space="preserve"> also </w:t>
      </w:r>
      <w:r w:rsidR="007708A3" w:rsidRPr="00C05E7B">
        <w:lastRenderedPageBreak/>
        <w:t xml:space="preserve">emphasises this extent of inclusion </w:t>
      </w:r>
      <w:r w:rsidR="00106E9D" w:rsidRPr="00C05E7B">
        <w:t xml:space="preserve">of AusNCP communications </w:t>
      </w:r>
      <w:r w:rsidR="007708A3" w:rsidRPr="00C05E7B">
        <w:t xml:space="preserve">in this statement is </w:t>
      </w:r>
      <w:r w:rsidR="007A5874" w:rsidRPr="00C05E7B">
        <w:t>not normally necessary</w:t>
      </w:r>
      <w:r w:rsidR="00F21842" w:rsidRPr="00C05E7B">
        <w:t xml:space="preserve"> and </w:t>
      </w:r>
      <w:r w:rsidR="007708A3" w:rsidRPr="00C05E7B">
        <w:t xml:space="preserve">that AusNCP statements do not routinely include </w:t>
      </w:r>
      <w:r w:rsidR="00F21842" w:rsidRPr="00C05E7B">
        <w:t xml:space="preserve">parties’ </w:t>
      </w:r>
      <w:r w:rsidR="009B0BFC">
        <w:t xml:space="preserve">exact </w:t>
      </w:r>
      <w:r w:rsidR="00F21842" w:rsidRPr="00C05E7B">
        <w:t>submissions and exchanges with the AusNCP.</w:t>
      </w:r>
      <w:r w:rsidR="00584916" w:rsidRPr="00C05E7B">
        <w:t xml:space="preserve"> This will only occur in </w:t>
      </w:r>
      <w:r w:rsidR="00F44B7E">
        <w:t>exceptional</w:t>
      </w:r>
      <w:r w:rsidR="00584916" w:rsidRPr="00C05E7B">
        <w:t xml:space="preserve"> circumstances</w:t>
      </w:r>
      <w:r w:rsidR="00052745">
        <w:t>,</w:t>
      </w:r>
      <w:r w:rsidR="00584916" w:rsidRPr="00C05E7B">
        <w:t xml:space="preserve"> </w:t>
      </w:r>
      <w:r w:rsidR="00F44B7E">
        <w:t>such as those</w:t>
      </w:r>
      <w:r w:rsidR="00584916" w:rsidRPr="00C05E7B">
        <w:t xml:space="preserve"> outlined above.</w:t>
      </w:r>
    </w:p>
    <w:p w14:paraId="07CB63AB" w14:textId="62171AB8" w:rsidR="007708A3" w:rsidRPr="00C05E7B" w:rsidRDefault="00E51A5B" w:rsidP="0089682A">
      <w:pPr>
        <w:pStyle w:val="OutlineNumbered1"/>
      </w:pPr>
      <w:r w:rsidRPr="00C05E7B">
        <w:t xml:space="preserve">A draft of this statement was provided to Ms Stevens and </w:t>
      </w:r>
      <w:r w:rsidR="007E0672" w:rsidRPr="00C05E7B">
        <w:t xml:space="preserve">the </w:t>
      </w:r>
      <w:r w:rsidR="00646D9D">
        <w:t>e</w:t>
      </w:r>
      <w:r w:rsidR="007E0672" w:rsidRPr="00C05E7B">
        <w:t>nterprises</w:t>
      </w:r>
      <w:r w:rsidRPr="00C05E7B">
        <w:t xml:space="preserve">, prior to it being finalised by the </w:t>
      </w:r>
      <w:r w:rsidR="004D386C" w:rsidRPr="00C05E7B">
        <w:t>Independent Examiner</w:t>
      </w:r>
      <w:r w:rsidRPr="00C05E7B">
        <w:t xml:space="preserve">. </w:t>
      </w:r>
      <w:r w:rsidR="006172E3" w:rsidRPr="00C05E7B">
        <w:t xml:space="preserve">This included this </w:t>
      </w:r>
      <w:r w:rsidR="00BD76D9">
        <w:t>section</w:t>
      </w:r>
      <w:r w:rsidR="00BD76D9" w:rsidRPr="00C05E7B">
        <w:t xml:space="preserve"> </w:t>
      </w:r>
      <w:r w:rsidR="006172E3" w:rsidRPr="00C05E7B">
        <w:t xml:space="preserve">about including </w:t>
      </w:r>
      <w:r w:rsidRPr="00C05E7B">
        <w:t>some exchanges</w:t>
      </w:r>
      <w:r w:rsidR="0025045E">
        <w:t xml:space="preserve"> from the parties</w:t>
      </w:r>
      <w:r w:rsidRPr="00C05E7B">
        <w:t xml:space="preserve"> in this statement</w:t>
      </w:r>
      <w:r w:rsidR="0025045E">
        <w:t>.</w:t>
      </w:r>
    </w:p>
    <w:p w14:paraId="082BF0C9" w14:textId="6A689AA2" w:rsidR="007708A3" w:rsidRPr="00C05E7B" w:rsidRDefault="005168CE" w:rsidP="0089682A">
      <w:pPr>
        <w:pStyle w:val="OutlineNumbered1"/>
        <w:numPr>
          <w:ilvl w:val="1"/>
          <w:numId w:val="12"/>
        </w:numPr>
      </w:pPr>
      <w:r w:rsidRPr="00C05E7B">
        <w:t xml:space="preserve">Given the limited engagement </w:t>
      </w:r>
      <w:r w:rsidR="009C4481" w:rsidRPr="00C05E7B">
        <w:t xml:space="preserve">the </w:t>
      </w:r>
      <w:r w:rsidR="0025045E">
        <w:t>p</w:t>
      </w:r>
      <w:r w:rsidR="009C4481" w:rsidRPr="00C05E7B">
        <w:t>arties</w:t>
      </w:r>
      <w:r w:rsidRPr="00C05E7B">
        <w:t xml:space="preserve"> had with each other, the extracts included in the draft </w:t>
      </w:r>
      <w:r w:rsidR="00052745">
        <w:t>accorded with</w:t>
      </w:r>
      <w:r w:rsidRPr="00C05E7B">
        <w:t xml:space="preserve"> the</w:t>
      </w:r>
      <w:r w:rsidR="0025045E">
        <w:t xml:space="preserve"> OECD</w:t>
      </w:r>
      <w:r w:rsidRPr="00C05E7B">
        <w:t xml:space="preserve"> Guidelines’ </w:t>
      </w:r>
      <w:r w:rsidR="00052745">
        <w:t>approach</w:t>
      </w:r>
      <w:r w:rsidRPr="00C05E7B">
        <w:t xml:space="preserve"> that ‘</w:t>
      </w:r>
      <w:r w:rsidR="000362E7" w:rsidRPr="00F46B32">
        <w:rPr>
          <w:i/>
          <w:iCs/>
        </w:rPr>
        <w:t>[</w:t>
      </w:r>
      <w:r w:rsidRPr="00CE1F0A">
        <w:rPr>
          <w:i/>
        </w:rPr>
        <w:t>a</w:t>
      </w:r>
      <w:r w:rsidR="000362E7">
        <w:rPr>
          <w:i/>
        </w:rPr>
        <w:t>]</w:t>
      </w:r>
      <w:r w:rsidRPr="00CE1F0A">
        <w:rPr>
          <w:i/>
        </w:rPr>
        <w:t>s</w:t>
      </w:r>
      <w:r w:rsidRPr="00CE1F0A">
        <w:rPr>
          <w:i/>
          <w:iCs/>
        </w:rPr>
        <w:t xml:space="preserve"> much as possible, NCPs should avoid basing fundamental aspects of their decisions on information that is not available to both parties</w:t>
      </w:r>
      <w:r w:rsidRPr="00C05E7B">
        <w:t>’.</w:t>
      </w:r>
      <w:r w:rsidRPr="00C05E7B">
        <w:rPr>
          <w:rStyle w:val="FootnoteReference"/>
        </w:rPr>
        <w:footnoteReference w:id="15"/>
      </w:r>
      <w:r w:rsidRPr="00C05E7B">
        <w:t xml:space="preserve"> </w:t>
      </w:r>
    </w:p>
    <w:p w14:paraId="56D7BD73" w14:textId="5AEF313F" w:rsidR="007708A3" w:rsidRPr="00C05E7B" w:rsidRDefault="0015355C" w:rsidP="0089682A">
      <w:pPr>
        <w:pStyle w:val="OutlineNumbered1"/>
        <w:numPr>
          <w:ilvl w:val="1"/>
          <w:numId w:val="12"/>
        </w:numPr>
      </w:pPr>
      <w:r w:rsidRPr="00C05E7B">
        <w:t xml:space="preserve">Each party was </w:t>
      </w:r>
      <w:r w:rsidR="001A5495" w:rsidRPr="00C05E7B">
        <w:t xml:space="preserve">able </w:t>
      </w:r>
      <w:r w:rsidR="005168CE" w:rsidRPr="00C05E7B">
        <w:t xml:space="preserve">to indicate if there were any extracts they considered should not be included in the </w:t>
      </w:r>
      <w:r w:rsidR="009731D5">
        <w:t xml:space="preserve">published </w:t>
      </w:r>
      <w:r w:rsidR="0025045E">
        <w:t>F</w:t>
      </w:r>
      <w:r w:rsidR="005168CE" w:rsidRPr="00C05E7B">
        <w:t xml:space="preserve">inal </w:t>
      </w:r>
      <w:r w:rsidR="0025045E">
        <w:t>S</w:t>
      </w:r>
      <w:r w:rsidR="005168CE" w:rsidRPr="00C05E7B">
        <w:t>tatement</w:t>
      </w:r>
      <w:r w:rsidR="00D26FC6">
        <w:t xml:space="preserve">, </w:t>
      </w:r>
      <w:bookmarkStart w:id="25" w:name="_Hlk214466891"/>
      <w:r w:rsidR="0023359E" w:rsidRPr="00C05E7B">
        <w:t>for example,</w:t>
      </w:r>
      <w:r w:rsidR="005168CE" w:rsidRPr="00C05E7B">
        <w:t xml:space="preserve"> because </w:t>
      </w:r>
      <w:r w:rsidR="008231DC" w:rsidRPr="00C05E7B">
        <w:t>of</w:t>
      </w:r>
      <w:r w:rsidR="00106E9D" w:rsidRPr="00C05E7B">
        <w:t xml:space="preserve"> risk of retaliation against any individual </w:t>
      </w:r>
      <w:r w:rsidR="008231DC" w:rsidRPr="00C05E7B">
        <w:t xml:space="preserve">or </w:t>
      </w:r>
      <w:r w:rsidR="003C554B">
        <w:t>the disclosure of</w:t>
      </w:r>
      <w:r w:rsidR="00106E9D" w:rsidRPr="00C05E7B">
        <w:t xml:space="preserve"> sensitive business information or commercial secrets</w:t>
      </w:r>
      <w:bookmarkEnd w:id="25"/>
      <w:r w:rsidRPr="00C05E7B">
        <w:t>, and to explain th</w:t>
      </w:r>
      <w:r w:rsidR="000B78E1" w:rsidRPr="00C05E7B">
        <w:t>os</w:t>
      </w:r>
      <w:r w:rsidRPr="00C05E7B">
        <w:t>e relevant circumstances.</w:t>
      </w:r>
    </w:p>
    <w:p w14:paraId="6E0A576B" w14:textId="65A1E423" w:rsidR="00287D49" w:rsidRPr="00C05E7B" w:rsidRDefault="00287D49" w:rsidP="0089682A">
      <w:pPr>
        <w:pStyle w:val="OutlineNumbered1"/>
        <w:numPr>
          <w:ilvl w:val="1"/>
          <w:numId w:val="12"/>
        </w:numPr>
      </w:pPr>
      <w:r w:rsidRPr="00C05E7B">
        <w:t>Ms Stevens did not indicate any concerns</w:t>
      </w:r>
      <w:r w:rsidR="006172E3" w:rsidRPr="00C05E7B">
        <w:t xml:space="preserve"> about extracts from her communication being included in the </w:t>
      </w:r>
      <w:r w:rsidR="0025045E">
        <w:t>published Final S</w:t>
      </w:r>
      <w:r w:rsidR="006172E3" w:rsidRPr="00C05E7B">
        <w:t xml:space="preserve">tatement. </w:t>
      </w:r>
      <w:r w:rsidRPr="00C05E7B">
        <w:t xml:space="preserve">Dow requested </w:t>
      </w:r>
      <w:r w:rsidR="0025045E">
        <w:t>that the</w:t>
      </w:r>
      <w:r w:rsidRPr="00C05E7B">
        <w:t xml:space="preserve"> information </w:t>
      </w:r>
      <w:r w:rsidR="0025045E">
        <w:t xml:space="preserve">it provided to the AusNCP </w:t>
      </w:r>
      <w:r w:rsidRPr="00C05E7B">
        <w:t>be included in full in this statement</w:t>
      </w:r>
      <w:r w:rsidR="00D26FC6">
        <w:t xml:space="preserve">, </w:t>
      </w:r>
      <w:r w:rsidRPr="00C05E7B">
        <w:t xml:space="preserve">which is included in </w:t>
      </w:r>
      <w:r w:rsidRPr="008F09C0">
        <w:rPr>
          <w:b/>
        </w:rPr>
        <w:t>Annex A</w:t>
      </w:r>
      <w:r w:rsidRPr="00C05E7B">
        <w:t>.</w:t>
      </w:r>
    </w:p>
    <w:p w14:paraId="0F968797" w14:textId="138DE2D2" w:rsidR="00E51A5B" w:rsidRPr="00C05E7B" w:rsidRDefault="00F21842" w:rsidP="0089682A">
      <w:pPr>
        <w:pStyle w:val="OutlineNumbered1"/>
        <w:numPr>
          <w:ilvl w:val="1"/>
          <w:numId w:val="12"/>
        </w:numPr>
      </w:pPr>
      <w:r w:rsidRPr="00C05E7B">
        <w:t xml:space="preserve">The </w:t>
      </w:r>
      <w:r w:rsidR="004D386C" w:rsidRPr="00C05E7B">
        <w:t>Independent Examiner</w:t>
      </w:r>
      <w:r w:rsidRPr="00C05E7B">
        <w:t xml:space="preserve"> considered </w:t>
      </w:r>
      <w:r w:rsidR="009C4481" w:rsidRPr="00C05E7B">
        <w:t xml:space="preserve">the </w:t>
      </w:r>
      <w:r w:rsidR="0025045E">
        <w:t>p</w:t>
      </w:r>
      <w:r w:rsidR="009C4481" w:rsidRPr="00C05E7B">
        <w:t>arties</w:t>
      </w:r>
      <w:r w:rsidRPr="00C05E7B">
        <w:t xml:space="preserve">’ positions carefully in finalising the content of the </w:t>
      </w:r>
      <w:r w:rsidR="009731D5">
        <w:t xml:space="preserve">published </w:t>
      </w:r>
      <w:r w:rsidR="0025045E">
        <w:t>F</w:t>
      </w:r>
      <w:r w:rsidRPr="00C05E7B">
        <w:t xml:space="preserve">inal </w:t>
      </w:r>
      <w:r w:rsidR="008933B0">
        <w:t>S</w:t>
      </w:r>
      <w:r w:rsidRPr="00C05E7B">
        <w:t>tatement.</w:t>
      </w:r>
    </w:p>
    <w:p w14:paraId="493E285D" w14:textId="2D3B0F56" w:rsidR="00797E7A" w:rsidRPr="00C05E7B" w:rsidRDefault="00797E7A" w:rsidP="00797E7A">
      <w:pPr>
        <w:pStyle w:val="Heading1"/>
      </w:pPr>
      <w:bookmarkStart w:id="26" w:name="_Toc116382011"/>
      <w:bookmarkStart w:id="27" w:name="_Toc211334202"/>
      <w:bookmarkStart w:id="28" w:name="_Toc219735245"/>
      <w:bookmarkStart w:id="29" w:name="_Toc230360315"/>
      <w:r w:rsidRPr="00C05E7B">
        <w:t xml:space="preserve">AusNCP </w:t>
      </w:r>
      <w:r w:rsidR="009B382A" w:rsidRPr="00C05E7B">
        <w:t>p</w:t>
      </w:r>
      <w:r w:rsidRPr="00C05E7B">
        <w:t>roceedings</w:t>
      </w:r>
      <w:bookmarkEnd w:id="26"/>
      <w:bookmarkEnd w:id="27"/>
      <w:bookmarkEnd w:id="28"/>
      <w:bookmarkEnd w:id="29"/>
    </w:p>
    <w:p w14:paraId="3C95FD83" w14:textId="66CE4BCF" w:rsidR="006523B1" w:rsidRPr="00C05E7B" w:rsidRDefault="004C06D8" w:rsidP="00C5258F">
      <w:pPr>
        <w:pStyle w:val="OutlineNumbered1"/>
      </w:pPr>
      <w:bookmarkStart w:id="30" w:name="_Toc116382012"/>
      <w:r w:rsidRPr="00C05E7B">
        <w:t>During the proceedings, t</w:t>
      </w:r>
      <w:r w:rsidR="006523B1" w:rsidRPr="00C05E7B">
        <w:t xml:space="preserve">he </w:t>
      </w:r>
      <w:r w:rsidR="004D386C" w:rsidRPr="00C05E7B">
        <w:t>Independent Examiner</w:t>
      </w:r>
      <w:r w:rsidR="00912BEA" w:rsidRPr="00C05E7B">
        <w:t xml:space="preserve"> </w:t>
      </w:r>
      <w:r w:rsidR="006523B1" w:rsidRPr="00C05E7B">
        <w:t>had considerable contact with Ms Stevens</w:t>
      </w:r>
      <w:r w:rsidR="00BE0DF9" w:rsidRPr="00C05E7B">
        <w:t xml:space="preserve"> to </w:t>
      </w:r>
      <w:r w:rsidR="006523B1" w:rsidRPr="00C05E7B">
        <w:t>understand her concerns and explain relevant processes.</w:t>
      </w:r>
      <w:r w:rsidR="00141847" w:rsidRPr="00C05E7B">
        <w:t xml:space="preserve"> </w:t>
      </w:r>
    </w:p>
    <w:p w14:paraId="6DA9A260" w14:textId="40827A0D" w:rsidR="00F64192" w:rsidRPr="00F64192" w:rsidRDefault="00F64192" w:rsidP="00F64192">
      <w:pPr>
        <w:pStyle w:val="OutlineNumbered1"/>
        <w:rPr>
          <w:rFonts w:cs="Calibri Light"/>
          <w:szCs w:val="22"/>
        </w:rPr>
      </w:pPr>
      <w:r w:rsidRPr="00F64192">
        <w:rPr>
          <w:rFonts w:cs="Calibri Light"/>
          <w:szCs w:val="22"/>
        </w:rPr>
        <w:t>Between May and July</w:t>
      </w:r>
      <w:r w:rsidR="00F60754">
        <w:rPr>
          <w:rFonts w:cs="Calibri Light"/>
          <w:szCs w:val="22"/>
        </w:rPr>
        <w:t xml:space="preserve"> 2025</w:t>
      </w:r>
      <w:r w:rsidRPr="00F64192">
        <w:rPr>
          <w:rFonts w:cs="Calibri Light"/>
          <w:szCs w:val="22"/>
        </w:rPr>
        <w:t xml:space="preserve">, Ms Stevens and the Independent Examiner communicated via email </w:t>
      </w:r>
      <w:r w:rsidR="00B5729A">
        <w:rPr>
          <w:rFonts w:cs="Calibri Light"/>
          <w:szCs w:val="22"/>
        </w:rPr>
        <w:t>regarding</w:t>
      </w:r>
      <w:r w:rsidRPr="00F64192">
        <w:rPr>
          <w:rFonts w:cs="Calibri Light"/>
          <w:szCs w:val="22"/>
        </w:rPr>
        <w:t xml:space="preserve"> </w:t>
      </w:r>
      <w:r w:rsidR="00E8034A">
        <w:rPr>
          <w:rFonts w:cs="Calibri Light"/>
          <w:szCs w:val="22"/>
        </w:rPr>
        <w:t xml:space="preserve">the </w:t>
      </w:r>
      <w:r w:rsidRPr="00F64192">
        <w:rPr>
          <w:rFonts w:cs="Calibri Light"/>
          <w:szCs w:val="22"/>
        </w:rPr>
        <w:t xml:space="preserve">complaint. These communications explained the </w:t>
      </w:r>
      <w:r w:rsidR="00A94A4C">
        <w:rPr>
          <w:rFonts w:cs="Calibri Light"/>
          <w:szCs w:val="22"/>
        </w:rPr>
        <w:t>Aus</w:t>
      </w:r>
      <w:r w:rsidRPr="00F64192">
        <w:rPr>
          <w:rFonts w:cs="Calibri Light"/>
          <w:szCs w:val="22"/>
        </w:rPr>
        <w:t>NCP process</w:t>
      </w:r>
      <w:r w:rsidR="00A94A4C">
        <w:rPr>
          <w:rFonts w:cs="Calibri Light"/>
          <w:szCs w:val="22"/>
        </w:rPr>
        <w:t>,</w:t>
      </w:r>
      <w:r w:rsidRPr="00F64192">
        <w:rPr>
          <w:rFonts w:cs="Calibri Light"/>
          <w:szCs w:val="22"/>
        </w:rPr>
        <w:t xml:space="preserve"> sought clarification of her complaint</w:t>
      </w:r>
      <w:r w:rsidR="00A94A4C">
        <w:rPr>
          <w:rFonts w:cs="Calibri Light"/>
          <w:szCs w:val="22"/>
        </w:rPr>
        <w:t>,</w:t>
      </w:r>
      <w:r w:rsidRPr="00F64192">
        <w:rPr>
          <w:rFonts w:cs="Calibri Light"/>
          <w:szCs w:val="22"/>
        </w:rPr>
        <w:t xml:space="preserve"> and covered topics such as her preferred communication method, the enterprises </w:t>
      </w:r>
      <w:r w:rsidR="00F415EE">
        <w:rPr>
          <w:rFonts w:cs="Calibri Light"/>
          <w:szCs w:val="22"/>
        </w:rPr>
        <w:t>to which</w:t>
      </w:r>
      <w:r w:rsidRPr="00F64192">
        <w:rPr>
          <w:rFonts w:cs="Calibri Light"/>
          <w:szCs w:val="22"/>
        </w:rPr>
        <w:t xml:space="preserve"> her complaint </w:t>
      </w:r>
      <w:r w:rsidR="00F415EE">
        <w:rPr>
          <w:rFonts w:cs="Calibri Light"/>
          <w:szCs w:val="22"/>
        </w:rPr>
        <w:t>related</w:t>
      </w:r>
      <w:r w:rsidRPr="00F64192">
        <w:rPr>
          <w:rFonts w:cs="Calibri Light"/>
          <w:szCs w:val="22"/>
        </w:rPr>
        <w:t>, and the potential involvement of other countries’ NCPs. After Ms Stevens confirmed the enterprises as Dow and Bayer, the AusNCP commenced contact and coordination with the US and German NCPs</w:t>
      </w:r>
      <w:r w:rsidR="001B6FCE">
        <w:rPr>
          <w:rFonts w:cs="Calibri Light"/>
          <w:szCs w:val="22"/>
        </w:rPr>
        <w:t>,</w:t>
      </w:r>
      <w:r w:rsidRPr="00F64192">
        <w:rPr>
          <w:rFonts w:cs="Calibri Light"/>
          <w:szCs w:val="22"/>
        </w:rPr>
        <w:t xml:space="preserve"> because the enterprises </w:t>
      </w:r>
      <w:r w:rsidR="00C425FD">
        <w:rPr>
          <w:rFonts w:cs="Calibri Light"/>
          <w:szCs w:val="22"/>
        </w:rPr>
        <w:t>were</w:t>
      </w:r>
      <w:r w:rsidRPr="00F64192">
        <w:rPr>
          <w:rFonts w:cs="Calibri Light"/>
          <w:szCs w:val="22"/>
        </w:rPr>
        <w:t xml:space="preserve"> headquartered in those countries. </w:t>
      </w:r>
    </w:p>
    <w:p w14:paraId="1FC72999" w14:textId="77ADFA72" w:rsidR="00F64192" w:rsidRPr="00F64192" w:rsidRDefault="00F64192" w:rsidP="00F64192">
      <w:pPr>
        <w:pStyle w:val="OutlineNumbered1"/>
        <w:rPr>
          <w:rFonts w:cs="Calibri Light"/>
          <w:szCs w:val="22"/>
        </w:rPr>
      </w:pPr>
      <w:r w:rsidRPr="00F64192">
        <w:rPr>
          <w:rFonts w:cs="Calibri Light"/>
          <w:szCs w:val="22"/>
        </w:rPr>
        <w:t xml:space="preserve">Throughout this period, Ms Stevens raised concerns about delays, which the Independent Examiner </w:t>
      </w:r>
      <w:r w:rsidR="002C104D" w:rsidRPr="002C104D">
        <w:rPr>
          <w:rFonts w:cs="Calibri Light"/>
          <w:szCs w:val="22"/>
        </w:rPr>
        <w:t xml:space="preserve">addressed </w:t>
      </w:r>
      <w:r w:rsidRPr="00F64192">
        <w:rPr>
          <w:rFonts w:cs="Calibri Light"/>
          <w:szCs w:val="22"/>
        </w:rPr>
        <w:t xml:space="preserve">in several emails </w:t>
      </w:r>
      <w:r w:rsidR="002C104D" w:rsidRPr="002C104D">
        <w:rPr>
          <w:rFonts w:cs="Calibri Light"/>
          <w:szCs w:val="22"/>
        </w:rPr>
        <w:t>that explained</w:t>
      </w:r>
      <w:r w:rsidRPr="00F64192">
        <w:rPr>
          <w:rFonts w:cs="Calibri Light"/>
          <w:szCs w:val="22"/>
        </w:rPr>
        <w:t xml:space="preserve"> the coordination </w:t>
      </w:r>
      <w:r w:rsidR="002C104D" w:rsidRPr="002C104D">
        <w:rPr>
          <w:rFonts w:cs="Calibri Light"/>
          <w:szCs w:val="22"/>
        </w:rPr>
        <w:t xml:space="preserve">process </w:t>
      </w:r>
      <w:r w:rsidRPr="00F64192">
        <w:rPr>
          <w:rFonts w:cs="Calibri Light"/>
          <w:szCs w:val="22"/>
        </w:rPr>
        <w:t xml:space="preserve">between NCPs. </w:t>
      </w:r>
    </w:p>
    <w:p w14:paraId="36939BA3" w14:textId="51AD8CD9" w:rsidR="00F64192" w:rsidRPr="00777340" w:rsidRDefault="00F64192" w:rsidP="00BD58F3">
      <w:pPr>
        <w:pStyle w:val="OutlineNumbered1"/>
        <w:rPr>
          <w:rFonts w:cs="Calibri Light"/>
          <w:szCs w:val="22"/>
        </w:rPr>
      </w:pPr>
      <w:r w:rsidRPr="00777340">
        <w:rPr>
          <w:rFonts w:cs="Calibri Light"/>
          <w:szCs w:val="22"/>
        </w:rPr>
        <w:t xml:space="preserve">Ms Stevens </w:t>
      </w:r>
      <w:r w:rsidR="00777340" w:rsidRPr="00777340">
        <w:rPr>
          <w:rFonts w:cs="Calibri Light"/>
          <w:szCs w:val="22"/>
        </w:rPr>
        <w:t xml:space="preserve">first indicated </w:t>
      </w:r>
      <w:r w:rsidR="008A5D73">
        <w:rPr>
          <w:rFonts w:cs="Calibri Light"/>
          <w:szCs w:val="22"/>
        </w:rPr>
        <w:t xml:space="preserve">that </w:t>
      </w:r>
      <w:r w:rsidR="00777340" w:rsidRPr="00777340">
        <w:rPr>
          <w:rFonts w:cs="Calibri Light"/>
          <w:szCs w:val="22"/>
        </w:rPr>
        <w:t xml:space="preserve">her ‘preferred lead NCP’ was Germany and </w:t>
      </w:r>
      <w:r w:rsidR="00EB015A">
        <w:rPr>
          <w:rFonts w:cs="Calibri Light"/>
          <w:szCs w:val="22"/>
        </w:rPr>
        <w:t>later</w:t>
      </w:r>
      <w:r w:rsidR="00EB015A" w:rsidRPr="00777340">
        <w:rPr>
          <w:rFonts w:cs="Calibri Light"/>
          <w:szCs w:val="22"/>
        </w:rPr>
        <w:t xml:space="preserve"> </w:t>
      </w:r>
      <w:r w:rsidR="00EB015A">
        <w:rPr>
          <w:rFonts w:cs="Calibri Light"/>
          <w:szCs w:val="22"/>
        </w:rPr>
        <w:t>request</w:t>
      </w:r>
      <w:r w:rsidR="00ED39C6" w:rsidRPr="00777340">
        <w:rPr>
          <w:rFonts w:cs="Calibri Light"/>
          <w:szCs w:val="22"/>
        </w:rPr>
        <w:t xml:space="preserve">ed </w:t>
      </w:r>
      <w:r w:rsidR="00A94A4C" w:rsidRPr="00777340">
        <w:rPr>
          <w:rFonts w:cs="Calibri Light"/>
          <w:szCs w:val="22"/>
        </w:rPr>
        <w:t>that</w:t>
      </w:r>
      <w:r w:rsidRPr="00777340">
        <w:rPr>
          <w:rFonts w:cs="Calibri Light"/>
          <w:szCs w:val="22"/>
        </w:rPr>
        <w:t xml:space="preserve"> the complaint be transferred to the Netherlands NCP, </w:t>
      </w:r>
      <w:r w:rsidR="008716FF">
        <w:rPr>
          <w:rFonts w:cs="Calibri Light"/>
          <w:szCs w:val="22"/>
        </w:rPr>
        <w:t>which</w:t>
      </w:r>
      <w:r w:rsidR="008716FF" w:rsidRPr="00777340">
        <w:rPr>
          <w:rFonts w:cs="Calibri Light"/>
          <w:szCs w:val="22"/>
        </w:rPr>
        <w:t xml:space="preserve"> </w:t>
      </w:r>
      <w:r w:rsidRPr="00777340">
        <w:rPr>
          <w:rFonts w:cs="Calibri Light"/>
          <w:szCs w:val="22"/>
        </w:rPr>
        <w:t>she considered to be the only neutral NCP</w:t>
      </w:r>
      <w:r w:rsidR="008716FF">
        <w:rPr>
          <w:rFonts w:cs="Calibri Light"/>
          <w:szCs w:val="22"/>
        </w:rPr>
        <w:t xml:space="preserve"> on the basis that</w:t>
      </w:r>
      <w:r w:rsidR="00883804" w:rsidRPr="00777340">
        <w:rPr>
          <w:rFonts w:cs="Calibri Light"/>
          <w:szCs w:val="22"/>
        </w:rPr>
        <w:t xml:space="preserve"> </w:t>
      </w:r>
      <w:r w:rsidR="00ED39C6" w:rsidRPr="00777340">
        <w:rPr>
          <w:rFonts w:cs="Calibri Light"/>
          <w:szCs w:val="22"/>
        </w:rPr>
        <w:t>other g</w:t>
      </w:r>
      <w:r w:rsidRPr="00777340">
        <w:rPr>
          <w:rFonts w:cs="Calibri Light"/>
          <w:szCs w:val="22"/>
        </w:rPr>
        <w:t xml:space="preserve">overnments had some </w:t>
      </w:r>
      <w:r w:rsidR="00883804" w:rsidRPr="00777340">
        <w:rPr>
          <w:rFonts w:cs="Calibri Light"/>
          <w:szCs w:val="22"/>
        </w:rPr>
        <w:t xml:space="preserve">past </w:t>
      </w:r>
      <w:r w:rsidRPr="00777340">
        <w:rPr>
          <w:rFonts w:cs="Calibri Light"/>
          <w:szCs w:val="22"/>
        </w:rPr>
        <w:t xml:space="preserve">connection with the use of Agent Orange. </w:t>
      </w:r>
      <w:r w:rsidRPr="00777340">
        <w:rPr>
          <w:rFonts w:cs="Calibri Light"/>
          <w:szCs w:val="22"/>
        </w:rPr>
        <w:lastRenderedPageBreak/>
        <w:t xml:space="preserve">However, no further detail was provided to substantiate this claim. The Independent Examiner </w:t>
      </w:r>
      <w:r w:rsidR="00E8034A" w:rsidRPr="00777340">
        <w:rPr>
          <w:rFonts w:cs="Calibri Light"/>
          <w:szCs w:val="22"/>
        </w:rPr>
        <w:t>emphasised</w:t>
      </w:r>
      <w:r w:rsidR="00E8034A" w:rsidRPr="007D7F10">
        <w:t xml:space="preserve"> </w:t>
      </w:r>
      <w:r w:rsidR="00ED39C6" w:rsidRPr="00777340">
        <w:rPr>
          <w:rFonts w:cs="Calibri Light"/>
          <w:szCs w:val="22"/>
        </w:rPr>
        <w:t xml:space="preserve">NCP independence to </w:t>
      </w:r>
      <w:r w:rsidR="00E8034A" w:rsidRPr="00777340">
        <w:rPr>
          <w:rFonts w:cs="Calibri Light"/>
          <w:szCs w:val="22"/>
        </w:rPr>
        <w:t xml:space="preserve">Ms </w:t>
      </w:r>
      <w:r w:rsidR="003E75D6" w:rsidRPr="00777340">
        <w:rPr>
          <w:rFonts w:cs="Calibri Light"/>
          <w:szCs w:val="22"/>
        </w:rPr>
        <w:t>Stevens</w:t>
      </w:r>
      <w:r w:rsidR="00194001">
        <w:rPr>
          <w:rFonts w:cs="Calibri Light"/>
          <w:szCs w:val="22"/>
        </w:rPr>
        <w:t>,</w:t>
      </w:r>
      <w:r w:rsidR="003E75D6" w:rsidRPr="00777340">
        <w:rPr>
          <w:rFonts w:cs="Calibri Light"/>
          <w:szCs w:val="22"/>
        </w:rPr>
        <w:t xml:space="preserve"> including that</w:t>
      </w:r>
      <w:r w:rsidR="003E75D6">
        <w:rPr>
          <w:rFonts w:cs="Calibri Light"/>
          <w:szCs w:val="22"/>
        </w:rPr>
        <w:t>:</w:t>
      </w:r>
      <w:r w:rsidR="003E75D6" w:rsidRPr="00777340">
        <w:rPr>
          <w:rFonts w:cs="Calibri Light"/>
          <w:szCs w:val="22"/>
        </w:rPr>
        <w:t xml:space="preserve"> (a) NCP</w:t>
      </w:r>
      <w:r w:rsidR="0090167F">
        <w:rPr>
          <w:rFonts w:cs="Calibri Light"/>
          <w:szCs w:val="22"/>
        </w:rPr>
        <w:t>s</w:t>
      </w:r>
      <w:r w:rsidR="002B6CE7">
        <w:rPr>
          <w:rFonts w:cs="Calibri Light"/>
          <w:szCs w:val="22"/>
        </w:rPr>
        <w:t xml:space="preserve"> are required to</w:t>
      </w:r>
      <w:r w:rsidR="00ED39C6" w:rsidRPr="00777340">
        <w:rPr>
          <w:rFonts w:cs="Calibri Light"/>
          <w:szCs w:val="22"/>
        </w:rPr>
        <w:t xml:space="preserve"> </w:t>
      </w:r>
      <w:r w:rsidR="00E8034A" w:rsidRPr="00777340">
        <w:rPr>
          <w:rFonts w:cs="Calibri Light"/>
          <w:szCs w:val="22"/>
        </w:rPr>
        <w:t xml:space="preserve">focus </w:t>
      </w:r>
      <w:r w:rsidR="00ED39C6" w:rsidRPr="00777340">
        <w:rPr>
          <w:rFonts w:cs="Calibri Light"/>
          <w:szCs w:val="22"/>
        </w:rPr>
        <w:t xml:space="preserve">on </w:t>
      </w:r>
      <w:r w:rsidR="00E8034A" w:rsidRPr="00777340">
        <w:rPr>
          <w:rFonts w:cs="Calibri Light"/>
          <w:szCs w:val="22"/>
        </w:rPr>
        <w:t xml:space="preserve">the relevant company and its consistency with the </w:t>
      </w:r>
      <w:r w:rsidR="00ED39C6" w:rsidRPr="00777340">
        <w:rPr>
          <w:rFonts w:cs="Calibri Light"/>
          <w:szCs w:val="22"/>
        </w:rPr>
        <w:t xml:space="preserve">OECD </w:t>
      </w:r>
      <w:r w:rsidR="00E8034A" w:rsidRPr="00777340">
        <w:rPr>
          <w:rFonts w:cs="Calibri Light"/>
          <w:szCs w:val="22"/>
        </w:rPr>
        <w:t>Guidelines</w:t>
      </w:r>
      <w:r w:rsidR="00ED39C6" w:rsidRPr="00777340">
        <w:rPr>
          <w:rFonts w:cs="Calibri Light"/>
          <w:szCs w:val="22"/>
        </w:rPr>
        <w:t>, and</w:t>
      </w:r>
      <w:r w:rsidR="00E8034A" w:rsidRPr="00777340">
        <w:rPr>
          <w:rFonts w:cs="Calibri Light"/>
          <w:szCs w:val="22"/>
        </w:rPr>
        <w:t xml:space="preserve"> not determin</w:t>
      </w:r>
      <w:r w:rsidR="00E63700">
        <w:rPr>
          <w:rFonts w:cs="Calibri Light"/>
          <w:szCs w:val="22"/>
        </w:rPr>
        <w:t>e</w:t>
      </w:r>
      <w:r w:rsidR="00E8034A" w:rsidRPr="00777340">
        <w:rPr>
          <w:rFonts w:cs="Calibri Light"/>
          <w:szCs w:val="22"/>
        </w:rPr>
        <w:t xml:space="preserve"> matters by reference to government interests</w:t>
      </w:r>
      <w:r w:rsidR="00966122">
        <w:rPr>
          <w:rFonts w:cs="Calibri Light"/>
          <w:szCs w:val="22"/>
        </w:rPr>
        <w:t>;</w:t>
      </w:r>
      <w:r w:rsidR="00ED39C6">
        <w:rPr>
          <w:rStyle w:val="FootnoteReference"/>
          <w:rFonts w:cs="Calibri Light"/>
          <w:szCs w:val="22"/>
        </w:rPr>
        <w:footnoteReference w:id="16"/>
      </w:r>
      <w:r w:rsidR="00B8787C" w:rsidRPr="00B8787C">
        <w:rPr>
          <w:rFonts w:cs="Calibri Light"/>
          <w:szCs w:val="22"/>
        </w:rPr>
        <w:t xml:space="preserve"> </w:t>
      </w:r>
      <w:r w:rsidR="00ED39C6" w:rsidRPr="00777340">
        <w:rPr>
          <w:rFonts w:cs="Calibri Light"/>
          <w:szCs w:val="22"/>
        </w:rPr>
        <w:t xml:space="preserve">(b) </w:t>
      </w:r>
      <w:r w:rsidR="00B8787C" w:rsidRPr="00777340">
        <w:rPr>
          <w:rFonts w:cs="Calibri Light"/>
          <w:szCs w:val="22"/>
        </w:rPr>
        <w:t xml:space="preserve">this </w:t>
      </w:r>
      <w:r w:rsidR="00ED39C6" w:rsidRPr="00777340">
        <w:rPr>
          <w:rFonts w:cs="Calibri Light"/>
          <w:szCs w:val="22"/>
        </w:rPr>
        <w:t>is further reinforced by the Independent Examiner structure in the AusNCP</w:t>
      </w:r>
      <w:r w:rsidR="00966122">
        <w:rPr>
          <w:rFonts w:cs="Calibri Light"/>
          <w:szCs w:val="22"/>
        </w:rPr>
        <w:t>;</w:t>
      </w:r>
      <w:r w:rsidR="00ED39C6">
        <w:rPr>
          <w:rStyle w:val="FootnoteReference"/>
          <w:rFonts w:cs="Calibri Light"/>
          <w:szCs w:val="22"/>
        </w:rPr>
        <w:footnoteReference w:id="17"/>
      </w:r>
      <w:r w:rsidR="00ED39C6" w:rsidRPr="00777340">
        <w:rPr>
          <w:rFonts w:cs="Calibri Light"/>
          <w:szCs w:val="22"/>
        </w:rPr>
        <w:t xml:space="preserve"> and (</w:t>
      </w:r>
      <w:r w:rsidR="001039BB">
        <w:rPr>
          <w:rFonts w:cs="Calibri Light"/>
          <w:szCs w:val="22"/>
        </w:rPr>
        <w:t>c</w:t>
      </w:r>
      <w:r w:rsidR="00ED39C6" w:rsidRPr="00777340">
        <w:rPr>
          <w:rFonts w:cs="Calibri Light"/>
          <w:szCs w:val="22"/>
        </w:rPr>
        <w:t>) he disagreed that the various NCPs she identified</w:t>
      </w:r>
      <w:r w:rsidR="00DA7909">
        <w:rPr>
          <w:rFonts w:cs="Calibri Light"/>
          <w:szCs w:val="22"/>
        </w:rPr>
        <w:t xml:space="preserve">, </w:t>
      </w:r>
      <w:r w:rsidR="00ED39C6" w:rsidRPr="00777340">
        <w:rPr>
          <w:rFonts w:cs="Calibri Light"/>
          <w:szCs w:val="22"/>
        </w:rPr>
        <w:t>including the AusNCP</w:t>
      </w:r>
      <w:r w:rsidR="00DA7909">
        <w:rPr>
          <w:rFonts w:cs="Calibri Light"/>
          <w:szCs w:val="22"/>
        </w:rPr>
        <w:t>,</w:t>
      </w:r>
      <w:r w:rsidR="00ED39C6" w:rsidRPr="00777340">
        <w:rPr>
          <w:rFonts w:cs="Calibri Light"/>
          <w:szCs w:val="22"/>
        </w:rPr>
        <w:t xml:space="preserve"> were ‘conflicted’ because of actions she attributed to their governments</w:t>
      </w:r>
      <w:r w:rsidRPr="00777340">
        <w:rPr>
          <w:rFonts w:cs="Calibri Light"/>
          <w:szCs w:val="22"/>
        </w:rPr>
        <w:t>.</w:t>
      </w:r>
      <w:r w:rsidRPr="00737335">
        <w:rPr>
          <w:rFonts w:cs="Calibri Light"/>
          <w:szCs w:val="22"/>
        </w:rPr>
        <w:t xml:space="preserve"> </w:t>
      </w:r>
    </w:p>
    <w:p w14:paraId="57C699E0" w14:textId="23429D22" w:rsidR="00F64192" w:rsidRPr="00F64192" w:rsidRDefault="00F64192" w:rsidP="00F64192">
      <w:pPr>
        <w:pStyle w:val="OutlineNumbered1"/>
        <w:rPr>
          <w:rFonts w:cs="Calibri Light"/>
          <w:szCs w:val="22"/>
        </w:rPr>
      </w:pPr>
      <w:r w:rsidRPr="00F64192">
        <w:rPr>
          <w:rFonts w:cs="Calibri Light"/>
          <w:szCs w:val="22"/>
        </w:rPr>
        <w:t>On 11 July</w:t>
      </w:r>
      <w:r w:rsidR="00883804">
        <w:rPr>
          <w:rFonts w:cs="Calibri Light"/>
          <w:szCs w:val="22"/>
        </w:rPr>
        <w:t xml:space="preserve"> 2025</w:t>
      </w:r>
      <w:r w:rsidRPr="00F64192">
        <w:rPr>
          <w:rFonts w:cs="Calibri Light"/>
          <w:szCs w:val="22"/>
        </w:rPr>
        <w:t xml:space="preserve">, the Independent Examiner wrote to Ms Stevens and the </w:t>
      </w:r>
      <w:r w:rsidR="00883804">
        <w:rPr>
          <w:rFonts w:cs="Calibri Light"/>
          <w:szCs w:val="22"/>
        </w:rPr>
        <w:t>e</w:t>
      </w:r>
      <w:r w:rsidRPr="00F64192">
        <w:rPr>
          <w:rFonts w:cs="Calibri Light"/>
          <w:szCs w:val="22"/>
        </w:rPr>
        <w:t>nterprises</w:t>
      </w:r>
      <w:r w:rsidR="00BA776D">
        <w:rPr>
          <w:rFonts w:cs="Calibri Light"/>
          <w:szCs w:val="22"/>
        </w:rPr>
        <w:t>,</w:t>
      </w:r>
      <w:r w:rsidRPr="00F64192">
        <w:rPr>
          <w:rFonts w:cs="Calibri Light"/>
          <w:szCs w:val="22"/>
        </w:rPr>
        <w:t xml:space="preserve"> </w:t>
      </w:r>
      <w:r w:rsidR="00BA776D">
        <w:rPr>
          <w:rFonts w:cs="Calibri Light"/>
          <w:szCs w:val="22"/>
        </w:rPr>
        <w:t>outlin</w:t>
      </w:r>
      <w:r w:rsidRPr="00F64192">
        <w:rPr>
          <w:rFonts w:cs="Calibri Light"/>
          <w:szCs w:val="22"/>
        </w:rPr>
        <w:t xml:space="preserve">ing his preliminary view that the AusNCP was not the correct </w:t>
      </w:r>
      <w:r w:rsidR="00BA776D">
        <w:rPr>
          <w:rFonts w:cs="Calibri Light"/>
          <w:szCs w:val="22"/>
        </w:rPr>
        <w:t xml:space="preserve">NCP </w:t>
      </w:r>
      <w:r w:rsidRPr="00F64192">
        <w:rPr>
          <w:rFonts w:cs="Calibri Light"/>
          <w:szCs w:val="22"/>
        </w:rPr>
        <w:t>to handle the complaint</w:t>
      </w:r>
      <w:r w:rsidR="00BA776D" w:rsidDel="00920C03">
        <w:rPr>
          <w:rFonts w:cs="Calibri Light"/>
          <w:szCs w:val="22"/>
        </w:rPr>
        <w:t>,</w:t>
      </w:r>
      <w:r w:rsidRPr="00F64192">
        <w:rPr>
          <w:rFonts w:cs="Calibri Light"/>
          <w:szCs w:val="22"/>
        </w:rPr>
        <w:t xml:space="preserve"> and that it should be transferred to the US</w:t>
      </w:r>
      <w:r w:rsidR="002D10AD">
        <w:rPr>
          <w:rFonts w:cs="Calibri Light"/>
          <w:szCs w:val="22"/>
        </w:rPr>
        <w:t xml:space="preserve"> </w:t>
      </w:r>
      <w:r w:rsidRPr="00F64192">
        <w:rPr>
          <w:rFonts w:cs="Calibri Light"/>
          <w:szCs w:val="22"/>
        </w:rPr>
        <w:t xml:space="preserve">NCP. </w:t>
      </w:r>
      <w:r w:rsidR="00B5729A">
        <w:rPr>
          <w:rFonts w:cs="Calibri Light"/>
          <w:szCs w:val="22"/>
        </w:rPr>
        <w:t xml:space="preserve">Consistent with the AusNCP </w:t>
      </w:r>
      <w:r w:rsidR="00E8034A">
        <w:rPr>
          <w:rFonts w:cs="Calibri Light"/>
          <w:szCs w:val="22"/>
        </w:rPr>
        <w:t>complaint p</w:t>
      </w:r>
      <w:r w:rsidR="00B5729A">
        <w:rPr>
          <w:rFonts w:cs="Calibri Light"/>
          <w:szCs w:val="22"/>
        </w:rPr>
        <w:t>rocedures</w:t>
      </w:r>
      <w:r w:rsidR="000A6D41">
        <w:rPr>
          <w:rFonts w:cs="Calibri Light"/>
          <w:szCs w:val="22"/>
        </w:rPr>
        <w:t>,</w:t>
      </w:r>
      <w:r w:rsidR="00B5729A">
        <w:rPr>
          <w:rStyle w:val="FootnoteReference"/>
          <w:rFonts w:cs="Calibri Light"/>
          <w:szCs w:val="22"/>
        </w:rPr>
        <w:footnoteReference w:id="18"/>
      </w:r>
      <w:r w:rsidR="00B5729A">
        <w:rPr>
          <w:rFonts w:cs="Calibri Light"/>
          <w:szCs w:val="22"/>
        </w:rPr>
        <w:t xml:space="preserve"> the </w:t>
      </w:r>
      <w:r w:rsidR="00A07799">
        <w:rPr>
          <w:rFonts w:cs="Calibri Light"/>
          <w:szCs w:val="22"/>
        </w:rPr>
        <w:t xml:space="preserve">Independent </w:t>
      </w:r>
      <w:r w:rsidR="00B5729A">
        <w:rPr>
          <w:rFonts w:cs="Calibri Light"/>
          <w:szCs w:val="22"/>
        </w:rPr>
        <w:t xml:space="preserve">Examiner </w:t>
      </w:r>
      <w:r w:rsidRPr="00F64192">
        <w:rPr>
          <w:rFonts w:cs="Calibri Light"/>
          <w:szCs w:val="22"/>
        </w:rPr>
        <w:t xml:space="preserve">explained </w:t>
      </w:r>
      <w:r w:rsidR="002D10AD">
        <w:rPr>
          <w:rFonts w:cs="Calibri Light"/>
          <w:szCs w:val="22"/>
        </w:rPr>
        <w:t xml:space="preserve">that </w:t>
      </w:r>
      <w:r w:rsidR="00777340">
        <w:rPr>
          <w:rFonts w:cs="Calibri Light"/>
          <w:szCs w:val="22"/>
        </w:rPr>
        <w:t xml:space="preserve">no </w:t>
      </w:r>
      <w:r w:rsidRPr="00F64192">
        <w:rPr>
          <w:rFonts w:cs="Calibri Light"/>
          <w:szCs w:val="22"/>
        </w:rPr>
        <w:t xml:space="preserve">transfer </w:t>
      </w:r>
      <w:r w:rsidR="00777340">
        <w:rPr>
          <w:rFonts w:cs="Calibri Light"/>
          <w:szCs w:val="22"/>
        </w:rPr>
        <w:t xml:space="preserve">decision would be made </w:t>
      </w:r>
      <w:r w:rsidRPr="00F64192">
        <w:rPr>
          <w:rFonts w:cs="Calibri Light"/>
          <w:szCs w:val="22"/>
        </w:rPr>
        <w:t>until the parties had been consulted</w:t>
      </w:r>
      <w:r w:rsidR="00777340" w:rsidDel="00905AE1">
        <w:rPr>
          <w:rFonts w:cs="Calibri Light"/>
          <w:szCs w:val="22"/>
        </w:rPr>
        <w:t>,</w:t>
      </w:r>
      <w:r w:rsidRPr="00F64192">
        <w:rPr>
          <w:rFonts w:cs="Calibri Light"/>
          <w:szCs w:val="22"/>
        </w:rPr>
        <w:t xml:space="preserve"> </w:t>
      </w:r>
      <w:r w:rsidR="00BF1F1E">
        <w:rPr>
          <w:rFonts w:cs="Calibri Light"/>
          <w:szCs w:val="22"/>
        </w:rPr>
        <w:t xml:space="preserve">and </w:t>
      </w:r>
      <w:r w:rsidR="00777340">
        <w:rPr>
          <w:rFonts w:cs="Calibri Light"/>
          <w:szCs w:val="22"/>
        </w:rPr>
        <w:t xml:space="preserve">he </w:t>
      </w:r>
      <w:r w:rsidR="00BF1F1E">
        <w:rPr>
          <w:rFonts w:cs="Calibri Light"/>
          <w:szCs w:val="22"/>
        </w:rPr>
        <w:t xml:space="preserve">specifically </w:t>
      </w:r>
      <w:r w:rsidRPr="00F64192">
        <w:rPr>
          <w:rFonts w:cs="Calibri Light"/>
          <w:szCs w:val="22"/>
        </w:rPr>
        <w:t>highlight</w:t>
      </w:r>
      <w:r w:rsidR="00BF1F1E">
        <w:rPr>
          <w:rFonts w:cs="Calibri Light"/>
          <w:szCs w:val="22"/>
        </w:rPr>
        <w:t>ed</w:t>
      </w:r>
      <w:r w:rsidRPr="00F64192">
        <w:rPr>
          <w:rFonts w:cs="Calibri Light"/>
          <w:szCs w:val="22"/>
        </w:rPr>
        <w:t xml:space="preserve"> to Ms Stevens that if she identified exceptional reasons for the AusNCP to handle the complaint, th</w:t>
      </w:r>
      <w:r w:rsidR="00777340">
        <w:rPr>
          <w:rFonts w:cs="Calibri Light"/>
          <w:szCs w:val="22"/>
        </w:rPr>
        <w:t>ey</w:t>
      </w:r>
      <w:r w:rsidRPr="00F64192">
        <w:rPr>
          <w:rFonts w:cs="Calibri Light"/>
          <w:szCs w:val="22"/>
        </w:rPr>
        <w:t xml:space="preserve"> would be considered. </w:t>
      </w:r>
    </w:p>
    <w:p w14:paraId="1001CC4B" w14:textId="3CE064F7" w:rsidR="00F64192" w:rsidRPr="00F64192" w:rsidRDefault="000952CD" w:rsidP="00777340">
      <w:pPr>
        <w:pStyle w:val="OutlineNumbered1"/>
        <w:rPr>
          <w:rFonts w:cs="Calibri Light"/>
          <w:szCs w:val="22"/>
        </w:rPr>
      </w:pPr>
      <w:r>
        <w:rPr>
          <w:rFonts w:cs="Calibri Light"/>
          <w:szCs w:val="22"/>
        </w:rPr>
        <w:t xml:space="preserve">Less than an hour later, </w:t>
      </w:r>
      <w:r w:rsidR="00F64192" w:rsidRPr="00F64192">
        <w:rPr>
          <w:rFonts w:cs="Calibri Light"/>
          <w:szCs w:val="22"/>
        </w:rPr>
        <w:t xml:space="preserve">Ms Stevens responded that she disagreed with the transfer </w:t>
      </w:r>
      <w:r w:rsidR="00B75A87">
        <w:rPr>
          <w:rFonts w:cs="Calibri Light"/>
          <w:szCs w:val="22"/>
        </w:rPr>
        <w:t xml:space="preserve">of the complaint </w:t>
      </w:r>
      <w:r w:rsidR="00F64192" w:rsidRPr="00F64192">
        <w:rPr>
          <w:rFonts w:cs="Calibri Light"/>
          <w:szCs w:val="22"/>
        </w:rPr>
        <w:t>to the US</w:t>
      </w:r>
      <w:r w:rsidR="00B75A87">
        <w:rPr>
          <w:rFonts w:cs="Calibri Light"/>
          <w:szCs w:val="22"/>
        </w:rPr>
        <w:t xml:space="preserve"> </w:t>
      </w:r>
      <w:r w:rsidR="00F64192" w:rsidRPr="00F64192">
        <w:rPr>
          <w:rFonts w:cs="Calibri Light"/>
          <w:szCs w:val="22"/>
        </w:rPr>
        <w:t>NCP</w:t>
      </w:r>
      <w:r w:rsidR="00777340">
        <w:rPr>
          <w:rFonts w:cs="Calibri Light"/>
          <w:szCs w:val="22"/>
        </w:rPr>
        <w:t>.</w:t>
      </w:r>
      <w:r w:rsidR="00F64192" w:rsidRPr="00F64192">
        <w:rPr>
          <w:rFonts w:cs="Calibri Light"/>
          <w:szCs w:val="22"/>
        </w:rPr>
        <w:t xml:space="preserve"> </w:t>
      </w:r>
      <w:r w:rsidR="00777340">
        <w:rPr>
          <w:rFonts w:cs="Calibri Light"/>
          <w:szCs w:val="22"/>
        </w:rPr>
        <w:t>I</w:t>
      </w:r>
      <w:r w:rsidR="00F64192" w:rsidRPr="00F64192">
        <w:rPr>
          <w:rFonts w:cs="Calibri Light"/>
          <w:szCs w:val="22"/>
        </w:rPr>
        <w:t xml:space="preserve">n a separate email </w:t>
      </w:r>
      <w:r w:rsidR="006B1CCF">
        <w:rPr>
          <w:rFonts w:cs="Calibri Light"/>
          <w:szCs w:val="22"/>
        </w:rPr>
        <w:t xml:space="preserve">dated </w:t>
      </w:r>
      <w:r w:rsidR="00F64192" w:rsidRPr="00F64192">
        <w:rPr>
          <w:rFonts w:cs="Calibri Light"/>
          <w:szCs w:val="22"/>
        </w:rPr>
        <w:t>14 July</w:t>
      </w:r>
      <w:r w:rsidR="00B75A87">
        <w:rPr>
          <w:rFonts w:cs="Calibri Light"/>
          <w:szCs w:val="22"/>
        </w:rPr>
        <w:t xml:space="preserve"> 2025</w:t>
      </w:r>
      <w:r w:rsidR="00F64192" w:rsidRPr="00F64192">
        <w:rPr>
          <w:rFonts w:cs="Calibri Light"/>
          <w:szCs w:val="22"/>
        </w:rPr>
        <w:t xml:space="preserve">, </w:t>
      </w:r>
      <w:r w:rsidR="006B1CCF">
        <w:rPr>
          <w:rFonts w:cs="Calibri Light"/>
          <w:szCs w:val="22"/>
        </w:rPr>
        <w:t xml:space="preserve">Ms Stevens </w:t>
      </w:r>
      <w:r w:rsidR="00F64192" w:rsidRPr="00F64192">
        <w:rPr>
          <w:rFonts w:cs="Calibri Light"/>
          <w:szCs w:val="22"/>
        </w:rPr>
        <w:t xml:space="preserve">indicated that she no longer considered the AusNCP as having authority to handle </w:t>
      </w:r>
      <w:r w:rsidR="00831F16">
        <w:rPr>
          <w:rFonts w:cs="Calibri Light"/>
          <w:szCs w:val="22"/>
        </w:rPr>
        <w:t xml:space="preserve">and make decisions on </w:t>
      </w:r>
      <w:r w:rsidR="00F64192" w:rsidRPr="00F64192">
        <w:rPr>
          <w:rFonts w:cs="Calibri Light"/>
          <w:szCs w:val="22"/>
        </w:rPr>
        <w:t xml:space="preserve">her complaint. Ms Stevens </w:t>
      </w:r>
      <w:r w:rsidR="00777340">
        <w:rPr>
          <w:rFonts w:cs="Calibri Light"/>
          <w:szCs w:val="22"/>
        </w:rPr>
        <w:t xml:space="preserve">then </w:t>
      </w:r>
      <w:r w:rsidR="00B75A87">
        <w:rPr>
          <w:rFonts w:cs="Calibri Light"/>
          <w:szCs w:val="22"/>
        </w:rPr>
        <w:t>emailed</w:t>
      </w:r>
      <w:r w:rsidR="00F64192" w:rsidRPr="00F64192">
        <w:rPr>
          <w:rFonts w:cs="Calibri Light"/>
          <w:szCs w:val="22"/>
        </w:rPr>
        <w:t xml:space="preserve"> the Netherlands NCP</w:t>
      </w:r>
      <w:r w:rsidR="007F1C89">
        <w:rPr>
          <w:rFonts w:cs="Calibri Light"/>
          <w:szCs w:val="22"/>
        </w:rPr>
        <w:t xml:space="preserve">, </w:t>
      </w:r>
      <w:r w:rsidR="00B75A87">
        <w:rPr>
          <w:rFonts w:cs="Calibri Light"/>
          <w:szCs w:val="22"/>
        </w:rPr>
        <w:t>copying in the AusNCP</w:t>
      </w:r>
      <w:r w:rsidR="007F1C89">
        <w:rPr>
          <w:rFonts w:cs="Calibri Light"/>
          <w:szCs w:val="22"/>
        </w:rPr>
        <w:t>,</w:t>
      </w:r>
      <w:r w:rsidR="00B75A87">
        <w:rPr>
          <w:rFonts w:cs="Calibri Light"/>
          <w:szCs w:val="22"/>
        </w:rPr>
        <w:t xml:space="preserve"> </w:t>
      </w:r>
      <w:r w:rsidR="00F64192" w:rsidRPr="00F64192">
        <w:rPr>
          <w:rFonts w:cs="Calibri Light"/>
          <w:szCs w:val="22"/>
        </w:rPr>
        <w:t xml:space="preserve">and </w:t>
      </w:r>
      <w:r w:rsidR="00777340">
        <w:rPr>
          <w:rFonts w:cs="Calibri Light"/>
          <w:szCs w:val="22"/>
        </w:rPr>
        <w:t>asserted</w:t>
      </w:r>
      <w:r w:rsidR="00F64192" w:rsidRPr="00F64192">
        <w:rPr>
          <w:rFonts w:cs="Calibri Light"/>
          <w:szCs w:val="22"/>
        </w:rPr>
        <w:t xml:space="preserve"> </w:t>
      </w:r>
      <w:r w:rsidR="00B75A87">
        <w:rPr>
          <w:rFonts w:cs="Calibri Light"/>
          <w:szCs w:val="22"/>
        </w:rPr>
        <w:t xml:space="preserve">that </w:t>
      </w:r>
      <w:r w:rsidR="00F64192" w:rsidRPr="00F64192">
        <w:rPr>
          <w:rFonts w:cs="Calibri Light"/>
          <w:szCs w:val="22"/>
        </w:rPr>
        <w:t xml:space="preserve">she </w:t>
      </w:r>
      <w:r w:rsidR="00B75A87">
        <w:rPr>
          <w:rFonts w:cs="Calibri Light"/>
          <w:szCs w:val="22"/>
        </w:rPr>
        <w:t xml:space="preserve">had </w:t>
      </w:r>
      <w:r w:rsidR="002B7850">
        <w:rPr>
          <w:rFonts w:cs="Calibri Light"/>
          <w:szCs w:val="22"/>
        </w:rPr>
        <w:t xml:space="preserve">formally </w:t>
      </w:r>
      <w:r w:rsidR="00B75A87">
        <w:rPr>
          <w:rFonts w:cs="Calibri Light"/>
          <w:szCs w:val="22"/>
        </w:rPr>
        <w:t xml:space="preserve">removed </w:t>
      </w:r>
      <w:r w:rsidR="00F64192" w:rsidRPr="00F64192">
        <w:rPr>
          <w:rFonts w:cs="Calibri Light"/>
          <w:szCs w:val="22"/>
        </w:rPr>
        <w:t>the AusNCP</w:t>
      </w:r>
      <w:r w:rsidR="00B75A87">
        <w:rPr>
          <w:rFonts w:cs="Calibri Light"/>
          <w:szCs w:val="22"/>
        </w:rPr>
        <w:t xml:space="preserve"> from the</w:t>
      </w:r>
      <w:r w:rsidR="00F64192" w:rsidRPr="00F64192">
        <w:rPr>
          <w:rFonts w:cs="Calibri Light"/>
          <w:szCs w:val="22"/>
        </w:rPr>
        <w:t xml:space="preserve"> handling </w:t>
      </w:r>
      <w:r w:rsidR="00B75A87">
        <w:rPr>
          <w:rFonts w:cs="Calibri Light"/>
          <w:szCs w:val="22"/>
        </w:rPr>
        <w:t xml:space="preserve">of her </w:t>
      </w:r>
      <w:r w:rsidR="00F64192" w:rsidRPr="00F64192">
        <w:rPr>
          <w:rFonts w:cs="Calibri Light"/>
          <w:szCs w:val="22"/>
        </w:rPr>
        <w:t xml:space="preserve">complaint. </w:t>
      </w:r>
    </w:p>
    <w:p w14:paraId="30071437" w14:textId="4AABCAFA" w:rsidR="00F64192" w:rsidRPr="00F64192" w:rsidRDefault="00F64192" w:rsidP="00F64192">
      <w:pPr>
        <w:pStyle w:val="OutlineNumbered1"/>
        <w:rPr>
          <w:rFonts w:cs="Calibri Light"/>
          <w:szCs w:val="22"/>
        </w:rPr>
      </w:pPr>
      <w:r w:rsidRPr="00F64192">
        <w:rPr>
          <w:rFonts w:cs="Calibri Light"/>
          <w:szCs w:val="22"/>
        </w:rPr>
        <w:t>On 15 July</w:t>
      </w:r>
      <w:r w:rsidR="00B75A87">
        <w:rPr>
          <w:rFonts w:cs="Calibri Light"/>
          <w:szCs w:val="22"/>
        </w:rPr>
        <w:t xml:space="preserve"> 2025</w:t>
      </w:r>
      <w:r w:rsidRPr="00F64192">
        <w:rPr>
          <w:rFonts w:cs="Calibri Light"/>
          <w:szCs w:val="22"/>
        </w:rPr>
        <w:t xml:space="preserve">, the Independent Examiner acknowledged receipt of Ms Stevens’ 14 July </w:t>
      </w:r>
      <w:r w:rsidR="00B75A87">
        <w:rPr>
          <w:rFonts w:cs="Calibri Light"/>
          <w:szCs w:val="22"/>
        </w:rPr>
        <w:t xml:space="preserve">2025 </w:t>
      </w:r>
      <w:r w:rsidRPr="00F64192">
        <w:rPr>
          <w:rFonts w:cs="Calibri Light"/>
          <w:szCs w:val="22"/>
        </w:rPr>
        <w:t xml:space="preserve">email. </w:t>
      </w:r>
      <w:r w:rsidR="001B493B">
        <w:rPr>
          <w:rFonts w:cs="Calibri Light"/>
          <w:szCs w:val="22"/>
        </w:rPr>
        <w:t>T</w:t>
      </w:r>
      <w:r w:rsidR="001B493B" w:rsidRPr="00F64192">
        <w:rPr>
          <w:rFonts w:cs="Calibri Light"/>
          <w:szCs w:val="22"/>
        </w:rPr>
        <w:t xml:space="preserve">he Independent Examiner </w:t>
      </w:r>
      <w:r w:rsidRPr="00F64192">
        <w:rPr>
          <w:rFonts w:cs="Calibri Light"/>
          <w:szCs w:val="22"/>
        </w:rPr>
        <w:t xml:space="preserve">also explained </w:t>
      </w:r>
      <w:r w:rsidR="00B75A87">
        <w:rPr>
          <w:rFonts w:cs="Calibri Light"/>
          <w:szCs w:val="22"/>
        </w:rPr>
        <w:t>that</w:t>
      </w:r>
      <w:r w:rsidR="00777340">
        <w:rPr>
          <w:rFonts w:cs="Calibri Light"/>
          <w:szCs w:val="22"/>
        </w:rPr>
        <w:t>, pursuant to the AusNCP complaint procedures,</w:t>
      </w:r>
      <w:r w:rsidR="00B75A87">
        <w:rPr>
          <w:rFonts w:cs="Calibri Light"/>
          <w:szCs w:val="22"/>
        </w:rPr>
        <w:t xml:space="preserve"> </w:t>
      </w:r>
      <w:r w:rsidRPr="00F64192">
        <w:rPr>
          <w:rFonts w:cs="Calibri Light"/>
          <w:szCs w:val="22"/>
        </w:rPr>
        <w:t xml:space="preserve">the complaint </w:t>
      </w:r>
      <w:r w:rsidR="002B7850">
        <w:rPr>
          <w:rFonts w:cs="Calibri Light"/>
          <w:szCs w:val="22"/>
        </w:rPr>
        <w:t xml:space="preserve">still </w:t>
      </w:r>
      <w:r w:rsidRPr="00F64192">
        <w:rPr>
          <w:rFonts w:cs="Calibri Light"/>
          <w:szCs w:val="22"/>
        </w:rPr>
        <w:t xml:space="preserve">remained with the AusNCP and that </w:t>
      </w:r>
      <w:r w:rsidR="004720E2">
        <w:rPr>
          <w:rFonts w:cs="Calibri Light"/>
          <w:szCs w:val="22"/>
        </w:rPr>
        <w:t>he</w:t>
      </w:r>
      <w:r w:rsidRPr="00F64192">
        <w:rPr>
          <w:rFonts w:cs="Calibri Light"/>
          <w:szCs w:val="22"/>
        </w:rPr>
        <w:t xml:space="preserve"> was required to continue with </w:t>
      </w:r>
      <w:r w:rsidR="00067F30">
        <w:rPr>
          <w:rFonts w:cs="Calibri Light"/>
          <w:szCs w:val="22"/>
        </w:rPr>
        <w:t>the</w:t>
      </w:r>
      <w:r w:rsidR="00273D00">
        <w:rPr>
          <w:rFonts w:cs="Calibri Light"/>
          <w:szCs w:val="22"/>
        </w:rPr>
        <w:t xml:space="preserve"> </w:t>
      </w:r>
      <w:r w:rsidRPr="00F64192">
        <w:rPr>
          <w:rFonts w:cs="Calibri Light"/>
          <w:szCs w:val="22"/>
        </w:rPr>
        <w:t>process</w:t>
      </w:r>
      <w:r w:rsidR="00067F30">
        <w:rPr>
          <w:rFonts w:cs="Calibri Light"/>
          <w:szCs w:val="22"/>
        </w:rPr>
        <w:t xml:space="preserve"> previously </w:t>
      </w:r>
      <w:r w:rsidR="00777340">
        <w:rPr>
          <w:rFonts w:cs="Calibri Light"/>
          <w:szCs w:val="22"/>
        </w:rPr>
        <w:t>explain</w:t>
      </w:r>
      <w:r w:rsidR="00067F30">
        <w:rPr>
          <w:rFonts w:cs="Calibri Light"/>
          <w:szCs w:val="22"/>
        </w:rPr>
        <w:t>ed</w:t>
      </w:r>
      <w:r w:rsidRPr="00F64192">
        <w:rPr>
          <w:rFonts w:cs="Calibri Light"/>
          <w:szCs w:val="22"/>
        </w:rPr>
        <w:t xml:space="preserve"> unless the complaint was withdrawn</w:t>
      </w:r>
      <w:r w:rsidR="004720E2">
        <w:rPr>
          <w:rFonts w:cs="Calibri Light"/>
          <w:szCs w:val="22"/>
        </w:rPr>
        <w:t>,</w:t>
      </w:r>
      <w:r w:rsidR="00767276">
        <w:t xml:space="preserve"> </w:t>
      </w:r>
      <w:r w:rsidR="002221F4" w:rsidRPr="002221F4">
        <w:rPr>
          <w:rFonts w:cs="Calibri Light"/>
          <w:szCs w:val="22"/>
        </w:rPr>
        <w:t>noting that withdrawal could</w:t>
      </w:r>
      <w:r w:rsidR="00777340">
        <w:rPr>
          <w:rFonts w:cs="Calibri Light"/>
          <w:szCs w:val="22"/>
        </w:rPr>
        <w:t xml:space="preserve"> in</w:t>
      </w:r>
      <w:r w:rsidR="00777340" w:rsidRPr="00777340">
        <w:rPr>
          <w:rFonts w:cs="Calibri Light"/>
          <w:szCs w:val="22"/>
        </w:rPr>
        <w:t xml:space="preserve">clude </w:t>
      </w:r>
      <w:r w:rsidR="00720E6F">
        <w:rPr>
          <w:rFonts w:cs="Calibri Light"/>
          <w:szCs w:val="22"/>
        </w:rPr>
        <w:t xml:space="preserve">circumstances in </w:t>
      </w:r>
      <w:r w:rsidR="00777340" w:rsidRPr="00777340">
        <w:rPr>
          <w:rFonts w:cs="Calibri Light"/>
          <w:szCs w:val="22"/>
        </w:rPr>
        <w:t>wh</w:t>
      </w:r>
      <w:r w:rsidR="00720E6F">
        <w:rPr>
          <w:rFonts w:cs="Calibri Light"/>
          <w:szCs w:val="22"/>
        </w:rPr>
        <w:t>ich</w:t>
      </w:r>
      <w:r w:rsidR="00777340" w:rsidRPr="00777340">
        <w:rPr>
          <w:rFonts w:cs="Calibri Light"/>
          <w:szCs w:val="22"/>
        </w:rPr>
        <w:t xml:space="preserve"> </w:t>
      </w:r>
      <w:r w:rsidR="00777340">
        <w:rPr>
          <w:rFonts w:cs="Calibri Light"/>
          <w:szCs w:val="22"/>
        </w:rPr>
        <w:t>a</w:t>
      </w:r>
      <w:r w:rsidR="00777340" w:rsidRPr="00777340">
        <w:rPr>
          <w:rFonts w:cs="Calibri Light"/>
          <w:szCs w:val="22"/>
        </w:rPr>
        <w:t xml:space="preserve"> notifier </w:t>
      </w:r>
      <w:r w:rsidR="00B11691">
        <w:rPr>
          <w:rFonts w:cs="Calibri Light"/>
          <w:szCs w:val="22"/>
        </w:rPr>
        <w:t xml:space="preserve">indicates </w:t>
      </w:r>
      <w:r w:rsidR="00777340" w:rsidRPr="00777340">
        <w:rPr>
          <w:rFonts w:cs="Calibri Light"/>
          <w:szCs w:val="22"/>
        </w:rPr>
        <w:t xml:space="preserve">that further engagement from </w:t>
      </w:r>
      <w:r w:rsidR="00593E5D">
        <w:rPr>
          <w:rFonts w:cs="Calibri Light"/>
          <w:szCs w:val="22"/>
        </w:rPr>
        <w:t xml:space="preserve">the </w:t>
      </w:r>
      <w:r w:rsidR="00777340" w:rsidRPr="00777340">
        <w:rPr>
          <w:rFonts w:cs="Calibri Light"/>
          <w:szCs w:val="22"/>
        </w:rPr>
        <w:t>AusNCP will not be required</w:t>
      </w:r>
      <w:r w:rsidRPr="00F64192">
        <w:rPr>
          <w:rFonts w:cs="Calibri Light"/>
          <w:szCs w:val="22"/>
        </w:rPr>
        <w:t>.</w:t>
      </w:r>
      <w:r w:rsidR="00777340">
        <w:rPr>
          <w:rStyle w:val="FootnoteReference"/>
          <w:rFonts w:cs="Calibri Light"/>
          <w:szCs w:val="22"/>
        </w:rPr>
        <w:footnoteReference w:id="19"/>
      </w:r>
      <w:r w:rsidRPr="00F64192">
        <w:rPr>
          <w:rFonts w:cs="Calibri Light"/>
          <w:szCs w:val="22"/>
        </w:rPr>
        <w:t xml:space="preserve"> </w:t>
      </w:r>
      <w:r w:rsidR="006F4EE8">
        <w:rPr>
          <w:rFonts w:cs="Calibri Light"/>
          <w:szCs w:val="22"/>
        </w:rPr>
        <w:t>The Independent Examiner alerted Ms Stevens to possible implications of withdrawing the complaint at this stage</w:t>
      </w:r>
      <w:r w:rsidR="002D6FF8">
        <w:rPr>
          <w:rFonts w:cs="Calibri Light"/>
          <w:szCs w:val="22"/>
        </w:rPr>
        <w:t>, noting</w:t>
      </w:r>
      <w:r w:rsidR="006F4EE8">
        <w:rPr>
          <w:rFonts w:cs="Calibri Light"/>
          <w:szCs w:val="22"/>
        </w:rPr>
        <w:t xml:space="preserve"> that if the matter were then submitted to another NCP, th</w:t>
      </w:r>
      <w:r w:rsidR="00B409B2">
        <w:rPr>
          <w:rFonts w:cs="Calibri Light"/>
          <w:szCs w:val="22"/>
        </w:rPr>
        <w:t>at NCP</w:t>
      </w:r>
      <w:r w:rsidR="006F4EE8">
        <w:rPr>
          <w:rFonts w:cs="Calibri Light"/>
          <w:szCs w:val="22"/>
        </w:rPr>
        <w:t xml:space="preserve"> may consider that </w:t>
      </w:r>
      <w:r w:rsidR="00054812">
        <w:rPr>
          <w:rFonts w:cs="Calibri Light"/>
          <w:szCs w:val="22"/>
        </w:rPr>
        <w:t xml:space="preserve">it </w:t>
      </w:r>
      <w:r w:rsidR="006F4EE8">
        <w:rPr>
          <w:rFonts w:cs="Calibri Light"/>
          <w:szCs w:val="22"/>
        </w:rPr>
        <w:t xml:space="preserve">would not contribute to the purposes and effectiveness of the OECD Guidelines. </w:t>
      </w:r>
    </w:p>
    <w:p w14:paraId="1A9F59F3" w14:textId="26AB758C" w:rsidR="00F64192" w:rsidRPr="00F64192" w:rsidRDefault="00F64192" w:rsidP="00F64192">
      <w:pPr>
        <w:pStyle w:val="OutlineNumbered1"/>
        <w:rPr>
          <w:rFonts w:cs="Calibri Light"/>
          <w:szCs w:val="22"/>
        </w:rPr>
      </w:pPr>
      <w:r w:rsidRPr="00F64192">
        <w:rPr>
          <w:rFonts w:cs="Calibri Light"/>
          <w:szCs w:val="22"/>
        </w:rPr>
        <w:t>On 25 July</w:t>
      </w:r>
      <w:r w:rsidR="00711F3D">
        <w:rPr>
          <w:rFonts w:cs="Calibri Light"/>
          <w:szCs w:val="22"/>
        </w:rPr>
        <w:t xml:space="preserve"> 2025</w:t>
      </w:r>
      <w:r w:rsidRPr="00F64192">
        <w:rPr>
          <w:rFonts w:cs="Calibri Light"/>
          <w:szCs w:val="22"/>
        </w:rPr>
        <w:t xml:space="preserve">, Dow requested an extension </w:t>
      </w:r>
      <w:r w:rsidR="00711F3D">
        <w:rPr>
          <w:rFonts w:cs="Calibri Light"/>
          <w:szCs w:val="22"/>
        </w:rPr>
        <w:t xml:space="preserve">until </w:t>
      </w:r>
      <w:r w:rsidRPr="00F64192">
        <w:rPr>
          <w:rFonts w:cs="Calibri Light"/>
          <w:szCs w:val="22"/>
        </w:rPr>
        <w:t>4 August</w:t>
      </w:r>
      <w:r w:rsidR="00711F3D">
        <w:rPr>
          <w:rFonts w:cs="Calibri Light"/>
          <w:szCs w:val="22"/>
        </w:rPr>
        <w:t xml:space="preserve"> 2025</w:t>
      </w:r>
      <w:r w:rsidRPr="00F64192">
        <w:rPr>
          <w:rFonts w:cs="Calibri Light"/>
          <w:szCs w:val="22"/>
        </w:rPr>
        <w:t xml:space="preserve"> to reply to the Independent Examiner’s 11 July </w:t>
      </w:r>
      <w:r w:rsidR="00711F3D">
        <w:rPr>
          <w:rFonts w:cs="Calibri Light"/>
          <w:szCs w:val="22"/>
        </w:rPr>
        <w:t xml:space="preserve">2025 </w:t>
      </w:r>
      <w:r w:rsidRPr="00F64192">
        <w:rPr>
          <w:rFonts w:cs="Calibri Light"/>
          <w:szCs w:val="22"/>
        </w:rPr>
        <w:t>email about the potential transfer of the complaint</w:t>
      </w:r>
      <w:r w:rsidR="00DD4A18">
        <w:rPr>
          <w:rFonts w:cs="Calibri Light"/>
          <w:szCs w:val="22"/>
        </w:rPr>
        <w:t xml:space="preserve"> to the US NCP</w:t>
      </w:r>
      <w:r w:rsidRPr="00F64192">
        <w:rPr>
          <w:rFonts w:cs="Calibri Light"/>
          <w:szCs w:val="22"/>
        </w:rPr>
        <w:t xml:space="preserve">. The Independent Examiner agreed to this extension and </w:t>
      </w:r>
      <w:r w:rsidR="00711F3D">
        <w:rPr>
          <w:rFonts w:cs="Calibri Light"/>
          <w:szCs w:val="22"/>
        </w:rPr>
        <w:t>provid</w:t>
      </w:r>
      <w:r w:rsidRPr="00F64192">
        <w:rPr>
          <w:rFonts w:cs="Calibri Light"/>
          <w:szCs w:val="22"/>
        </w:rPr>
        <w:t xml:space="preserve">ed </w:t>
      </w:r>
      <w:r w:rsidR="00711F3D">
        <w:rPr>
          <w:rFonts w:cs="Calibri Light"/>
          <w:szCs w:val="22"/>
        </w:rPr>
        <w:t>it</w:t>
      </w:r>
      <w:r w:rsidRPr="00F64192">
        <w:rPr>
          <w:rFonts w:cs="Calibri Light"/>
          <w:szCs w:val="22"/>
        </w:rPr>
        <w:t xml:space="preserve"> to all parties. </w:t>
      </w:r>
    </w:p>
    <w:p w14:paraId="6E4A7C31" w14:textId="79E7C69A" w:rsidR="00F64192" w:rsidRPr="00043741" w:rsidRDefault="00F64192" w:rsidP="00BD58F3">
      <w:pPr>
        <w:pStyle w:val="OutlineNumbered1"/>
        <w:rPr>
          <w:rFonts w:cs="Calibri Light"/>
          <w:szCs w:val="22"/>
        </w:rPr>
      </w:pPr>
      <w:r w:rsidRPr="00043741">
        <w:rPr>
          <w:rFonts w:cs="Calibri Light"/>
          <w:szCs w:val="22"/>
        </w:rPr>
        <w:t>On 28 July</w:t>
      </w:r>
      <w:r w:rsidR="00711F3D" w:rsidRPr="00043741">
        <w:rPr>
          <w:rFonts w:cs="Calibri Light"/>
          <w:szCs w:val="22"/>
        </w:rPr>
        <w:t xml:space="preserve"> 2025</w:t>
      </w:r>
      <w:r w:rsidRPr="00043741">
        <w:rPr>
          <w:rFonts w:cs="Calibri Light"/>
          <w:szCs w:val="22"/>
        </w:rPr>
        <w:t xml:space="preserve">, the Independent Examiner wrote to Ms Stevens outlining the </w:t>
      </w:r>
      <w:r w:rsidR="009F728B" w:rsidRPr="00043741">
        <w:rPr>
          <w:rFonts w:cs="Calibri Light"/>
          <w:szCs w:val="22"/>
        </w:rPr>
        <w:t xml:space="preserve">three </w:t>
      </w:r>
      <w:r w:rsidRPr="00043741">
        <w:rPr>
          <w:rFonts w:cs="Calibri Light"/>
          <w:szCs w:val="22"/>
        </w:rPr>
        <w:t xml:space="preserve">options </w:t>
      </w:r>
      <w:r w:rsidR="009F728B" w:rsidRPr="00043741">
        <w:rPr>
          <w:rFonts w:cs="Calibri Light"/>
          <w:szCs w:val="22"/>
        </w:rPr>
        <w:t>available</w:t>
      </w:r>
      <w:r w:rsidR="00DD4A18">
        <w:rPr>
          <w:rFonts w:cs="Calibri Light"/>
          <w:szCs w:val="22"/>
        </w:rPr>
        <w:t xml:space="preserve"> to her</w:t>
      </w:r>
      <w:r w:rsidRPr="00043741">
        <w:rPr>
          <w:rFonts w:cs="Calibri Light"/>
          <w:szCs w:val="22"/>
        </w:rPr>
        <w:t xml:space="preserve">: transfer </w:t>
      </w:r>
      <w:r w:rsidR="00F06C93">
        <w:rPr>
          <w:rFonts w:cs="Calibri Light"/>
          <w:szCs w:val="22"/>
        </w:rPr>
        <w:t>of the complaint</w:t>
      </w:r>
      <w:r w:rsidRPr="00043741">
        <w:rPr>
          <w:rFonts w:cs="Calibri Light"/>
          <w:szCs w:val="22"/>
        </w:rPr>
        <w:t xml:space="preserve"> to the US</w:t>
      </w:r>
      <w:r w:rsidR="0079242E" w:rsidRPr="00043741">
        <w:rPr>
          <w:rFonts w:cs="Calibri Light"/>
          <w:szCs w:val="22"/>
        </w:rPr>
        <w:t xml:space="preserve"> </w:t>
      </w:r>
      <w:r w:rsidRPr="00043741">
        <w:rPr>
          <w:rFonts w:cs="Calibri Light"/>
          <w:szCs w:val="22"/>
        </w:rPr>
        <w:t>NCP</w:t>
      </w:r>
      <w:r w:rsidR="00B2710F">
        <w:rPr>
          <w:rFonts w:cs="Calibri Light"/>
          <w:szCs w:val="22"/>
        </w:rPr>
        <w:t>;</w:t>
      </w:r>
      <w:r w:rsidRPr="00043741">
        <w:rPr>
          <w:rFonts w:cs="Calibri Light"/>
          <w:szCs w:val="22"/>
        </w:rPr>
        <w:t xml:space="preserve"> withdrawal</w:t>
      </w:r>
      <w:r w:rsidR="00B97383">
        <w:rPr>
          <w:rFonts w:cs="Calibri Light"/>
          <w:szCs w:val="22"/>
        </w:rPr>
        <w:t xml:space="preserve"> of the complaint</w:t>
      </w:r>
      <w:r w:rsidR="00B2710F">
        <w:rPr>
          <w:rFonts w:cs="Calibri Light"/>
          <w:szCs w:val="22"/>
        </w:rPr>
        <w:t>;</w:t>
      </w:r>
      <w:r w:rsidRPr="00043741">
        <w:rPr>
          <w:rFonts w:cs="Calibri Light"/>
          <w:szCs w:val="22"/>
        </w:rPr>
        <w:t xml:space="preserve"> or </w:t>
      </w:r>
      <w:r w:rsidR="0079242E" w:rsidRPr="00043741">
        <w:rPr>
          <w:rFonts w:cs="Calibri Light"/>
          <w:szCs w:val="22"/>
        </w:rPr>
        <w:t>an I</w:t>
      </w:r>
      <w:r w:rsidRPr="00043741">
        <w:rPr>
          <w:rFonts w:cs="Calibri Light"/>
          <w:szCs w:val="22"/>
        </w:rPr>
        <w:t xml:space="preserve">nitial </w:t>
      </w:r>
      <w:r w:rsidR="0079242E" w:rsidRPr="00043741">
        <w:rPr>
          <w:rFonts w:cs="Calibri Light"/>
          <w:szCs w:val="22"/>
        </w:rPr>
        <w:t>A</w:t>
      </w:r>
      <w:r w:rsidRPr="00043741">
        <w:rPr>
          <w:rFonts w:cs="Calibri Light"/>
          <w:szCs w:val="22"/>
        </w:rPr>
        <w:t>ssessment by the AusNCP</w:t>
      </w:r>
      <w:r w:rsidR="00B75BA6">
        <w:rPr>
          <w:rFonts w:cs="Calibri Light"/>
          <w:szCs w:val="22"/>
        </w:rPr>
        <w:t xml:space="preserve">, </w:t>
      </w:r>
      <w:r w:rsidRPr="00043741">
        <w:rPr>
          <w:rFonts w:cs="Calibri Light"/>
          <w:szCs w:val="22"/>
        </w:rPr>
        <w:t xml:space="preserve">if there </w:t>
      </w:r>
      <w:r w:rsidR="0079242E" w:rsidRPr="00043741">
        <w:rPr>
          <w:rFonts w:cs="Calibri Light"/>
          <w:szCs w:val="22"/>
        </w:rPr>
        <w:t>we</w:t>
      </w:r>
      <w:r w:rsidRPr="00043741">
        <w:rPr>
          <w:rFonts w:cs="Calibri Light"/>
          <w:szCs w:val="22"/>
        </w:rPr>
        <w:t xml:space="preserve">re exceptional reasons for the AusNCP to handle the complaint and new information demonstrating </w:t>
      </w:r>
      <w:r w:rsidR="00B52F30" w:rsidRPr="00043741">
        <w:rPr>
          <w:rFonts w:cs="Calibri Light"/>
          <w:szCs w:val="22"/>
        </w:rPr>
        <w:t xml:space="preserve">that </w:t>
      </w:r>
      <w:r w:rsidRPr="00043741">
        <w:rPr>
          <w:rFonts w:cs="Calibri Light"/>
          <w:szCs w:val="22"/>
        </w:rPr>
        <w:t>the</w:t>
      </w:r>
      <w:r w:rsidR="00B52F30" w:rsidRPr="00043741">
        <w:rPr>
          <w:rFonts w:cs="Calibri Light"/>
          <w:szCs w:val="22"/>
        </w:rPr>
        <w:t xml:space="preserve"> alleged issues under the OECD</w:t>
      </w:r>
      <w:r w:rsidR="00423C7C">
        <w:rPr>
          <w:rFonts w:cs="Calibri Light"/>
          <w:szCs w:val="22"/>
        </w:rPr>
        <w:t> </w:t>
      </w:r>
      <w:r w:rsidRPr="00043741">
        <w:rPr>
          <w:rFonts w:cs="Calibri Light"/>
          <w:szCs w:val="22"/>
        </w:rPr>
        <w:t xml:space="preserve">Guidelines </w:t>
      </w:r>
      <w:r w:rsidR="00B52F30" w:rsidRPr="00043741">
        <w:rPr>
          <w:rFonts w:cs="Calibri Light"/>
          <w:szCs w:val="22"/>
        </w:rPr>
        <w:t xml:space="preserve">had arisen and </w:t>
      </w:r>
      <w:r w:rsidRPr="00043741">
        <w:rPr>
          <w:rFonts w:cs="Calibri Light"/>
          <w:szCs w:val="22"/>
        </w:rPr>
        <w:t xml:space="preserve">occurred in Australia. </w:t>
      </w:r>
      <w:r w:rsidR="00B75BA6">
        <w:rPr>
          <w:rFonts w:cs="Calibri Light"/>
          <w:szCs w:val="22"/>
        </w:rPr>
        <w:t>He</w:t>
      </w:r>
      <w:r w:rsidR="00043741" w:rsidRPr="00043741">
        <w:rPr>
          <w:rFonts w:cs="Calibri Light"/>
          <w:szCs w:val="22"/>
        </w:rPr>
        <w:t xml:space="preserve"> emphasised to Ms Stevens that her current position </w:t>
      </w:r>
      <w:r w:rsidR="00A63A0A">
        <w:rPr>
          <w:rFonts w:cs="Calibri Light"/>
          <w:szCs w:val="22"/>
        </w:rPr>
        <w:t xml:space="preserve">might </w:t>
      </w:r>
      <w:r w:rsidR="00A63A0A">
        <w:rPr>
          <w:rFonts w:cs="Calibri Light"/>
          <w:szCs w:val="22"/>
        </w:rPr>
        <w:lastRenderedPageBreak/>
        <w:t xml:space="preserve">result </w:t>
      </w:r>
      <w:r w:rsidR="00043741" w:rsidRPr="00043741">
        <w:rPr>
          <w:rFonts w:cs="Calibri Light"/>
          <w:szCs w:val="22"/>
        </w:rPr>
        <w:t>in: (a) the AusNCP treating her complaint as withdrawn</w:t>
      </w:r>
      <w:r w:rsidR="00706815">
        <w:rPr>
          <w:rFonts w:cs="Calibri Light"/>
          <w:szCs w:val="22"/>
        </w:rPr>
        <w:t>;</w:t>
      </w:r>
      <w:r w:rsidR="00AC4511">
        <w:rPr>
          <w:rFonts w:cs="Calibri Light"/>
          <w:szCs w:val="22"/>
        </w:rPr>
        <w:t xml:space="preserve"> and</w:t>
      </w:r>
      <w:r w:rsidR="00043741" w:rsidRPr="00043741">
        <w:rPr>
          <w:rFonts w:cs="Calibri Light"/>
          <w:szCs w:val="22"/>
        </w:rPr>
        <w:t xml:space="preserve"> (b) her complaint not being transferred to the US NCP</w:t>
      </w:r>
      <w:r w:rsidR="00F00F91">
        <w:rPr>
          <w:rFonts w:cs="Calibri Light"/>
          <w:szCs w:val="22"/>
        </w:rPr>
        <w:t>.</w:t>
      </w:r>
    </w:p>
    <w:p w14:paraId="75FC3D3A" w14:textId="11795348" w:rsidR="007503D5" w:rsidRPr="00C05E7B" w:rsidRDefault="00B5155C" w:rsidP="0089682A">
      <w:pPr>
        <w:pStyle w:val="OutlineNumbered1"/>
        <w:keepNext/>
      </w:pPr>
      <w:r w:rsidRPr="00C05E7B">
        <w:t>Ms Stevens’</w:t>
      </w:r>
      <w:r w:rsidR="007503D5" w:rsidRPr="00C05E7B">
        <w:t xml:space="preserve"> </w:t>
      </w:r>
      <w:r w:rsidR="001A72B6">
        <w:t xml:space="preserve">reply </w:t>
      </w:r>
      <w:r w:rsidR="2DF2D2A8" w:rsidRPr="00C05E7B">
        <w:t xml:space="preserve">to the </w:t>
      </w:r>
      <w:r w:rsidR="004D386C" w:rsidRPr="00C05E7B">
        <w:t>Independent Examiner</w:t>
      </w:r>
      <w:r w:rsidR="004E28B6">
        <w:t xml:space="preserve"> </w:t>
      </w:r>
      <w:r w:rsidR="0048542A">
        <w:t xml:space="preserve">on 29 July 2025 </w:t>
      </w:r>
      <w:r w:rsidR="004E28B6">
        <w:t>stated the following</w:t>
      </w:r>
      <w:r w:rsidR="514E9B89" w:rsidRPr="00C05E7B">
        <w:t>:</w:t>
      </w:r>
    </w:p>
    <w:p w14:paraId="4288A343" w14:textId="2F36EED6" w:rsidR="007503D5" w:rsidRPr="001020A7" w:rsidRDefault="00DE0CDF" w:rsidP="0089682A">
      <w:pPr>
        <w:pStyle w:val="OutlineNumbered1"/>
        <w:keepNext/>
        <w:numPr>
          <w:ilvl w:val="0"/>
          <w:numId w:val="0"/>
        </w:numPr>
        <w:ind w:left="720"/>
        <w:rPr>
          <w:i/>
          <w:sz w:val="20"/>
        </w:rPr>
      </w:pPr>
      <w:r>
        <w:rPr>
          <w:iCs/>
          <w:sz w:val="20"/>
        </w:rPr>
        <w:t>‘</w:t>
      </w:r>
      <w:r w:rsidR="007503D5" w:rsidRPr="001020A7">
        <w:rPr>
          <w:i/>
          <w:sz w:val="20"/>
        </w:rPr>
        <w:t>Do not contact me again unless:</w:t>
      </w:r>
    </w:p>
    <w:p w14:paraId="0EEC2200" w14:textId="4EDD6B44" w:rsidR="007503D5" w:rsidRPr="001020A7" w:rsidRDefault="007503D5" w:rsidP="0089682A">
      <w:pPr>
        <w:pStyle w:val="OutlineNumbered1"/>
        <w:numPr>
          <w:ilvl w:val="0"/>
          <w:numId w:val="0"/>
        </w:numPr>
        <w:ind w:left="720"/>
        <w:rPr>
          <w:i/>
          <w:sz w:val="20"/>
        </w:rPr>
      </w:pPr>
      <w:r w:rsidRPr="001020A7">
        <w:rPr>
          <w:i/>
          <w:sz w:val="20"/>
        </w:rPr>
        <w:t>1. You confirm immediate transfer of this case to a neutral NCP Netherlands</w:t>
      </w:r>
    </w:p>
    <w:p w14:paraId="13E1199E" w14:textId="6502D938" w:rsidR="007503D5" w:rsidRPr="00C05E7B" w:rsidRDefault="007503D5" w:rsidP="0089682A">
      <w:pPr>
        <w:pStyle w:val="OutlineNumbered1"/>
        <w:numPr>
          <w:ilvl w:val="0"/>
          <w:numId w:val="0"/>
        </w:numPr>
        <w:ind w:left="720"/>
        <w:rPr>
          <w:sz w:val="20"/>
        </w:rPr>
      </w:pPr>
      <w:r w:rsidRPr="001020A7">
        <w:rPr>
          <w:i/>
          <w:sz w:val="20"/>
        </w:rPr>
        <w:t>2. Or you provide formal written redress</w:t>
      </w:r>
      <w:r w:rsidRPr="00C05E7B">
        <w:rPr>
          <w:sz w:val="20"/>
        </w:rPr>
        <w:t>.</w:t>
      </w:r>
      <w:r w:rsidR="00DE0CDF">
        <w:rPr>
          <w:sz w:val="20"/>
        </w:rPr>
        <w:t>’</w:t>
      </w:r>
    </w:p>
    <w:p w14:paraId="3499C2E5" w14:textId="3C3034BD" w:rsidR="003658B9" w:rsidRPr="00C05E7B" w:rsidRDefault="002E5D15" w:rsidP="002A28DE">
      <w:pPr>
        <w:pStyle w:val="OutlineNumbered1"/>
      </w:pPr>
      <w:r w:rsidRPr="00C05E7B">
        <w:t xml:space="preserve">Ms </w:t>
      </w:r>
      <w:r w:rsidR="3ED30656" w:rsidRPr="00C05E7B">
        <w:t>Stevens</w:t>
      </w:r>
      <w:r w:rsidR="1E34ECFE" w:rsidRPr="00C05E7B">
        <w:t>’</w:t>
      </w:r>
      <w:r w:rsidRPr="00C05E7B">
        <w:t xml:space="preserve"> response did not </w:t>
      </w:r>
      <w:r w:rsidR="008768D5" w:rsidRPr="00C05E7B">
        <w:t xml:space="preserve">indicate acceptance </w:t>
      </w:r>
      <w:r w:rsidR="00EB29EC" w:rsidRPr="00C05E7B">
        <w:t xml:space="preserve">of </w:t>
      </w:r>
      <w:r w:rsidR="38A75EE1" w:rsidRPr="00C05E7B">
        <w:t>any</w:t>
      </w:r>
      <w:r w:rsidR="00EB29EC" w:rsidRPr="00C05E7B">
        <w:t xml:space="preserve"> of </w:t>
      </w:r>
      <w:r w:rsidR="00B34E5B" w:rsidRPr="00C05E7B">
        <w:t xml:space="preserve">the three paths outlined </w:t>
      </w:r>
      <w:r w:rsidR="00C95402" w:rsidRPr="00C05E7B">
        <w:t xml:space="preserve">in the </w:t>
      </w:r>
      <w:r w:rsidR="004D386C" w:rsidRPr="00C05E7B">
        <w:t>Independent Examiner</w:t>
      </w:r>
      <w:r w:rsidR="00C95402" w:rsidRPr="00C05E7B">
        <w:t>’s email</w:t>
      </w:r>
      <w:r w:rsidR="00617DF6">
        <w:t xml:space="preserve"> of </w:t>
      </w:r>
      <w:r w:rsidR="00617DF6" w:rsidRPr="00C05E7B">
        <w:t xml:space="preserve">28 July </w:t>
      </w:r>
      <w:r w:rsidR="00617DF6">
        <w:t>2025</w:t>
      </w:r>
      <w:r w:rsidR="00863BBA">
        <w:t>. She</w:t>
      </w:r>
      <w:r w:rsidR="00CF0C9B">
        <w:t xml:space="preserve"> had previously</w:t>
      </w:r>
      <w:r w:rsidR="00863BBA">
        <w:t xml:space="preserve"> </w:t>
      </w:r>
      <w:r w:rsidR="00A80412" w:rsidRPr="00C05E7B">
        <w:t>stated</w:t>
      </w:r>
      <w:r w:rsidR="00296D0A">
        <w:t xml:space="preserve"> that</w:t>
      </w:r>
      <w:r w:rsidR="00A80412" w:rsidRPr="00C05E7B">
        <w:t xml:space="preserve"> she had </w:t>
      </w:r>
      <w:r w:rsidR="0086010F" w:rsidRPr="00C05E7B">
        <w:t>‘</w:t>
      </w:r>
      <w:r w:rsidR="00CC61BE" w:rsidRPr="001020A7">
        <w:rPr>
          <w:i/>
          <w:iCs/>
        </w:rPr>
        <w:t>explicitly removed the AusNCP from handling this complaint</w:t>
      </w:r>
      <w:r w:rsidR="0086010F" w:rsidRPr="00DE0CDF">
        <w:t>’</w:t>
      </w:r>
      <w:r w:rsidR="00863BBA">
        <w:t xml:space="preserve">, which she </w:t>
      </w:r>
      <w:r w:rsidR="00447DEB">
        <w:t xml:space="preserve">repeated to </w:t>
      </w:r>
      <w:r w:rsidR="001020A7">
        <w:t>the Netherlands NCP</w:t>
      </w:r>
      <w:r w:rsidR="00863BBA">
        <w:t xml:space="preserve">. </w:t>
      </w:r>
      <w:r w:rsidR="4407FC9B" w:rsidRPr="00C05E7B">
        <w:t>T</w:t>
      </w:r>
      <w:r w:rsidR="2AE3D615" w:rsidRPr="00C05E7B">
        <w:t xml:space="preserve">he </w:t>
      </w:r>
      <w:r w:rsidR="004D386C" w:rsidRPr="00C05E7B">
        <w:t>Independent Examiner</w:t>
      </w:r>
      <w:r w:rsidR="74CEA2BB" w:rsidRPr="00C05E7B">
        <w:t xml:space="preserve"> therefore</w:t>
      </w:r>
      <w:r w:rsidR="00EB29EC" w:rsidRPr="00C05E7B">
        <w:t xml:space="preserve"> considered the complaint to have been withdrawn</w:t>
      </w:r>
      <w:r w:rsidR="00C5258F">
        <w:t xml:space="preserve">, in line with </w:t>
      </w:r>
      <w:r w:rsidR="00C5258F" w:rsidRPr="00F25509">
        <w:t>paragraph 49</w:t>
      </w:r>
      <w:r w:rsidR="00C5258F">
        <w:t xml:space="preserve"> of the AusNCP complaint procedures</w:t>
      </w:r>
      <w:r w:rsidR="00EB29EC" w:rsidRPr="00C05E7B">
        <w:t xml:space="preserve"> and commenced </w:t>
      </w:r>
      <w:r w:rsidR="00172F92" w:rsidRPr="00C05E7B">
        <w:t xml:space="preserve">drafting this </w:t>
      </w:r>
      <w:r w:rsidR="004458EE">
        <w:t>F</w:t>
      </w:r>
      <w:r w:rsidR="00561AD8" w:rsidRPr="00C05E7B">
        <w:t>inal</w:t>
      </w:r>
      <w:r w:rsidR="00DB3D2E">
        <w:t> </w:t>
      </w:r>
      <w:r w:rsidR="004458EE">
        <w:t>S</w:t>
      </w:r>
      <w:r w:rsidR="00561AD8" w:rsidRPr="00C05E7B">
        <w:t>tatement</w:t>
      </w:r>
      <w:r w:rsidR="00EB29EC" w:rsidRPr="00C05E7B">
        <w:t>.</w:t>
      </w:r>
      <w:r w:rsidR="00B34E5B" w:rsidRPr="00C05E7B">
        <w:t xml:space="preserve"> </w:t>
      </w:r>
      <w:r w:rsidR="007503D5" w:rsidRPr="00C05E7B">
        <w:t xml:space="preserve"> </w:t>
      </w:r>
    </w:p>
    <w:p w14:paraId="33846639" w14:textId="5633B998" w:rsidR="00806571" w:rsidRPr="00C05E7B" w:rsidRDefault="00306A73" w:rsidP="0089682A">
      <w:pPr>
        <w:pStyle w:val="OutlineNumbered1"/>
      </w:pPr>
      <w:proofErr w:type="gramStart"/>
      <w:r w:rsidRPr="00306A73">
        <w:t>In light of</w:t>
      </w:r>
      <w:proofErr w:type="gramEnd"/>
      <w:r w:rsidRPr="00306A73">
        <w:t xml:space="preserve"> Ms Stevens’ request not to be contacted again, the Independent Examiner made no further contact with Ms Stevens until providing her with a draft copy of this </w:t>
      </w:r>
      <w:r>
        <w:t>s</w:t>
      </w:r>
      <w:r w:rsidRPr="00306A73">
        <w:t>tatement for review</w:t>
      </w:r>
      <w:r w:rsidR="00806571" w:rsidRPr="00C05E7B">
        <w:t>.</w:t>
      </w:r>
    </w:p>
    <w:p w14:paraId="0A1C2444" w14:textId="1CBA06DD" w:rsidR="00AE1C6D" w:rsidRPr="00C05E7B" w:rsidRDefault="00806571" w:rsidP="0089682A">
      <w:pPr>
        <w:pStyle w:val="OutlineNumbered1"/>
      </w:pPr>
      <w:r w:rsidRPr="00C05E7B">
        <w:t>The Independent Examine</w:t>
      </w:r>
      <w:r w:rsidR="00387EBF">
        <w:t>r’s</w:t>
      </w:r>
      <w:r w:rsidRPr="00C05E7B">
        <w:t xml:space="preserve"> draft of this statement was first provided to </w:t>
      </w:r>
      <w:r w:rsidR="00E42072">
        <w:t xml:space="preserve">the </w:t>
      </w:r>
      <w:r w:rsidRPr="00C05E7B">
        <w:t>AusNCP</w:t>
      </w:r>
      <w:r w:rsidR="00E42072">
        <w:t xml:space="preserve"> Governance and Advisory</w:t>
      </w:r>
      <w:r w:rsidRPr="00C05E7B">
        <w:t xml:space="preserve"> Board</w:t>
      </w:r>
      <w:r w:rsidR="008B2125">
        <w:t xml:space="preserve"> (</w:t>
      </w:r>
      <w:r w:rsidR="008B2125" w:rsidRPr="008B2125">
        <w:rPr>
          <w:b/>
          <w:bCs/>
        </w:rPr>
        <w:t>AusNCP Board</w:t>
      </w:r>
      <w:r w:rsidR="008B2125">
        <w:t>)</w:t>
      </w:r>
      <w:r w:rsidRPr="00C05E7B">
        <w:t xml:space="preserve"> and the </w:t>
      </w:r>
      <w:r w:rsidR="00D67AA8" w:rsidRPr="00C05E7B">
        <w:t xml:space="preserve">other </w:t>
      </w:r>
      <w:r w:rsidRPr="00C05E7B">
        <w:t>NCPs</w:t>
      </w:r>
      <w:r w:rsidR="000C297D">
        <w:t xml:space="preserve"> involved</w:t>
      </w:r>
      <w:r w:rsidRPr="00C05E7B">
        <w:t xml:space="preserve"> </w:t>
      </w:r>
      <w:r w:rsidR="00D67AA8" w:rsidRPr="00C05E7B">
        <w:t>(</w:t>
      </w:r>
      <w:r w:rsidRPr="00C05E7B">
        <w:t xml:space="preserve">Germany, the Netherlands and the </w:t>
      </w:r>
      <w:r w:rsidR="004033A8">
        <w:t>US</w:t>
      </w:r>
      <w:r w:rsidR="00D67AA8" w:rsidRPr="00C05E7B">
        <w:t>)</w:t>
      </w:r>
      <w:r w:rsidRPr="00C05E7B">
        <w:t xml:space="preserve"> for review and comment. </w:t>
      </w:r>
      <w:r w:rsidR="000C297D">
        <w:t>R</w:t>
      </w:r>
      <w:r w:rsidRPr="00C05E7B">
        <w:t xml:space="preserve">eview </w:t>
      </w:r>
      <w:r w:rsidR="00CA0E72">
        <w:t>by the AusNCP Board is</w:t>
      </w:r>
      <w:r w:rsidRPr="00C05E7B">
        <w:t xml:space="preserve"> required </w:t>
      </w:r>
      <w:r w:rsidR="00767D3C">
        <w:t>under</w:t>
      </w:r>
      <w:r w:rsidRPr="00C05E7B">
        <w:t xml:space="preserve"> the AusNCP </w:t>
      </w:r>
      <w:r w:rsidR="00CA0E72">
        <w:t>complaint p</w:t>
      </w:r>
      <w:r w:rsidRPr="00C05E7B">
        <w:t>rocedures</w:t>
      </w:r>
      <w:r w:rsidR="00CA0E72" w:rsidDel="00DE0CDF">
        <w:t>,</w:t>
      </w:r>
      <w:r w:rsidRPr="00C05E7B">
        <w:rPr>
          <w:rStyle w:val="FootnoteReference"/>
        </w:rPr>
        <w:footnoteReference w:id="20"/>
      </w:r>
      <w:r w:rsidRPr="00C05E7B">
        <w:t xml:space="preserve"> and consultation with other NCPs is encouraged by the </w:t>
      </w:r>
      <w:r w:rsidR="00CA0E72">
        <w:t xml:space="preserve">OECD </w:t>
      </w:r>
      <w:r w:rsidRPr="00C05E7B">
        <w:t>Guidelines.</w:t>
      </w:r>
      <w:r w:rsidRPr="00C05E7B">
        <w:rPr>
          <w:rStyle w:val="FootnoteReference"/>
        </w:rPr>
        <w:footnoteReference w:id="21"/>
      </w:r>
      <w:r w:rsidRPr="00C05E7B">
        <w:t xml:space="preserve"> </w:t>
      </w:r>
      <w:r w:rsidR="0049431C">
        <w:t>The German and Dutch NCPs provided comments</w:t>
      </w:r>
      <w:r w:rsidR="00C2199E">
        <w:t>,</w:t>
      </w:r>
      <w:r w:rsidR="0049431C">
        <w:t xml:space="preserve"> but </w:t>
      </w:r>
      <w:r w:rsidR="00C2199E">
        <w:t xml:space="preserve">as </w:t>
      </w:r>
      <w:r w:rsidR="0049431C">
        <w:t>the US Government was in shutdown at the time</w:t>
      </w:r>
      <w:r w:rsidR="006B36BB">
        <w:t xml:space="preserve"> of the </w:t>
      </w:r>
      <w:proofErr w:type="spellStart"/>
      <w:r w:rsidR="006B36BB">
        <w:t>AusNCP’s</w:t>
      </w:r>
      <w:proofErr w:type="spellEnd"/>
      <w:r w:rsidR="006B36BB">
        <w:t xml:space="preserve"> consultation on this Final Statement</w:t>
      </w:r>
      <w:r w:rsidR="00C2199E">
        <w:t>,</w:t>
      </w:r>
      <w:r w:rsidR="0049431C">
        <w:t xml:space="preserve"> the US NCP was unable to comment on the draft</w:t>
      </w:r>
      <w:r w:rsidR="006B36BB">
        <w:t xml:space="preserve"> until</w:t>
      </w:r>
      <w:r w:rsidR="006B36BB" w:rsidRPr="006B36BB">
        <w:t xml:space="preserve"> </w:t>
      </w:r>
      <w:r w:rsidR="006B36BB">
        <w:t>after a version ha</w:t>
      </w:r>
      <w:r w:rsidR="00767D3C">
        <w:t>d</w:t>
      </w:r>
      <w:r w:rsidR="006B36BB">
        <w:t xml:space="preserve"> been sent to the parties for review</w:t>
      </w:r>
      <w:r w:rsidR="0049431C">
        <w:t xml:space="preserve">. </w:t>
      </w:r>
      <w:r w:rsidRPr="00C05E7B">
        <w:t xml:space="preserve">The Independent Examiner </w:t>
      </w:r>
      <w:r w:rsidR="00D24EF8">
        <w:t>consider</w:t>
      </w:r>
      <w:r w:rsidR="0049431C">
        <w:t xml:space="preserve">ed all feedback </w:t>
      </w:r>
      <w:r w:rsidR="00D24EF8">
        <w:t xml:space="preserve">received </w:t>
      </w:r>
      <w:r w:rsidR="0049431C">
        <w:t xml:space="preserve">and revised some wording before </w:t>
      </w:r>
      <w:r w:rsidRPr="00C05E7B">
        <w:t xml:space="preserve">subsequently </w:t>
      </w:r>
      <w:r w:rsidR="00D24EF8">
        <w:t>provi</w:t>
      </w:r>
      <w:r w:rsidR="0049431C">
        <w:t>ding</w:t>
      </w:r>
      <w:r w:rsidRPr="00C05E7B">
        <w:t xml:space="preserve"> a draft statement to the parties</w:t>
      </w:r>
      <w:r w:rsidR="00D67AA8" w:rsidRPr="00C05E7B">
        <w:t>,</w:t>
      </w:r>
      <w:r w:rsidR="00767D3C">
        <w:rPr>
          <w:rStyle w:val="FootnoteReference"/>
        </w:rPr>
        <w:footnoteReference w:id="22"/>
      </w:r>
      <w:r w:rsidR="000265A6" w:rsidRPr="00C05E7B">
        <w:t xml:space="preserve"> </w:t>
      </w:r>
      <w:r w:rsidR="00D67AA8" w:rsidRPr="00C05E7B">
        <w:t>a</w:t>
      </w:r>
      <w:r w:rsidR="000265A6" w:rsidRPr="00C05E7B">
        <w:t>s</w:t>
      </w:r>
      <w:r w:rsidR="00F94EDC" w:rsidRPr="00C05E7B">
        <w:t xml:space="preserve"> required by the AusNCP</w:t>
      </w:r>
      <w:r w:rsidR="00CA0E72">
        <w:t xml:space="preserve"> complaint p</w:t>
      </w:r>
      <w:r w:rsidR="00F94EDC" w:rsidRPr="00C05E7B">
        <w:t>rocedures</w:t>
      </w:r>
      <w:r w:rsidR="001A5495" w:rsidRPr="00C05E7B">
        <w:t>.</w:t>
      </w:r>
      <w:r w:rsidR="000101AA" w:rsidRPr="00C05E7B">
        <w:rPr>
          <w:rStyle w:val="FootnoteReference"/>
        </w:rPr>
        <w:footnoteReference w:id="23"/>
      </w:r>
      <w:r w:rsidR="0049431C">
        <w:t xml:space="preserve">  </w:t>
      </w:r>
    </w:p>
    <w:p w14:paraId="23721D3F" w14:textId="792D0025" w:rsidR="00D67AA8" w:rsidRPr="00C05E7B" w:rsidRDefault="00D67AA8" w:rsidP="0089682A">
      <w:pPr>
        <w:pStyle w:val="OutlineNumbered1"/>
      </w:pPr>
      <w:r w:rsidRPr="00C05E7B">
        <w:t>Ms Stevens and Dow responded to the draft statement</w:t>
      </w:r>
      <w:r w:rsidR="00CA0E72">
        <w:t xml:space="preserve"> with comments for the Independent Examiner’s consideration</w:t>
      </w:r>
      <w:r w:rsidR="00015511" w:rsidRPr="00C05E7B">
        <w:t>:</w:t>
      </w:r>
    </w:p>
    <w:p w14:paraId="2D4951B8" w14:textId="6FA5CB74" w:rsidR="00831E4C" w:rsidRPr="00C05E7B" w:rsidRDefault="00831E4C" w:rsidP="0089682A">
      <w:pPr>
        <w:pStyle w:val="OutlineNumbered1"/>
        <w:numPr>
          <w:ilvl w:val="1"/>
          <w:numId w:val="13"/>
        </w:numPr>
      </w:pPr>
      <w:r w:rsidRPr="00C05E7B">
        <w:t xml:space="preserve">Ms </w:t>
      </w:r>
      <w:r w:rsidR="00D67AA8" w:rsidRPr="00C05E7B">
        <w:t>Stevens</w:t>
      </w:r>
      <w:r w:rsidRPr="00C05E7B">
        <w:t xml:space="preserve"> </w:t>
      </w:r>
      <w:r w:rsidR="00B05095" w:rsidRPr="00C05E7B">
        <w:t>responded that she wished to ‘</w:t>
      </w:r>
      <w:r w:rsidR="00B05095" w:rsidRPr="001020A7">
        <w:rPr>
          <w:i/>
          <w:iCs/>
        </w:rPr>
        <w:t>re-engage in good faith</w:t>
      </w:r>
      <w:r w:rsidR="00B05095" w:rsidRPr="00C05E7B">
        <w:t>’</w:t>
      </w:r>
      <w:r w:rsidR="00CA0E72">
        <w:t>,</w:t>
      </w:r>
      <w:r w:rsidR="00B05095" w:rsidRPr="00C05E7B">
        <w:t xml:space="preserve"> and </w:t>
      </w:r>
      <w:r w:rsidR="00CA0E72">
        <w:t xml:space="preserve">that </w:t>
      </w:r>
      <w:r w:rsidR="00B05095" w:rsidRPr="00C05E7B">
        <w:t xml:space="preserve">the AusNCP should continue with the complaint or transfer it to the US NCP. </w:t>
      </w:r>
      <w:r w:rsidR="00A31B09" w:rsidRPr="00C05E7B">
        <w:t xml:space="preserve">The Independent Examiner considers that </w:t>
      </w:r>
      <w:r w:rsidR="00A31B09">
        <w:t xml:space="preserve">this </w:t>
      </w:r>
      <w:r w:rsidR="00A31B09" w:rsidRPr="00C05E7B">
        <w:t>would be inappropriate</w:t>
      </w:r>
      <w:r w:rsidR="00F44B7E">
        <w:t xml:space="preserve"> because of</w:t>
      </w:r>
      <w:r w:rsidR="00A31B09" w:rsidRPr="00C05E7B">
        <w:t xml:space="preserve"> the time and resources already taken by all parties and NCPs in response to Ms Stevens’ previous requests and communications. To re-engage would </w:t>
      </w:r>
      <w:r w:rsidR="00085135">
        <w:t>require</w:t>
      </w:r>
      <w:r w:rsidR="00A31B09" w:rsidRPr="00C05E7B">
        <w:t xml:space="preserve"> </w:t>
      </w:r>
      <w:r w:rsidR="00D35263">
        <w:t>undertaking</w:t>
      </w:r>
      <w:r w:rsidR="00A31B09" w:rsidRPr="00C05E7B">
        <w:t xml:space="preserve"> </w:t>
      </w:r>
      <w:r w:rsidR="00F63265">
        <w:t xml:space="preserve">a </w:t>
      </w:r>
      <w:r w:rsidR="00D35263">
        <w:t xml:space="preserve">fresh </w:t>
      </w:r>
      <w:r w:rsidR="00A31B09" w:rsidRPr="00C05E7B">
        <w:t xml:space="preserve">process of </w:t>
      </w:r>
      <w:r w:rsidR="00F63265">
        <w:t>coordination</w:t>
      </w:r>
      <w:r w:rsidR="00085135">
        <w:t>,</w:t>
      </w:r>
      <w:r w:rsidR="00F63265">
        <w:t xml:space="preserve"> and</w:t>
      </w:r>
      <w:r w:rsidR="00D35263">
        <w:t xml:space="preserve"> eventually, an</w:t>
      </w:r>
      <w:r w:rsidR="00F63265">
        <w:t xml:space="preserve"> </w:t>
      </w:r>
      <w:r w:rsidR="00A31B09" w:rsidRPr="00C05E7B">
        <w:t>Initial Assessment. If Ms Stevens considers a</w:t>
      </w:r>
      <w:r w:rsidR="00D35263">
        <w:t xml:space="preserve">n </w:t>
      </w:r>
      <w:r w:rsidR="00A31B09" w:rsidRPr="00C05E7B">
        <w:t xml:space="preserve">Initial Assessment </w:t>
      </w:r>
      <w:r w:rsidR="00D35263">
        <w:t>remains</w:t>
      </w:r>
      <w:r w:rsidR="00A31B09" w:rsidRPr="00C05E7B">
        <w:t xml:space="preserve"> appropriate, that could occur through a new complaint</w:t>
      </w:r>
      <w:r w:rsidR="00D35263">
        <w:t xml:space="preserve"> to the appropriate NCP</w:t>
      </w:r>
      <w:r w:rsidR="00A31B09" w:rsidRPr="00C05E7B">
        <w:t>.</w:t>
      </w:r>
      <w:r w:rsidR="00A31B09">
        <w:t xml:space="preserve"> </w:t>
      </w:r>
      <w:r w:rsidR="00E9472D" w:rsidRPr="00C05E7B">
        <w:t>Ms Stevens</w:t>
      </w:r>
      <w:r w:rsidR="00B05095" w:rsidRPr="00C05E7B">
        <w:t xml:space="preserve"> </w:t>
      </w:r>
      <w:r w:rsidR="00F44B7E">
        <w:t xml:space="preserve">stated </w:t>
      </w:r>
      <w:r w:rsidR="00B05095" w:rsidRPr="00C05E7B">
        <w:t>that her earlier response was</w:t>
      </w:r>
      <w:r w:rsidR="00E9472D" w:rsidRPr="00C05E7B">
        <w:t xml:space="preserve"> a</w:t>
      </w:r>
      <w:r w:rsidR="00B05095" w:rsidRPr="00C05E7B">
        <w:t xml:space="preserve"> ‘</w:t>
      </w:r>
      <w:r w:rsidR="00B05095" w:rsidRPr="001020A7">
        <w:rPr>
          <w:i/>
          <w:iCs/>
        </w:rPr>
        <w:t xml:space="preserve">jurisdictional position </w:t>
      </w:r>
      <w:r w:rsidR="00E9472D" w:rsidRPr="001020A7">
        <w:rPr>
          <w:i/>
          <w:iCs/>
        </w:rPr>
        <w:t xml:space="preserve">[which] </w:t>
      </w:r>
      <w:r w:rsidR="00B05095" w:rsidRPr="001020A7">
        <w:rPr>
          <w:i/>
          <w:iCs/>
        </w:rPr>
        <w:t xml:space="preserve">was taken </w:t>
      </w:r>
      <w:r w:rsidR="00B05095" w:rsidRPr="001020A7">
        <w:rPr>
          <w:i/>
          <w:iCs/>
        </w:rPr>
        <w:lastRenderedPageBreak/>
        <w:t xml:space="preserve">while </w:t>
      </w:r>
      <w:r w:rsidR="00CA0E72" w:rsidRPr="001020A7">
        <w:rPr>
          <w:i/>
          <w:iCs/>
        </w:rPr>
        <w:t>[she]</w:t>
      </w:r>
      <w:r w:rsidR="00B05095" w:rsidRPr="001020A7">
        <w:rPr>
          <w:i/>
          <w:iCs/>
        </w:rPr>
        <w:t xml:space="preserve"> was engaging multiple international mechanisms simultaneously, including UN bodies and other OECD National Contact Points, for the purpose of preserving the international record of treaty non-implementation and long-standing UN findings</w:t>
      </w:r>
      <w:r w:rsidR="00E9472D" w:rsidRPr="00C05E7B">
        <w:t xml:space="preserve">’. </w:t>
      </w:r>
      <w:r>
        <w:t>Ms</w:t>
      </w:r>
      <w:r w:rsidR="0020202A">
        <w:t> </w:t>
      </w:r>
      <w:r>
        <w:t xml:space="preserve">Stevens also indicated that she considered relevant a </w:t>
      </w:r>
      <w:r w:rsidR="00F44B7E">
        <w:t xml:space="preserve">recent </w:t>
      </w:r>
      <w:r>
        <w:t xml:space="preserve">report </w:t>
      </w:r>
      <w:r w:rsidR="00471444">
        <w:t>‘</w:t>
      </w:r>
      <w:r w:rsidR="00D4357A" w:rsidRPr="001020A7">
        <w:rPr>
          <w:i/>
          <w:iCs/>
        </w:rPr>
        <w:t>Military activities and toxics</w:t>
      </w:r>
      <w:r w:rsidR="00471444">
        <w:t>’</w:t>
      </w:r>
      <w:r>
        <w:t xml:space="preserve"> publicised by the UN’s Special Rapporteur on management and disposal of hazardous substances and wastes</w:t>
      </w:r>
      <w:r w:rsidR="00F44B7E">
        <w:t>.</w:t>
      </w:r>
      <w:r w:rsidR="00583A20">
        <w:rPr>
          <w:rStyle w:val="FootnoteReference"/>
        </w:rPr>
        <w:footnoteReference w:id="24"/>
      </w:r>
      <w:r w:rsidR="009316C3">
        <w:t xml:space="preserve"> </w:t>
      </w:r>
      <w:r w:rsidR="00D4357A">
        <w:t>None of the</w:t>
      </w:r>
      <w:r w:rsidR="00E9472D">
        <w:t>se points raised</w:t>
      </w:r>
      <w:r w:rsidR="00FF769C">
        <w:t xml:space="preserve"> by</w:t>
      </w:r>
      <w:r w:rsidR="00E9472D">
        <w:t xml:space="preserve"> Ms Stevens change the outcome of this complaint, as explained in this</w:t>
      </w:r>
      <w:r w:rsidR="00D4357A">
        <w:t xml:space="preserve"> statement. </w:t>
      </w:r>
    </w:p>
    <w:p w14:paraId="60227803" w14:textId="4D102252" w:rsidR="00D67AA8" w:rsidRPr="00C05E7B" w:rsidRDefault="009701C2" w:rsidP="0089682A">
      <w:pPr>
        <w:pStyle w:val="OutlineNumbered1"/>
        <w:numPr>
          <w:ilvl w:val="1"/>
          <w:numId w:val="13"/>
        </w:numPr>
      </w:pPr>
      <w:r w:rsidRPr="009701C2">
        <w:t xml:space="preserve">Dow identified various parts of the draft Final Statement that it considered to be inaccurate or incomplete and requested that the full detail of its responses be included in an </w:t>
      </w:r>
      <w:r>
        <w:t>a</w:t>
      </w:r>
      <w:r w:rsidRPr="009701C2">
        <w:t>nnex</w:t>
      </w:r>
      <w:r>
        <w:t xml:space="preserve"> to the statement (see </w:t>
      </w:r>
      <w:r w:rsidRPr="008F09C0">
        <w:rPr>
          <w:b/>
        </w:rPr>
        <w:t>Annex</w:t>
      </w:r>
      <w:r w:rsidRPr="009701C2">
        <w:rPr>
          <w:b/>
          <w:bCs/>
        </w:rPr>
        <w:t xml:space="preserve"> A</w:t>
      </w:r>
      <w:r>
        <w:t>)</w:t>
      </w:r>
      <w:r w:rsidR="002C12D4" w:rsidRPr="00C05E7B">
        <w:t>.</w:t>
      </w:r>
    </w:p>
    <w:p w14:paraId="7EF507D6" w14:textId="596303F2" w:rsidR="00806571" w:rsidRPr="00C05E7B" w:rsidRDefault="009F1864" w:rsidP="0089682A">
      <w:pPr>
        <w:pStyle w:val="OutlineNumbered1"/>
      </w:pPr>
      <w:r w:rsidRPr="00C05E7B">
        <w:rPr>
          <w:bCs/>
        </w:rPr>
        <w:t>The Independent Examiner</w:t>
      </w:r>
      <w:r w:rsidRPr="00C05E7B" w:rsidDel="00FA06B0">
        <w:rPr>
          <w:bCs/>
        </w:rPr>
        <w:t xml:space="preserve"> </w:t>
      </w:r>
      <w:r w:rsidRPr="00C05E7B">
        <w:rPr>
          <w:bCs/>
        </w:rPr>
        <w:t>finalised this statement after considering all comments from the parties, the</w:t>
      </w:r>
      <w:r w:rsidR="009701C2">
        <w:rPr>
          <w:bCs/>
        </w:rPr>
        <w:t xml:space="preserve"> AusNCP</w:t>
      </w:r>
      <w:r w:rsidRPr="00C05E7B">
        <w:rPr>
          <w:bCs/>
        </w:rPr>
        <w:t xml:space="preserve"> Board, and the other NCPs</w:t>
      </w:r>
      <w:r w:rsidR="009701C2">
        <w:rPr>
          <w:bCs/>
        </w:rPr>
        <w:t xml:space="preserve"> involved</w:t>
      </w:r>
      <w:r w:rsidRPr="00C05E7B">
        <w:rPr>
          <w:bCs/>
        </w:rPr>
        <w:t>. Any changes proposed were made at the Independent Examiner’s discretion</w:t>
      </w:r>
      <w:r w:rsidR="009701C2">
        <w:rPr>
          <w:bCs/>
        </w:rPr>
        <w:t>,</w:t>
      </w:r>
      <w:r w:rsidRPr="00C05E7B">
        <w:rPr>
          <w:bCs/>
        </w:rPr>
        <w:t xml:space="preserve"> and the decision and statement remain the </w:t>
      </w:r>
      <w:r w:rsidR="008F09C0">
        <w:rPr>
          <w:bCs/>
        </w:rPr>
        <w:t xml:space="preserve">Independent </w:t>
      </w:r>
      <w:r w:rsidRPr="00C05E7B">
        <w:rPr>
          <w:bCs/>
        </w:rPr>
        <w:t>Examiner</w:t>
      </w:r>
      <w:r w:rsidR="001F3199">
        <w:rPr>
          <w:bCs/>
        </w:rPr>
        <w:t>’</w:t>
      </w:r>
      <w:r w:rsidRPr="00C05E7B">
        <w:rPr>
          <w:bCs/>
        </w:rPr>
        <w:t>s responsibility</w:t>
      </w:r>
      <w:r w:rsidR="00831E4C" w:rsidRPr="00C05E7B">
        <w:t>.</w:t>
      </w:r>
    </w:p>
    <w:p w14:paraId="64D264E4" w14:textId="70292798" w:rsidR="00797E7A" w:rsidRPr="00C05E7B" w:rsidRDefault="00797E7A" w:rsidP="00797E7A">
      <w:pPr>
        <w:pStyle w:val="Heading1"/>
      </w:pPr>
      <w:bookmarkStart w:id="31" w:name="_Toc116382018"/>
      <w:bookmarkStart w:id="32" w:name="_Toc211334203"/>
      <w:bookmarkStart w:id="33" w:name="_Toc230360316"/>
      <w:bookmarkEnd w:id="30"/>
      <w:r w:rsidRPr="00C05E7B">
        <w:t>C</w:t>
      </w:r>
      <w:bookmarkEnd w:id="31"/>
      <w:bookmarkEnd w:id="32"/>
      <w:r w:rsidR="00E51B90">
        <w:t>onclusion</w:t>
      </w:r>
      <w:bookmarkEnd w:id="33"/>
    </w:p>
    <w:p w14:paraId="300AA42E" w14:textId="07FC8C34" w:rsidR="009A6ED0" w:rsidRPr="00C05E7B" w:rsidRDefault="00575E08" w:rsidP="00C5258F">
      <w:pPr>
        <w:pStyle w:val="OutlineNumbered1"/>
      </w:pPr>
      <w:bookmarkStart w:id="34" w:name="_Toc116382019"/>
      <w:r w:rsidRPr="00C05E7B">
        <w:t xml:space="preserve">For the reasons outlined above, </w:t>
      </w:r>
      <w:r w:rsidR="00793F80" w:rsidRPr="00C05E7B">
        <w:t xml:space="preserve">this </w:t>
      </w:r>
      <w:r w:rsidR="009701C2">
        <w:t>F</w:t>
      </w:r>
      <w:r w:rsidR="00793F80" w:rsidRPr="00C05E7B">
        <w:t xml:space="preserve">inal </w:t>
      </w:r>
      <w:r w:rsidR="009701C2">
        <w:t>S</w:t>
      </w:r>
      <w:r w:rsidR="00793F80" w:rsidRPr="00C05E7B">
        <w:t>tatement primarily documents that the AusNCP considers this complaint to have been withdrawn.</w:t>
      </w:r>
      <w:r w:rsidR="00A97D09" w:rsidRPr="00C05E7B">
        <w:t xml:space="preserve"> </w:t>
      </w:r>
      <w:r w:rsidR="009501CF" w:rsidRPr="00C05E7B">
        <w:t xml:space="preserve">As the complaint has been withdrawn, </w:t>
      </w:r>
      <w:r w:rsidR="00F27142" w:rsidRPr="00C05E7B">
        <w:t xml:space="preserve">this </w:t>
      </w:r>
      <w:r w:rsidR="00ED5B74">
        <w:t>F</w:t>
      </w:r>
      <w:r w:rsidR="00F27142" w:rsidRPr="00C05E7B">
        <w:t>inal</w:t>
      </w:r>
      <w:r w:rsidR="005135AC">
        <w:t> </w:t>
      </w:r>
      <w:r w:rsidR="00ED5B74">
        <w:t>S</w:t>
      </w:r>
      <w:r w:rsidR="00F27142" w:rsidRPr="00C05E7B">
        <w:t xml:space="preserve">tatement does </w:t>
      </w:r>
      <w:r w:rsidR="009A23F0" w:rsidRPr="00C05E7B">
        <w:t>not</w:t>
      </w:r>
      <w:r w:rsidR="001A2587" w:rsidRPr="00C05E7B">
        <w:t xml:space="preserve"> assess</w:t>
      </w:r>
      <w:r w:rsidR="00A97D09" w:rsidRPr="00C05E7B">
        <w:t>:</w:t>
      </w:r>
    </w:p>
    <w:p w14:paraId="2EA88949" w14:textId="0153C70E" w:rsidR="00922BC1" w:rsidRPr="00C05E7B" w:rsidRDefault="00922BC1" w:rsidP="00C61AA8">
      <w:pPr>
        <w:pStyle w:val="OutlineNumbered1"/>
        <w:numPr>
          <w:ilvl w:val="1"/>
          <w:numId w:val="12"/>
        </w:numPr>
      </w:pPr>
      <w:r w:rsidRPr="00C05E7B">
        <w:t xml:space="preserve">whether the complaint merits further </w:t>
      </w:r>
      <w:r w:rsidR="00ED5B74">
        <w:t>consideration</w:t>
      </w:r>
      <w:r w:rsidR="000315B6" w:rsidRPr="00C05E7B">
        <w:t>, including an</w:t>
      </w:r>
      <w:r w:rsidR="00CF25D8" w:rsidRPr="00C05E7B">
        <w:t>y</w:t>
      </w:r>
      <w:r w:rsidR="000315B6" w:rsidRPr="00C05E7B">
        <w:t xml:space="preserve"> offer of</w:t>
      </w:r>
      <w:r w:rsidR="00B11A7B" w:rsidRPr="00C05E7B">
        <w:t xml:space="preserve"> AusNCP</w:t>
      </w:r>
      <w:r w:rsidR="00D35DB2" w:rsidRPr="00C05E7B">
        <w:noBreakHyphen/>
      </w:r>
      <w:r w:rsidR="006C1199">
        <w:t>facilitated</w:t>
      </w:r>
      <w:r w:rsidR="00B11A7B" w:rsidRPr="00C05E7B">
        <w:t xml:space="preserve"> dispute resolution (</w:t>
      </w:r>
      <w:r w:rsidR="00ED5B74">
        <w:t xml:space="preserve">or </w:t>
      </w:r>
      <w:r w:rsidR="00B11A7B" w:rsidRPr="00C05E7B">
        <w:t>‘</w:t>
      </w:r>
      <w:r w:rsidR="00ED5B74">
        <w:t>g</w:t>
      </w:r>
      <w:r w:rsidR="00E62730" w:rsidRPr="00C05E7B">
        <w:t xml:space="preserve">ood </w:t>
      </w:r>
      <w:r w:rsidR="00ED5B74">
        <w:t>o</w:t>
      </w:r>
      <w:r w:rsidR="00E62730" w:rsidRPr="00C05E7B">
        <w:t>ffices</w:t>
      </w:r>
      <w:r w:rsidR="00B11A7B" w:rsidRPr="00C05E7B">
        <w:t>’)</w:t>
      </w:r>
    </w:p>
    <w:p w14:paraId="3C61F6A2" w14:textId="3CA7E1F4" w:rsidR="005F3A48" w:rsidRPr="00C05E7B" w:rsidRDefault="009A23F0" w:rsidP="00C61AA8">
      <w:pPr>
        <w:pStyle w:val="OutlineNumbered1"/>
        <w:numPr>
          <w:ilvl w:val="1"/>
          <w:numId w:val="12"/>
        </w:numPr>
      </w:pPr>
      <w:r w:rsidRPr="00C05E7B">
        <w:t>the merits of the claims presented</w:t>
      </w:r>
      <w:r w:rsidR="005A2BD9" w:rsidRPr="00C05E7B">
        <w:t xml:space="preserve">, including </w:t>
      </w:r>
      <w:r w:rsidRPr="00C05E7B">
        <w:t xml:space="preserve">whether </w:t>
      </w:r>
      <w:r w:rsidR="007E0672" w:rsidRPr="00C05E7B">
        <w:t xml:space="preserve">the </w:t>
      </w:r>
      <w:r w:rsidR="00ED5B74">
        <w:t>e</w:t>
      </w:r>
      <w:r w:rsidR="007E0672" w:rsidRPr="00C05E7B">
        <w:t>nterprises</w:t>
      </w:r>
      <w:r w:rsidRPr="00C05E7B">
        <w:t>’ actions</w:t>
      </w:r>
      <w:r w:rsidR="009501CF" w:rsidRPr="00C05E7B">
        <w:t xml:space="preserve"> </w:t>
      </w:r>
      <w:r w:rsidR="00ED5B74">
        <w:t>(as</w:t>
      </w:r>
      <w:r w:rsidR="006407FA">
        <w:t> </w:t>
      </w:r>
      <w:r w:rsidR="009501CF" w:rsidRPr="00C05E7B">
        <w:t>identified in the complaint</w:t>
      </w:r>
      <w:r w:rsidR="00ED5B74">
        <w:t>)</w:t>
      </w:r>
      <w:r w:rsidR="009501CF" w:rsidRPr="00C05E7B">
        <w:t xml:space="preserve"> were</w:t>
      </w:r>
      <w:r w:rsidRPr="00C05E7B">
        <w:t xml:space="preserve"> consistent with the OECD Guidelines.</w:t>
      </w:r>
      <w:r w:rsidR="009501CF" w:rsidRPr="00C05E7B">
        <w:t xml:space="preserve"> </w:t>
      </w:r>
    </w:p>
    <w:p w14:paraId="7F561EBB" w14:textId="374ACC45" w:rsidR="009836F8" w:rsidRPr="00C05E7B" w:rsidRDefault="009501CF" w:rsidP="00C61AA8">
      <w:pPr>
        <w:pStyle w:val="OutlineNumbered1"/>
      </w:pPr>
      <w:r w:rsidRPr="00C05E7B">
        <w:t xml:space="preserve">However, given both parties </w:t>
      </w:r>
      <w:r w:rsidR="00833CE4" w:rsidRPr="00C05E7B">
        <w:t xml:space="preserve">had views on </w:t>
      </w:r>
      <w:r w:rsidRPr="00C05E7B">
        <w:t xml:space="preserve">which NCP should consider this complaint, and </w:t>
      </w:r>
      <w:r w:rsidR="00786975" w:rsidRPr="00C05E7B">
        <w:t xml:space="preserve">because </w:t>
      </w:r>
      <w:r w:rsidRPr="00C05E7B">
        <w:t xml:space="preserve">other NCPs or institutions may </w:t>
      </w:r>
      <w:r w:rsidR="000B78E1" w:rsidRPr="00C05E7B">
        <w:t>need</w:t>
      </w:r>
      <w:r w:rsidR="007B4205" w:rsidRPr="00C05E7B">
        <w:t xml:space="preserve"> </w:t>
      </w:r>
      <w:r w:rsidRPr="00C05E7B">
        <w:t xml:space="preserve">to </w:t>
      </w:r>
      <w:r w:rsidR="007B4205" w:rsidRPr="00C05E7B">
        <w:t xml:space="preserve">understand </w:t>
      </w:r>
      <w:r w:rsidRPr="00C05E7B">
        <w:t xml:space="preserve">the </w:t>
      </w:r>
      <w:proofErr w:type="spellStart"/>
      <w:r w:rsidRPr="00C05E7B">
        <w:t>AusNCP’s</w:t>
      </w:r>
      <w:proofErr w:type="spellEnd"/>
      <w:r w:rsidRPr="00C05E7B">
        <w:t xml:space="preserve"> management of this complaint, it is desirable to explain some of the issues </w:t>
      </w:r>
      <w:r w:rsidR="00B11A7B" w:rsidRPr="00C05E7B">
        <w:t xml:space="preserve">the AusNCP </w:t>
      </w:r>
      <w:r w:rsidRPr="00C05E7B">
        <w:t>considered.</w:t>
      </w:r>
    </w:p>
    <w:p w14:paraId="45E2CE29" w14:textId="77777777" w:rsidR="00036ACD" w:rsidRPr="00C05E7B" w:rsidRDefault="00036ACD" w:rsidP="009A0A92">
      <w:pPr>
        <w:pStyle w:val="Heading2"/>
      </w:pPr>
      <w:bookmarkStart w:id="35" w:name="_Toc211334204"/>
      <w:bookmarkStart w:id="36" w:name="_Toc219735247"/>
      <w:bookmarkStart w:id="37" w:name="_Toc230360317"/>
      <w:r w:rsidRPr="00C05E7B">
        <w:t>Observations regarding the complaint</w:t>
      </w:r>
      <w:bookmarkEnd w:id="35"/>
      <w:bookmarkEnd w:id="36"/>
      <w:bookmarkEnd w:id="37"/>
    </w:p>
    <w:p w14:paraId="07FE24B2" w14:textId="7BDFFFE0" w:rsidR="009501CF" w:rsidRPr="00C05E7B" w:rsidRDefault="00650793" w:rsidP="0089682A">
      <w:pPr>
        <w:pStyle w:val="OutlineNumbered1"/>
      </w:pPr>
      <w:bookmarkStart w:id="38" w:name="_Ref208334944"/>
      <w:r w:rsidRPr="00C05E7B">
        <w:t xml:space="preserve">In addition to reviewing material </w:t>
      </w:r>
      <w:r w:rsidR="00C71245" w:rsidRPr="00C05E7B">
        <w:t xml:space="preserve">provided by </w:t>
      </w:r>
      <w:r w:rsidR="009C4481" w:rsidRPr="00C05E7B">
        <w:t xml:space="preserve">the </w:t>
      </w:r>
      <w:r w:rsidR="006A5913">
        <w:t>p</w:t>
      </w:r>
      <w:r w:rsidR="009C4481" w:rsidRPr="00C05E7B">
        <w:t>arties</w:t>
      </w:r>
      <w:r w:rsidRPr="00C05E7B">
        <w:t>, t</w:t>
      </w:r>
      <w:r w:rsidR="009501CF" w:rsidRPr="00C05E7B">
        <w:t xml:space="preserve">he </w:t>
      </w:r>
      <w:r w:rsidR="004D386C" w:rsidRPr="00C05E7B">
        <w:t>Independent Examiner</w:t>
      </w:r>
      <w:r w:rsidR="009501CF" w:rsidRPr="00C05E7B">
        <w:t xml:space="preserve"> </w:t>
      </w:r>
      <w:r w:rsidR="006F732D" w:rsidRPr="00C05E7B">
        <w:t>reviewed</w:t>
      </w:r>
      <w:r w:rsidR="009501CF" w:rsidRPr="00C05E7B">
        <w:t xml:space="preserve"> public sources regarding Agent Orange</w:t>
      </w:r>
      <w:r w:rsidR="00A74B98" w:rsidRPr="00C05E7B">
        <w:t xml:space="preserve">. </w:t>
      </w:r>
      <w:r w:rsidR="0064013C" w:rsidRPr="0064013C">
        <w:t>The information drawn from these public sources is summarised below</w:t>
      </w:r>
      <w:r w:rsidR="00940133">
        <w:t xml:space="preserve"> </w:t>
      </w:r>
      <w:r w:rsidR="00940133" w:rsidRPr="00940133">
        <w:t>and may not be complete or accurate</w:t>
      </w:r>
      <w:r w:rsidR="00A55DA6" w:rsidRPr="00C05E7B">
        <w:t>.</w:t>
      </w:r>
      <w:bookmarkEnd w:id="38"/>
    </w:p>
    <w:p w14:paraId="3BD2818D" w14:textId="691EDDB4" w:rsidR="009501CF" w:rsidRPr="00C05E7B" w:rsidRDefault="009501CF" w:rsidP="0089682A">
      <w:pPr>
        <w:pStyle w:val="OutlineNumbered1"/>
      </w:pPr>
      <w:bookmarkStart w:id="39" w:name="_Ref212726112"/>
      <w:r w:rsidRPr="00C05E7B">
        <w:lastRenderedPageBreak/>
        <w:t xml:space="preserve">Agent Orange was one of </w:t>
      </w:r>
      <w:r w:rsidR="00C80618" w:rsidRPr="00C05E7B">
        <w:t xml:space="preserve">several </w:t>
      </w:r>
      <w:r w:rsidR="0002129A" w:rsidRPr="00C05E7B">
        <w:t xml:space="preserve">herbicides </w:t>
      </w:r>
      <w:r w:rsidRPr="00C05E7B">
        <w:t>the US military</w:t>
      </w:r>
      <w:r w:rsidR="00C80618" w:rsidRPr="00C05E7B">
        <w:t xml:space="preserve"> us</w:t>
      </w:r>
      <w:r w:rsidR="001E0813" w:rsidRPr="00C05E7B">
        <w:t>ed</w:t>
      </w:r>
      <w:r w:rsidRPr="00C05E7B">
        <w:t xml:space="preserve"> in the</w:t>
      </w:r>
      <w:r w:rsidR="00410192" w:rsidRPr="00C05E7B">
        <w:t xml:space="preserve"> Vietnam</w:t>
      </w:r>
      <w:r w:rsidRPr="00C05E7B">
        <w:t xml:space="preserve"> </w:t>
      </w:r>
      <w:r w:rsidR="00410192" w:rsidRPr="00C05E7B">
        <w:t>War</w:t>
      </w:r>
      <w:r w:rsidR="00C80618" w:rsidRPr="00C05E7B">
        <w:t xml:space="preserve"> </w:t>
      </w:r>
      <w:r w:rsidRPr="00C05E7B">
        <w:t>to remove covering vegetation and crop</w:t>
      </w:r>
      <w:r w:rsidR="00C1765B" w:rsidRPr="00C05E7B">
        <w:t>s</w:t>
      </w:r>
      <w:r w:rsidRPr="00C05E7B">
        <w:t xml:space="preserve"> available to Viet Cong and North Vietnamese soldiers</w:t>
      </w:r>
      <w:r w:rsidR="00192010">
        <w:t>.</w:t>
      </w:r>
      <w:r w:rsidR="00262D46" w:rsidRPr="00C05E7B">
        <w:rPr>
          <w:rStyle w:val="FootnoteReference"/>
        </w:rPr>
        <w:footnoteReference w:id="25"/>
      </w:r>
      <w:bookmarkEnd w:id="39"/>
    </w:p>
    <w:p w14:paraId="15C0E39B" w14:textId="2C04D877" w:rsidR="009501CF" w:rsidRPr="00C05E7B" w:rsidRDefault="009501CF" w:rsidP="0089682A">
      <w:pPr>
        <w:pStyle w:val="OutlineNumbered1"/>
        <w:numPr>
          <w:ilvl w:val="0"/>
          <w:numId w:val="12"/>
        </w:numPr>
      </w:pPr>
      <w:r w:rsidRPr="00C05E7B">
        <w:t xml:space="preserve">Agent Orange was produced </w:t>
      </w:r>
      <w:r w:rsidR="00A3517F" w:rsidRPr="00C05E7B">
        <w:t>to specifications from the US Government</w:t>
      </w:r>
      <w:r w:rsidR="00192010">
        <w:t>,</w:t>
      </w:r>
      <w:r w:rsidR="00A3517F" w:rsidRPr="00C05E7B">
        <w:t xml:space="preserve"> which in</w:t>
      </w:r>
      <w:r w:rsidR="0002333B" w:rsidRPr="00C05E7B">
        <w:t>cluded</w:t>
      </w:r>
      <w:r w:rsidR="00A3517F" w:rsidRPr="00C05E7B">
        <w:t xml:space="preserve"> </w:t>
      </w:r>
      <w:r w:rsidRPr="00C05E7B">
        <w:t>two herbicides, one of which was 2</w:t>
      </w:r>
      <w:r w:rsidR="0015288E" w:rsidRPr="00C05E7B">
        <w:t>,</w:t>
      </w:r>
      <w:r w:rsidRPr="00C05E7B">
        <w:t>4</w:t>
      </w:r>
      <w:r w:rsidR="0015288E" w:rsidRPr="00C05E7B">
        <w:t>,</w:t>
      </w:r>
      <w:r w:rsidRPr="00C05E7B">
        <w:t>5-T</w:t>
      </w:r>
      <w:r w:rsidR="00F60D4A">
        <w:t>,</w:t>
      </w:r>
      <w:r w:rsidR="001205E9">
        <w:t xml:space="preserve"> </w:t>
      </w:r>
      <w:r w:rsidR="00F60D4A">
        <w:t>in</w:t>
      </w:r>
      <w:r w:rsidR="0002333B" w:rsidRPr="00C05E7B">
        <w:t xml:space="preserve"> a much higher concentration in Agent Orange than was commercially available</w:t>
      </w:r>
      <w:r w:rsidRPr="00C05E7B">
        <w:t>.</w:t>
      </w:r>
      <w:r w:rsidR="00A3517F" w:rsidRPr="00C05E7B">
        <w:rPr>
          <w:rStyle w:val="FootnoteReference"/>
        </w:rPr>
        <w:footnoteReference w:id="26"/>
      </w:r>
    </w:p>
    <w:p w14:paraId="23E85B92" w14:textId="6F8CF466" w:rsidR="009501CF" w:rsidRPr="00C05E7B" w:rsidRDefault="009501CF" w:rsidP="0089682A">
      <w:pPr>
        <w:pStyle w:val="OutlineNumbered1"/>
      </w:pPr>
      <w:r w:rsidRPr="00C05E7B">
        <w:t>The US military procured Agent Orange from seven to nine chemical companies in the US who were contracted to manufacture the product</w:t>
      </w:r>
      <w:r w:rsidR="00E07A85">
        <w:t xml:space="preserve">, </w:t>
      </w:r>
      <w:r w:rsidRPr="00C05E7B">
        <w:t>with the largest supply from Dow and Monsanto.</w:t>
      </w:r>
      <w:r w:rsidRPr="00C05E7B">
        <w:rPr>
          <w:rStyle w:val="FootnoteReference"/>
        </w:rPr>
        <w:footnoteReference w:id="27"/>
      </w:r>
      <w:r w:rsidRPr="00C05E7B">
        <w:t xml:space="preserve"> The US military specified, and contractually required, the ingredients the companies used to produce Agent Orange</w:t>
      </w:r>
      <w:r w:rsidR="00154974">
        <w:t>,</w:t>
      </w:r>
      <w:r w:rsidRPr="00C05E7B">
        <w:t xml:space="preserve"> and in 1966</w:t>
      </w:r>
      <w:r w:rsidR="00154974">
        <w:t>,</w:t>
      </w:r>
      <w:r w:rsidRPr="00C05E7B">
        <w:t xml:space="preserve"> US authorities compelled production of Agent Orange from the manufacturers under US law.</w:t>
      </w:r>
      <w:r w:rsidRPr="00C05E7B">
        <w:rPr>
          <w:rStyle w:val="FootnoteReference"/>
        </w:rPr>
        <w:footnoteReference w:id="28"/>
      </w:r>
    </w:p>
    <w:p w14:paraId="240DB49A" w14:textId="3EC47547" w:rsidR="009501CF" w:rsidRPr="00C05E7B" w:rsidRDefault="00D01C27" w:rsidP="0089682A">
      <w:pPr>
        <w:pStyle w:val="OutlineNumbered1"/>
      </w:pPr>
      <w:r w:rsidRPr="00C05E7B">
        <w:t xml:space="preserve">The </w:t>
      </w:r>
      <w:r w:rsidR="004D386C" w:rsidRPr="00C05E7B">
        <w:t>Independent Examiner</w:t>
      </w:r>
      <w:r w:rsidRPr="00C05E7B">
        <w:t xml:space="preserve"> did not </w:t>
      </w:r>
      <w:r w:rsidR="00C7102D" w:rsidRPr="00C05E7B">
        <w:t xml:space="preserve">find </w:t>
      </w:r>
      <w:r w:rsidR="000101AA" w:rsidRPr="00C05E7B">
        <w:t>any information</w:t>
      </w:r>
      <w:r w:rsidR="00C7102D" w:rsidRPr="00C05E7B">
        <w:t xml:space="preserve"> indicat</w:t>
      </w:r>
      <w:r w:rsidR="000101AA" w:rsidRPr="00C05E7B">
        <w:t>ing</w:t>
      </w:r>
      <w:r w:rsidR="00C7102D" w:rsidRPr="00C05E7B">
        <w:t xml:space="preserve"> </w:t>
      </w:r>
      <w:r w:rsidR="009501CF" w:rsidRPr="00C05E7B">
        <w:t>the Agent Orange used in Vietnam was sourced from companies</w:t>
      </w:r>
      <w:r w:rsidR="00C7102D" w:rsidRPr="00C05E7B">
        <w:t xml:space="preserve"> other than those noted above</w:t>
      </w:r>
      <w:r w:rsidR="00C7102D" w:rsidRPr="00C05E7B" w:rsidDel="009E6E78">
        <w:t>,</w:t>
      </w:r>
      <w:r w:rsidR="009501CF" w:rsidRPr="00C05E7B">
        <w:t xml:space="preserve"> or</w:t>
      </w:r>
      <w:r w:rsidR="00C7102D" w:rsidRPr="00C05E7B">
        <w:t xml:space="preserve"> from</w:t>
      </w:r>
      <w:r w:rsidR="009501CF" w:rsidRPr="00C05E7B">
        <w:t xml:space="preserve"> countries</w:t>
      </w:r>
      <w:r w:rsidR="00C7102D" w:rsidRPr="00C05E7B">
        <w:t xml:space="preserve"> other than the US</w:t>
      </w:r>
      <w:r w:rsidR="009501CF" w:rsidRPr="00C05E7B">
        <w:t>.</w:t>
      </w:r>
    </w:p>
    <w:p w14:paraId="3CD63324" w14:textId="44707797" w:rsidR="009501CF" w:rsidRPr="00C05E7B" w:rsidRDefault="009501CF" w:rsidP="0089682A">
      <w:pPr>
        <w:pStyle w:val="OutlineNumbered1"/>
      </w:pPr>
      <w:r w:rsidRPr="00C05E7B">
        <w:t xml:space="preserve">Many people </w:t>
      </w:r>
      <w:r w:rsidR="00A57031" w:rsidRPr="00C05E7B">
        <w:t>claim to have been</w:t>
      </w:r>
      <w:r w:rsidRPr="00C05E7B">
        <w:t xml:space="preserve"> exposed to Agent Orange in Vietnam during this time, including military personnel from Australia and New Zealand.</w:t>
      </w:r>
      <w:r w:rsidRPr="00C05E7B">
        <w:rPr>
          <w:rStyle w:val="FootnoteReference"/>
        </w:rPr>
        <w:footnoteReference w:id="29"/>
      </w:r>
      <w:r w:rsidR="00E55741" w:rsidRPr="00C05E7B">
        <w:t xml:space="preserve"> Dow contend</w:t>
      </w:r>
      <w:r w:rsidR="001A5495" w:rsidRPr="00C05E7B">
        <w:t>s</w:t>
      </w:r>
      <w:r w:rsidR="00E55741" w:rsidRPr="00C05E7B">
        <w:t xml:space="preserve"> that this remains a disputed matter, along with whether any exposures to Agent Orange were at a harmful level.</w:t>
      </w:r>
    </w:p>
    <w:p w14:paraId="0074B297" w14:textId="1FB0E460" w:rsidR="009501CF" w:rsidRPr="00C05E7B" w:rsidRDefault="009501CF" w:rsidP="0089682A">
      <w:pPr>
        <w:pStyle w:val="OutlineNumbered1"/>
      </w:pPr>
      <w:r w:rsidRPr="00C05E7B">
        <w:t>It was discovered that the manufacturing process for Agent Orange introduced a contaminant known as TCDD, which is toxic. The timing of what was known by who is contested. Some commentary says the presence of TCDD as a contaminant in 2</w:t>
      </w:r>
      <w:r w:rsidR="00F00BE8" w:rsidRPr="00C05E7B">
        <w:t>,</w:t>
      </w:r>
      <w:r w:rsidRPr="00C05E7B">
        <w:t>4</w:t>
      </w:r>
      <w:r w:rsidR="00F00BE8" w:rsidRPr="00C05E7B">
        <w:t>,</w:t>
      </w:r>
      <w:r w:rsidRPr="00C05E7B">
        <w:t>5</w:t>
      </w:r>
      <w:r w:rsidR="00B5155C" w:rsidRPr="00C05E7B">
        <w:t>-</w:t>
      </w:r>
      <w:r w:rsidRPr="00C05E7B">
        <w:t>T was first documented in 1957</w:t>
      </w:r>
      <w:r w:rsidR="00154974">
        <w:t>,</w:t>
      </w:r>
      <w:r w:rsidRPr="00C05E7B">
        <w:t xml:space="preserve"> and concerns about TCDD levels in 2</w:t>
      </w:r>
      <w:r w:rsidR="00F00BE8" w:rsidRPr="00C05E7B">
        <w:t>,</w:t>
      </w:r>
      <w:r w:rsidRPr="00C05E7B">
        <w:t>4</w:t>
      </w:r>
      <w:r w:rsidR="00F00BE8" w:rsidRPr="00C05E7B">
        <w:t>,</w:t>
      </w:r>
      <w:r w:rsidRPr="00C05E7B">
        <w:t xml:space="preserve">5-T </w:t>
      </w:r>
      <w:r w:rsidR="007D2F9A" w:rsidRPr="00C05E7B">
        <w:t xml:space="preserve">were </w:t>
      </w:r>
      <w:r w:rsidRPr="00C05E7B">
        <w:t>reported in 1964.</w:t>
      </w:r>
      <w:r w:rsidRPr="00C05E7B">
        <w:rPr>
          <w:rStyle w:val="FootnoteReference"/>
        </w:rPr>
        <w:footnoteReference w:id="30"/>
      </w:r>
      <w:r w:rsidRPr="00C05E7B">
        <w:t xml:space="preserve"> A 198</w:t>
      </w:r>
      <w:r w:rsidR="369A897D" w:rsidRPr="00C05E7B">
        <w:t>5</w:t>
      </w:r>
      <w:r w:rsidRPr="00C05E7B">
        <w:t xml:space="preserve"> Australian Royal Commission </w:t>
      </w:r>
      <w:r w:rsidR="0071783B" w:rsidRPr="00C05E7B">
        <w:t xml:space="preserve">report </w:t>
      </w:r>
      <w:r w:rsidR="00154974">
        <w:t>states</w:t>
      </w:r>
      <w:r w:rsidRPr="00C05E7B">
        <w:t xml:space="preserve"> that in 1952, Monsanto had warned some US military </w:t>
      </w:r>
      <w:r w:rsidR="00B20B0D" w:rsidRPr="00C05E7B">
        <w:t xml:space="preserve">personnel </w:t>
      </w:r>
      <w:r w:rsidRPr="00C05E7B">
        <w:t>of the TCDD ‘by-product’</w:t>
      </w:r>
      <w:r w:rsidR="00154974">
        <w:t>,</w:t>
      </w:r>
      <w:r w:rsidRPr="00C05E7B">
        <w:t xml:space="preserve"> but that its toxicity was</w:t>
      </w:r>
      <w:r w:rsidR="001A5495" w:rsidRPr="00C05E7B">
        <w:t xml:space="preserve"> </w:t>
      </w:r>
      <w:r w:rsidR="00A1282A" w:rsidRPr="00C05E7B">
        <w:t>uncertain</w:t>
      </w:r>
      <w:r w:rsidRPr="00C05E7B">
        <w:t>.</w:t>
      </w:r>
      <w:r w:rsidRPr="00C05E7B">
        <w:rPr>
          <w:rStyle w:val="FootnoteReference"/>
        </w:rPr>
        <w:footnoteReference w:id="31"/>
      </w:r>
      <w:r w:rsidRPr="00C05E7B">
        <w:t xml:space="preserve"> It is, however, broadly documented that:</w:t>
      </w:r>
    </w:p>
    <w:p w14:paraId="17F3FB69" w14:textId="53C2173F" w:rsidR="009501CF" w:rsidRPr="00C05E7B" w:rsidRDefault="009501CF" w:rsidP="0089682A">
      <w:pPr>
        <w:pStyle w:val="OutlineNumbered1"/>
        <w:numPr>
          <w:ilvl w:val="1"/>
          <w:numId w:val="13"/>
        </w:numPr>
      </w:pPr>
      <w:r w:rsidRPr="00C05E7B">
        <w:t xml:space="preserve">Dow temporarily ceased production in 1964 because of TCDD </w:t>
      </w:r>
      <w:r w:rsidR="00227E87" w:rsidRPr="00C05E7B">
        <w:t>concerns related to workplace exposure</w:t>
      </w:r>
      <w:r w:rsidRPr="00C05E7B">
        <w:rPr>
          <w:rStyle w:val="FootnoteReference"/>
        </w:rPr>
        <w:footnoteReference w:id="32"/>
      </w:r>
    </w:p>
    <w:p w14:paraId="0600B999" w14:textId="6FD8A442" w:rsidR="009501CF" w:rsidRPr="00C05E7B" w:rsidRDefault="009501CF" w:rsidP="0089682A">
      <w:pPr>
        <w:pStyle w:val="OutlineNumbered1"/>
        <w:numPr>
          <w:ilvl w:val="1"/>
          <w:numId w:val="13"/>
        </w:numPr>
      </w:pPr>
      <w:r w:rsidRPr="00C05E7B">
        <w:lastRenderedPageBreak/>
        <w:t xml:space="preserve">studies in the late 1960s </w:t>
      </w:r>
      <w:r w:rsidR="00227E87" w:rsidRPr="00C05E7B">
        <w:t>suggested</w:t>
      </w:r>
      <w:r w:rsidRPr="00C05E7B">
        <w:t xml:space="preserve"> TCDD caused birth defects in mice</w:t>
      </w:r>
      <w:r w:rsidRPr="00C05E7B">
        <w:rPr>
          <w:rStyle w:val="FootnoteReference"/>
        </w:rPr>
        <w:footnoteReference w:id="33"/>
      </w:r>
    </w:p>
    <w:p w14:paraId="64DCE860" w14:textId="0192BDF9" w:rsidR="009501CF" w:rsidRPr="00C05E7B" w:rsidRDefault="009501CF" w:rsidP="0089682A">
      <w:pPr>
        <w:pStyle w:val="OutlineNumbered1"/>
        <w:numPr>
          <w:ilvl w:val="1"/>
          <w:numId w:val="13"/>
        </w:numPr>
      </w:pPr>
      <w:r w:rsidRPr="00C05E7B">
        <w:t>concerns grew about effects of Agent Orange on humans (including allegations about birth defects in areas sprayed in Vietnam)</w:t>
      </w:r>
      <w:r w:rsidRPr="00C05E7B">
        <w:rPr>
          <w:rStyle w:val="FootnoteReference"/>
        </w:rPr>
        <w:footnoteReference w:id="34"/>
      </w:r>
    </w:p>
    <w:p w14:paraId="09CB9F81" w14:textId="5C06A4B2" w:rsidR="009501CF" w:rsidRPr="00C05E7B" w:rsidRDefault="009501CF" w:rsidP="0089682A">
      <w:pPr>
        <w:pStyle w:val="OutlineNumbered1"/>
        <w:numPr>
          <w:ilvl w:val="1"/>
          <w:numId w:val="13"/>
        </w:numPr>
      </w:pPr>
      <w:r w:rsidRPr="00C05E7B">
        <w:t>in April 1970, US authorities suspended the use of the herbicide 2</w:t>
      </w:r>
      <w:r w:rsidR="00F00BE8" w:rsidRPr="00C05E7B">
        <w:t>,</w:t>
      </w:r>
      <w:r w:rsidRPr="00C05E7B">
        <w:t>4</w:t>
      </w:r>
      <w:r w:rsidR="00F00BE8" w:rsidRPr="00C05E7B">
        <w:t>,</w:t>
      </w:r>
      <w:r w:rsidRPr="00C05E7B">
        <w:t>5-T around homes, recreation areas and on crops intended for human consumption</w:t>
      </w:r>
      <w:r w:rsidRPr="00C05E7B">
        <w:rPr>
          <w:rStyle w:val="FootnoteReference"/>
        </w:rPr>
        <w:footnoteReference w:id="35"/>
      </w:r>
    </w:p>
    <w:p w14:paraId="63B2D3F4" w14:textId="01E00F24" w:rsidR="009501CF" w:rsidRPr="00C05E7B" w:rsidRDefault="009501CF" w:rsidP="0089682A">
      <w:pPr>
        <w:pStyle w:val="OutlineNumbered1"/>
        <w:numPr>
          <w:ilvl w:val="1"/>
          <w:numId w:val="13"/>
        </w:numPr>
      </w:pPr>
      <w:r w:rsidRPr="00C05E7B">
        <w:t xml:space="preserve">the US suspended </w:t>
      </w:r>
      <w:r w:rsidR="007E62D5">
        <w:t xml:space="preserve">the </w:t>
      </w:r>
      <w:r w:rsidRPr="00C05E7B">
        <w:t>military use of Agent Orange in 1970, and</w:t>
      </w:r>
      <w:r w:rsidR="007E62D5">
        <w:t xml:space="preserve"> its</w:t>
      </w:r>
      <w:r w:rsidRPr="00C05E7B">
        <w:t xml:space="preserve"> use by the US military in Vietnam </w:t>
      </w:r>
      <w:r w:rsidR="007E62D5">
        <w:t>ended</w:t>
      </w:r>
      <w:r w:rsidRPr="00C05E7B">
        <w:t xml:space="preserve"> in 1971.</w:t>
      </w:r>
      <w:r w:rsidRPr="00C05E7B">
        <w:rPr>
          <w:rStyle w:val="FootnoteReference"/>
        </w:rPr>
        <w:footnoteReference w:id="36"/>
      </w:r>
    </w:p>
    <w:p w14:paraId="5E7A2B67" w14:textId="441D4744" w:rsidR="009501CF" w:rsidRPr="00C05E7B" w:rsidRDefault="009501CF" w:rsidP="0089682A">
      <w:pPr>
        <w:pStyle w:val="OutlineNumbered1"/>
      </w:pPr>
      <w:r w:rsidRPr="00C05E7B">
        <w:t>Bayer acquired Monsanto in 2018.</w:t>
      </w:r>
      <w:r w:rsidRPr="00C05E7B">
        <w:rPr>
          <w:rStyle w:val="FootnoteReference"/>
        </w:rPr>
        <w:footnoteReference w:id="37"/>
      </w:r>
      <w:r w:rsidR="003F23DF" w:rsidRPr="00C05E7B">
        <w:t xml:space="preserve"> This is relevant to Ms Stevens’ allegations regarding Bayer.</w:t>
      </w:r>
    </w:p>
    <w:p w14:paraId="32244FE4" w14:textId="2CB4A59E" w:rsidR="004E6F85" w:rsidRPr="00C05E7B" w:rsidRDefault="004E6F85" w:rsidP="0089682A">
      <w:pPr>
        <w:pStyle w:val="OutlineNumbered1"/>
      </w:pPr>
      <w:r w:rsidRPr="00C05E7B">
        <w:t xml:space="preserve">The </w:t>
      </w:r>
      <w:r w:rsidR="002B21D6">
        <w:t xml:space="preserve">OECD </w:t>
      </w:r>
      <w:r w:rsidRPr="00C05E7B">
        <w:t>Guidelines</w:t>
      </w:r>
      <w:r w:rsidR="00DD4273" w:rsidRPr="00C05E7B">
        <w:t>’</w:t>
      </w:r>
      <w:r w:rsidRPr="00C05E7B">
        <w:t xml:space="preserve"> </w:t>
      </w:r>
      <w:r w:rsidR="002B21D6">
        <w:t>I</w:t>
      </w:r>
      <w:r w:rsidRPr="00C05E7B">
        <w:t xml:space="preserve">mplementation </w:t>
      </w:r>
      <w:r w:rsidR="002B21D6">
        <w:t>P</w:t>
      </w:r>
      <w:r w:rsidRPr="00C05E7B">
        <w:t xml:space="preserve">rocedures provide that, where the issues raised in a </w:t>
      </w:r>
      <w:r w:rsidR="0069746A" w:rsidRPr="00C05E7B">
        <w:t xml:space="preserve">complaint </w:t>
      </w:r>
      <w:r w:rsidR="0069746A" w:rsidRPr="00C05E7B" w:rsidDel="00523318">
        <w:t>(</w:t>
      </w:r>
      <w:r w:rsidR="00DD4273" w:rsidRPr="00C05E7B">
        <w:t xml:space="preserve">referred to </w:t>
      </w:r>
      <w:r w:rsidR="002B21D6">
        <w:t>by the OECD Guidelines</w:t>
      </w:r>
      <w:r w:rsidR="00DD4273" w:rsidRPr="00C05E7B">
        <w:t xml:space="preserve"> as a </w:t>
      </w:r>
      <w:r w:rsidR="0069746A" w:rsidRPr="00C05E7B">
        <w:t>‘</w:t>
      </w:r>
      <w:r w:rsidRPr="00C05E7B">
        <w:t>specific instance</w:t>
      </w:r>
      <w:r w:rsidR="0069746A" w:rsidRPr="00C05E7B">
        <w:t>’</w:t>
      </w:r>
      <w:r w:rsidR="0069746A" w:rsidRPr="00C05E7B" w:rsidDel="00523318">
        <w:t>)</w:t>
      </w:r>
      <w:r w:rsidRPr="00C05E7B">
        <w:t xml:space="preserve"> take place in several countries </w:t>
      </w:r>
      <w:r w:rsidR="002B21D6">
        <w:t>that</w:t>
      </w:r>
      <w:r w:rsidRPr="00C05E7B">
        <w:t xml:space="preserve"> adhere to the </w:t>
      </w:r>
      <w:r w:rsidR="002B21D6">
        <w:t xml:space="preserve">OECD </w:t>
      </w:r>
      <w:r w:rsidRPr="00C05E7B">
        <w:t>Guidelines (</w:t>
      </w:r>
      <w:r w:rsidRPr="008F09C0">
        <w:rPr>
          <w:b/>
        </w:rPr>
        <w:t>Adherents</w:t>
      </w:r>
      <w:r w:rsidRPr="00C05E7B">
        <w:t>)</w:t>
      </w:r>
      <w:r w:rsidR="002B21D6">
        <w:t>,</w:t>
      </w:r>
      <w:r w:rsidRPr="00C05E7B">
        <w:rPr>
          <w:vertAlign w:val="superscript"/>
        </w:rPr>
        <w:footnoteReference w:id="38"/>
      </w:r>
      <w:r w:rsidRPr="00C05E7B">
        <w:t xml:space="preserve"> or concern </w:t>
      </w:r>
      <w:r w:rsidR="0056518C">
        <w:t>multiple</w:t>
      </w:r>
      <w:r w:rsidRPr="00C05E7B">
        <w:t xml:space="preserve"> enterprises established in several Adherents:</w:t>
      </w:r>
    </w:p>
    <w:p w14:paraId="3619BDD0" w14:textId="1D77B008" w:rsidR="004E6F85" w:rsidRPr="00C05E7B" w:rsidRDefault="004E6F85" w:rsidP="0089682A">
      <w:pPr>
        <w:pStyle w:val="OutlineNumbered1"/>
        <w:numPr>
          <w:ilvl w:val="1"/>
          <w:numId w:val="13"/>
        </w:numPr>
      </w:pPr>
      <w:r w:rsidRPr="00C05E7B">
        <w:t>the NCP that received the specific instance will inform and coordinate with all other concerned NCPs at the outset</w:t>
      </w:r>
      <w:r w:rsidR="0056518C">
        <w:t>,</w:t>
      </w:r>
      <w:r w:rsidRPr="00C05E7B">
        <w:t xml:space="preserve"> with the goal of designating the ‘lead NCP’</w:t>
      </w:r>
    </w:p>
    <w:p w14:paraId="1493A231" w14:textId="20640410" w:rsidR="004E6F85" w:rsidRPr="00C05E7B" w:rsidRDefault="004E6F85" w:rsidP="0089682A">
      <w:pPr>
        <w:pStyle w:val="OutlineNumbered1"/>
        <w:numPr>
          <w:ilvl w:val="1"/>
          <w:numId w:val="13"/>
        </w:numPr>
      </w:pPr>
      <w:r w:rsidRPr="00C05E7B">
        <w:t xml:space="preserve">generally, </w:t>
      </w:r>
      <w:r w:rsidRPr="00F60754">
        <w:t xml:space="preserve">the NCP of the country in which the issues have arisen would be the </w:t>
      </w:r>
      <w:r w:rsidR="00EF7B90">
        <w:t>‘</w:t>
      </w:r>
      <w:r w:rsidRPr="00F60754">
        <w:t>lead NCP</w:t>
      </w:r>
      <w:r w:rsidR="00EF7B90">
        <w:t>’</w:t>
      </w:r>
      <w:r w:rsidR="00901A3C" w:rsidRPr="00901A3C">
        <w:t>,</w:t>
      </w:r>
      <w:r w:rsidRPr="00C05E7B">
        <w:t xml:space="preserve"> </w:t>
      </w:r>
      <w:r w:rsidR="00C54EC5">
        <w:t>who</w:t>
      </w:r>
      <w:r w:rsidRPr="00C05E7B">
        <w:t xml:space="preserve"> is responsible for all aspects of the </w:t>
      </w:r>
      <w:r w:rsidR="001A13DE">
        <w:t>‘</w:t>
      </w:r>
      <w:r w:rsidRPr="00C05E7B">
        <w:t>specific instance</w:t>
      </w:r>
      <w:r w:rsidR="001A13DE">
        <w:t>’</w:t>
      </w:r>
      <w:r w:rsidRPr="00C05E7B">
        <w:t xml:space="preserve"> process and its case-handling procedures w</w:t>
      </w:r>
      <w:r w:rsidR="00D130F1">
        <w:t>ould</w:t>
      </w:r>
      <w:r w:rsidRPr="00C05E7B">
        <w:t xml:space="preserve"> be applicable to the process</w:t>
      </w:r>
    </w:p>
    <w:p w14:paraId="7EC1EC2B" w14:textId="68949AF5" w:rsidR="004E6F85" w:rsidRPr="00C05E7B" w:rsidRDefault="004E6F85" w:rsidP="0089682A">
      <w:pPr>
        <w:pStyle w:val="OutlineNumbered1"/>
        <w:numPr>
          <w:ilvl w:val="1"/>
          <w:numId w:val="13"/>
        </w:numPr>
      </w:pPr>
      <w:r w:rsidRPr="00C05E7B">
        <w:t xml:space="preserve">the parties to a complaint should be kept informed with regard to coordination arrangements and consulted on decisions to transfer </w:t>
      </w:r>
      <w:r w:rsidR="00C16BC8">
        <w:t xml:space="preserve">a </w:t>
      </w:r>
      <w:r w:rsidR="001A13DE">
        <w:t>‘</w:t>
      </w:r>
      <w:r w:rsidR="00AF2759">
        <w:t>specific instance</w:t>
      </w:r>
      <w:r w:rsidR="001A13DE">
        <w:t>’</w:t>
      </w:r>
      <w:r w:rsidRPr="00C05E7B">
        <w:t>.</w:t>
      </w:r>
      <w:r w:rsidRPr="00C05E7B">
        <w:rPr>
          <w:rStyle w:val="FootnoteReference"/>
        </w:rPr>
        <w:footnoteReference w:id="39"/>
      </w:r>
    </w:p>
    <w:p w14:paraId="708E1A90" w14:textId="3F9AC4B7" w:rsidR="004E6F85" w:rsidRPr="00C05E7B" w:rsidRDefault="004E6F85" w:rsidP="0089682A">
      <w:pPr>
        <w:pStyle w:val="OutlineNumbered1"/>
      </w:pPr>
      <w:r w:rsidRPr="00C05E7B">
        <w:t xml:space="preserve">The </w:t>
      </w:r>
      <w:proofErr w:type="spellStart"/>
      <w:r w:rsidRPr="00C05E7B">
        <w:t>AusNCP</w:t>
      </w:r>
      <w:r w:rsidR="003274B2" w:rsidRPr="00C05E7B">
        <w:t>’s</w:t>
      </w:r>
      <w:proofErr w:type="spellEnd"/>
      <w:r w:rsidR="003274B2" w:rsidRPr="00C05E7B">
        <w:t xml:space="preserve"> own procedures</w:t>
      </w:r>
      <w:r w:rsidRPr="00C05E7B">
        <w:t xml:space="preserve"> require</w:t>
      </w:r>
      <w:r w:rsidR="003274B2" w:rsidRPr="00C05E7B">
        <w:t xml:space="preserve"> the AusNCP </w:t>
      </w:r>
      <w:r w:rsidRPr="00C05E7B">
        <w:t>to assess new complaint</w:t>
      </w:r>
      <w:r w:rsidR="00B6566B" w:rsidRPr="00C05E7B">
        <w:t>s</w:t>
      </w:r>
      <w:r w:rsidRPr="00C05E7B">
        <w:t xml:space="preserve"> in line with the </w:t>
      </w:r>
      <w:r w:rsidR="00AF2759">
        <w:t>OECD</w:t>
      </w:r>
      <w:r w:rsidR="00123720">
        <w:t> </w:t>
      </w:r>
      <w:r w:rsidR="00AF2759">
        <w:t>Guidelines’ I</w:t>
      </w:r>
      <w:r w:rsidRPr="00C05E7B">
        <w:t xml:space="preserve">mplementation </w:t>
      </w:r>
      <w:r w:rsidR="00AF2759">
        <w:t>P</w:t>
      </w:r>
      <w:r w:rsidRPr="00C05E7B">
        <w:t>rocedures</w:t>
      </w:r>
      <w:r w:rsidR="00301E61">
        <w:t>,</w:t>
      </w:r>
      <w:r w:rsidRPr="00C05E7B">
        <w:t xml:space="preserve"> and </w:t>
      </w:r>
      <w:r w:rsidR="00301E61">
        <w:t xml:space="preserve">that </w:t>
      </w:r>
      <w:r w:rsidRPr="00C05E7B">
        <w:t>‘</w:t>
      </w:r>
      <w:r w:rsidRPr="009B4008">
        <w:rPr>
          <w:i/>
          <w:iCs/>
        </w:rPr>
        <w:t xml:space="preserve">if </w:t>
      </w:r>
      <w:r w:rsidR="00FE5050" w:rsidRPr="009B4008">
        <w:rPr>
          <w:i/>
          <w:iCs/>
        </w:rPr>
        <w:t xml:space="preserve">[the] </w:t>
      </w:r>
      <w:r w:rsidRPr="009B4008">
        <w:rPr>
          <w:i/>
          <w:iCs/>
        </w:rPr>
        <w:t xml:space="preserve">AusNCP is not the correct NCP to handle </w:t>
      </w:r>
      <w:r w:rsidR="00301E61" w:rsidRPr="009B4008">
        <w:rPr>
          <w:i/>
          <w:iCs/>
        </w:rPr>
        <w:t>[a]</w:t>
      </w:r>
      <w:r w:rsidRPr="009B4008">
        <w:rPr>
          <w:i/>
          <w:iCs/>
        </w:rPr>
        <w:t xml:space="preserve"> complaint, </w:t>
      </w:r>
      <w:r w:rsidR="00301E61" w:rsidRPr="009B4008">
        <w:rPr>
          <w:i/>
          <w:iCs/>
        </w:rPr>
        <w:t>[an Independent]</w:t>
      </w:r>
      <w:r w:rsidRPr="009B4008">
        <w:rPr>
          <w:i/>
          <w:iCs/>
        </w:rPr>
        <w:t xml:space="preserve"> </w:t>
      </w:r>
      <w:r w:rsidR="00301E61" w:rsidRPr="009B4008">
        <w:rPr>
          <w:i/>
          <w:iCs/>
        </w:rPr>
        <w:t>[E</w:t>
      </w:r>
      <w:r w:rsidR="00D33009" w:rsidRPr="009B4008">
        <w:rPr>
          <w:i/>
          <w:iCs/>
        </w:rPr>
        <w:t>]</w:t>
      </w:r>
      <w:proofErr w:type="spellStart"/>
      <w:r w:rsidRPr="009B4008">
        <w:rPr>
          <w:i/>
          <w:iCs/>
        </w:rPr>
        <w:t>xaminer</w:t>
      </w:r>
      <w:proofErr w:type="spellEnd"/>
      <w:r w:rsidRPr="009B4008">
        <w:rPr>
          <w:i/>
          <w:iCs/>
        </w:rPr>
        <w:t xml:space="preserve"> may seek to transfer the complaint to another NCP during the </w:t>
      </w:r>
      <w:r w:rsidR="00E010EF" w:rsidRPr="009B4008">
        <w:rPr>
          <w:i/>
          <w:iCs/>
        </w:rPr>
        <w:t>[I]</w:t>
      </w:r>
      <w:proofErr w:type="spellStart"/>
      <w:r w:rsidRPr="009B4008">
        <w:rPr>
          <w:i/>
          <w:iCs/>
        </w:rPr>
        <w:t>nitial</w:t>
      </w:r>
      <w:proofErr w:type="spellEnd"/>
      <w:r w:rsidRPr="009B4008">
        <w:rPr>
          <w:i/>
          <w:iCs/>
        </w:rPr>
        <w:t xml:space="preserve"> </w:t>
      </w:r>
      <w:r w:rsidR="00E010EF" w:rsidRPr="009B4008">
        <w:rPr>
          <w:i/>
          <w:iCs/>
        </w:rPr>
        <w:t>[A]</w:t>
      </w:r>
      <w:proofErr w:type="spellStart"/>
      <w:r w:rsidRPr="009B4008">
        <w:rPr>
          <w:i/>
          <w:iCs/>
        </w:rPr>
        <w:t>ssessment</w:t>
      </w:r>
      <w:proofErr w:type="spellEnd"/>
      <w:r w:rsidRPr="009B4008">
        <w:rPr>
          <w:i/>
          <w:iCs/>
        </w:rPr>
        <w:t xml:space="preserve"> stage</w:t>
      </w:r>
      <w:r w:rsidRPr="00C05E7B">
        <w:t>’.</w:t>
      </w:r>
      <w:r w:rsidRPr="00C05E7B">
        <w:rPr>
          <w:rStyle w:val="FootnoteReference"/>
        </w:rPr>
        <w:footnoteReference w:id="40"/>
      </w:r>
      <w:r w:rsidRPr="00C05E7B">
        <w:t xml:space="preserve"> The AusNCP</w:t>
      </w:r>
      <w:r w:rsidR="00E010EF">
        <w:t xml:space="preserve"> complaint p</w:t>
      </w:r>
      <w:r w:rsidRPr="00C05E7B">
        <w:t>rocedures also specify that ‘</w:t>
      </w:r>
      <w:r w:rsidR="00E010EF" w:rsidRPr="009B4008">
        <w:rPr>
          <w:i/>
          <w:iCs/>
        </w:rPr>
        <w:t>[</w:t>
      </w:r>
      <w:proofErr w:type="spellStart"/>
      <w:r w:rsidR="00E010EF" w:rsidRPr="009B4008">
        <w:rPr>
          <w:i/>
          <w:iCs/>
        </w:rPr>
        <w:t>i</w:t>
      </w:r>
      <w:proofErr w:type="spellEnd"/>
      <w:r w:rsidR="00E010EF" w:rsidRPr="009B4008">
        <w:rPr>
          <w:i/>
          <w:iCs/>
        </w:rPr>
        <w:t>]</w:t>
      </w:r>
      <w:r w:rsidRPr="009B4008">
        <w:rPr>
          <w:i/>
          <w:iCs/>
        </w:rPr>
        <w:t>f the complaint does not relate to an Australian multinational enterprise, the complaint should demonstrate a link to Australia</w:t>
      </w:r>
      <w:r w:rsidRPr="00B14191">
        <w:t>’</w:t>
      </w:r>
      <w:r w:rsidRPr="00C05E7B">
        <w:t>.</w:t>
      </w:r>
      <w:r w:rsidRPr="00C05E7B">
        <w:rPr>
          <w:rStyle w:val="FootnoteReference"/>
        </w:rPr>
        <w:footnoteReference w:id="41"/>
      </w:r>
    </w:p>
    <w:p w14:paraId="774295BE" w14:textId="1E939B67" w:rsidR="009B7242" w:rsidRPr="00C05E7B" w:rsidRDefault="009B7242" w:rsidP="0089682A">
      <w:pPr>
        <w:pStyle w:val="OutlineNumbered1"/>
      </w:pPr>
      <w:r w:rsidRPr="00C05E7B">
        <w:t>On the information available, the</w:t>
      </w:r>
      <w:r w:rsidR="007246C2" w:rsidRPr="00C05E7B">
        <w:t xml:space="preserve"> </w:t>
      </w:r>
      <w:r w:rsidR="004D386C" w:rsidRPr="00C05E7B">
        <w:t>Independent Examiner</w:t>
      </w:r>
      <w:r w:rsidR="007246C2" w:rsidRPr="00C05E7B">
        <w:t xml:space="preserve"> </w:t>
      </w:r>
      <w:r w:rsidR="00567071" w:rsidRPr="00C05E7B">
        <w:t>understands</w:t>
      </w:r>
      <w:r w:rsidR="007246C2" w:rsidRPr="00C05E7B">
        <w:t xml:space="preserve"> </w:t>
      </w:r>
      <w:r w:rsidR="00E010EF">
        <w:t xml:space="preserve">that </w:t>
      </w:r>
      <w:r w:rsidR="007246C2" w:rsidRPr="00C05E7B">
        <w:t>the</w:t>
      </w:r>
      <w:r w:rsidRPr="00C05E7B">
        <w:t xml:space="preserve"> main </w:t>
      </w:r>
      <w:r w:rsidR="003F23DF" w:rsidRPr="00C05E7B">
        <w:t>allegations in the complaint about</w:t>
      </w:r>
      <w:r w:rsidRPr="00C05E7B">
        <w:t xml:space="preserve"> consistency with the </w:t>
      </w:r>
      <w:r w:rsidR="00E010EF">
        <w:t xml:space="preserve">OECD </w:t>
      </w:r>
      <w:r w:rsidRPr="00C05E7B">
        <w:t xml:space="preserve">Guidelines </w:t>
      </w:r>
      <w:r w:rsidR="00BB6C00" w:rsidRPr="00C05E7B">
        <w:t>arose</w:t>
      </w:r>
      <w:r w:rsidRPr="00C05E7B">
        <w:t xml:space="preserve"> in the US, meaning </w:t>
      </w:r>
      <w:r w:rsidR="006B40E9" w:rsidRPr="00C05E7B">
        <w:t xml:space="preserve">it would </w:t>
      </w:r>
      <w:r w:rsidR="0039073F" w:rsidRPr="00C05E7B">
        <w:t xml:space="preserve">have been appropriate to seek to transfer </w:t>
      </w:r>
      <w:r w:rsidRPr="00C05E7B">
        <w:t>the complaint to the US NCP</w:t>
      </w:r>
      <w:r w:rsidR="003F7902">
        <w:t>.</w:t>
      </w:r>
    </w:p>
    <w:p w14:paraId="50779AAD" w14:textId="7F0BE0BB" w:rsidR="009B7242" w:rsidRDefault="009B7242" w:rsidP="0089682A">
      <w:pPr>
        <w:pStyle w:val="OutlineNumbered1"/>
        <w:numPr>
          <w:ilvl w:val="1"/>
          <w:numId w:val="12"/>
        </w:numPr>
      </w:pPr>
      <w:r w:rsidRPr="00C05E7B">
        <w:lastRenderedPageBreak/>
        <w:t>The issues raised in the complaint focused on Dow and Monsanto’s actions and decisions in the production and supply of Agent Orange (and more recent conduct regarding that)</w:t>
      </w:r>
      <w:r w:rsidR="0044516C">
        <w:t>,</w:t>
      </w:r>
      <w:r w:rsidRPr="00C05E7B">
        <w:t xml:space="preserve"> and the effect</w:t>
      </w:r>
      <w:r w:rsidR="00AB5A4F">
        <w:t>s</w:t>
      </w:r>
      <w:r w:rsidRPr="00C05E7B">
        <w:t xml:space="preserve"> of these in Vietnam and Australia.</w:t>
      </w:r>
    </w:p>
    <w:p w14:paraId="7A1BF0B6" w14:textId="6AAAE10C" w:rsidR="0086424C" w:rsidRPr="00C05E7B" w:rsidRDefault="0086424C" w:rsidP="0089682A">
      <w:pPr>
        <w:pStyle w:val="OutlineNumbered1"/>
        <w:numPr>
          <w:ilvl w:val="1"/>
          <w:numId w:val="12"/>
        </w:numPr>
      </w:pPr>
      <w:r w:rsidRPr="00C05E7B">
        <w:t>The complaint also raised concerns about Bayer’s conduct, arising from Bayer’s acquisition of Monsanto.</w:t>
      </w:r>
      <w:r>
        <w:t xml:space="preserve"> </w:t>
      </w:r>
    </w:p>
    <w:p w14:paraId="1775B40B" w14:textId="15E537C5" w:rsidR="009B7242" w:rsidRPr="00C05E7B" w:rsidRDefault="009B7242" w:rsidP="0089682A">
      <w:pPr>
        <w:pStyle w:val="OutlineNumbered1"/>
        <w:numPr>
          <w:ilvl w:val="1"/>
          <w:numId w:val="13"/>
        </w:numPr>
      </w:pPr>
      <w:r w:rsidRPr="00C05E7B">
        <w:t xml:space="preserve">There was nothing indicating the relevant </w:t>
      </w:r>
      <w:r w:rsidR="003F23DF" w:rsidRPr="00C05E7B">
        <w:t xml:space="preserve">alleged </w:t>
      </w:r>
      <w:r w:rsidRPr="00C05E7B">
        <w:t>decisions and actions of Dow</w:t>
      </w:r>
      <w:r w:rsidR="001E4AB3">
        <w:t xml:space="preserve">, </w:t>
      </w:r>
      <w:r w:rsidRPr="00C05E7B">
        <w:t>Monsanto</w:t>
      </w:r>
      <w:r w:rsidR="00876931">
        <w:t>,</w:t>
      </w:r>
      <w:r w:rsidRPr="00C05E7B">
        <w:t xml:space="preserve"> </w:t>
      </w:r>
      <w:r w:rsidR="001E4AB3">
        <w:t xml:space="preserve">and Bayer </w:t>
      </w:r>
      <w:r w:rsidRPr="00C05E7B">
        <w:t>were specific or particular to Australia. That is</w:t>
      </w:r>
      <w:r w:rsidR="00FE634D">
        <w:t xml:space="preserve">, </w:t>
      </w:r>
      <w:r w:rsidRPr="00C05E7B">
        <w:t>the</w:t>
      </w:r>
      <w:r w:rsidR="006C1199">
        <w:t xml:space="preserve"> alleged</w:t>
      </w:r>
      <w:r w:rsidRPr="00C05E7B">
        <w:t xml:space="preserve"> ‘failures’ and ‘misinformation’ </w:t>
      </w:r>
      <w:r w:rsidR="00567F34" w:rsidRPr="00C05E7B">
        <w:t xml:space="preserve">referenced </w:t>
      </w:r>
      <w:r w:rsidRPr="00C05E7B">
        <w:t>in the complaint were allegations regarding Dow and Monsanto</w:t>
      </w:r>
      <w:r w:rsidR="00C52B4C" w:rsidRPr="00C05E7B">
        <w:t>’s</w:t>
      </w:r>
      <w:r w:rsidRPr="00C05E7B">
        <w:t xml:space="preserve"> actions in or from the </w:t>
      </w:r>
      <w:r w:rsidR="00C13BAC" w:rsidRPr="00C05E7B">
        <w:t>US</w:t>
      </w:r>
      <w:r w:rsidRPr="00C05E7B">
        <w:t>. Those actions</w:t>
      </w:r>
      <w:r w:rsidR="00357C19">
        <w:t>,</w:t>
      </w:r>
      <w:r w:rsidRPr="00C05E7B">
        <w:t xml:space="preserve"> regardless of how they are characterised or their consistency with the </w:t>
      </w:r>
      <w:r w:rsidR="003F7902">
        <w:t xml:space="preserve">OECD </w:t>
      </w:r>
      <w:r w:rsidRPr="00C05E7B">
        <w:t>Guidelines</w:t>
      </w:r>
      <w:r w:rsidR="00842C2C">
        <w:t>,</w:t>
      </w:r>
      <w:r w:rsidRPr="00C05E7B">
        <w:t xml:space="preserve"> </w:t>
      </w:r>
      <w:r w:rsidR="003F23DF" w:rsidRPr="00C05E7B">
        <w:t xml:space="preserve">reportedly </w:t>
      </w:r>
      <w:r w:rsidRPr="00C05E7B">
        <w:t>affect</w:t>
      </w:r>
      <w:r w:rsidR="003F23DF" w:rsidRPr="00C05E7B">
        <w:t>ed people</w:t>
      </w:r>
      <w:r w:rsidRPr="00C05E7B">
        <w:t xml:space="preserve"> in many countries, including the </w:t>
      </w:r>
      <w:r w:rsidR="003F7902">
        <w:t>US</w:t>
      </w:r>
      <w:r w:rsidRPr="00C05E7B">
        <w:t xml:space="preserve"> and Vietnam</w:t>
      </w:r>
      <w:r w:rsidR="003F7902">
        <w:t>,</w:t>
      </w:r>
      <w:r w:rsidRPr="00C05E7B">
        <w:t xml:space="preserve"> and also the countries with personnel who were </w:t>
      </w:r>
      <w:r w:rsidR="00A1282A" w:rsidRPr="00C05E7B">
        <w:t xml:space="preserve">allegedly </w:t>
      </w:r>
      <w:r w:rsidRPr="00C05E7B">
        <w:t>exposed to Agent Orange at that time.</w:t>
      </w:r>
    </w:p>
    <w:p w14:paraId="30DED9D7" w14:textId="5816AD4A" w:rsidR="009B7242" w:rsidRPr="00C05E7B" w:rsidRDefault="009B7242" w:rsidP="0089682A">
      <w:pPr>
        <w:pStyle w:val="OutlineNumbered1"/>
        <w:numPr>
          <w:ilvl w:val="1"/>
          <w:numId w:val="12"/>
        </w:numPr>
      </w:pPr>
      <w:r w:rsidRPr="00C05E7B">
        <w:t>The two Australian entities identified in the complaint were subsidiaries of Dow and Bayer, and may have produced the herbicide 2</w:t>
      </w:r>
      <w:r w:rsidR="00924BBC" w:rsidRPr="00C05E7B">
        <w:t>,</w:t>
      </w:r>
      <w:r w:rsidRPr="00C05E7B">
        <w:t>4</w:t>
      </w:r>
      <w:r w:rsidR="00924BBC" w:rsidRPr="00C05E7B">
        <w:t>,</w:t>
      </w:r>
      <w:r w:rsidRPr="00C05E7B">
        <w:t xml:space="preserve">5-T at some stage. </w:t>
      </w:r>
      <w:r w:rsidR="00EE4E32">
        <w:t>However,</w:t>
      </w:r>
      <w:r w:rsidRPr="00C05E7B">
        <w:t xml:space="preserve"> there was nothing indicating </w:t>
      </w:r>
      <w:r w:rsidR="00EE4E32">
        <w:t xml:space="preserve">that </w:t>
      </w:r>
      <w:r w:rsidRPr="00C05E7B">
        <w:t>the two Australian entities</w:t>
      </w:r>
      <w:r w:rsidR="00EE4E32">
        <w:t xml:space="preserve"> identified by the notifier</w:t>
      </w:r>
      <w:r w:rsidRPr="00C05E7B">
        <w:t xml:space="preserve"> had any involvement in Dow and Monsanto’s actions and decisions about the production and supply of Agent Orange</w:t>
      </w:r>
      <w:r w:rsidR="00842C2C">
        <w:t xml:space="preserve">, </w:t>
      </w:r>
      <w:r w:rsidRPr="00C05E7B">
        <w:t>or more recent conduct regarding that, which was the focus of the complaint.</w:t>
      </w:r>
    </w:p>
    <w:p w14:paraId="7057EA77" w14:textId="3545A20E" w:rsidR="009B7242" w:rsidRPr="00C05E7B" w:rsidRDefault="009B7242" w:rsidP="0089682A">
      <w:pPr>
        <w:pStyle w:val="OutlineNumbered1"/>
      </w:pPr>
      <w:bookmarkStart w:id="40" w:name="_Ref208334953"/>
      <w:r w:rsidRPr="00C05E7B">
        <w:t xml:space="preserve">If the complaint </w:t>
      </w:r>
      <w:r w:rsidR="003923D9" w:rsidRPr="00C05E7B">
        <w:t xml:space="preserve">was </w:t>
      </w:r>
      <w:r w:rsidRPr="00C05E7B">
        <w:t xml:space="preserve">transferred to the US NCP, then the US NCP would </w:t>
      </w:r>
      <w:r w:rsidR="001E4AB3">
        <w:t xml:space="preserve">have </w:t>
      </w:r>
      <w:r w:rsidRPr="00C05E7B">
        <w:t>conduct</w:t>
      </w:r>
      <w:r w:rsidR="001E4AB3">
        <w:t>ed</w:t>
      </w:r>
      <w:r w:rsidRPr="00C05E7B">
        <w:t xml:space="preserve"> </w:t>
      </w:r>
      <w:r w:rsidR="001E4AB3">
        <w:t>an</w:t>
      </w:r>
      <w:r w:rsidRPr="00C05E7B">
        <w:t xml:space="preserve"> </w:t>
      </w:r>
      <w:r w:rsidR="001E4AB3">
        <w:t>I</w:t>
      </w:r>
      <w:r w:rsidRPr="00C05E7B">
        <w:t xml:space="preserve">nitial </w:t>
      </w:r>
      <w:r w:rsidR="001E4AB3">
        <w:t>A</w:t>
      </w:r>
      <w:r w:rsidRPr="00C05E7B">
        <w:t xml:space="preserve">ssessment </w:t>
      </w:r>
      <w:r w:rsidR="001E4AB3">
        <w:t>in accordance with</w:t>
      </w:r>
      <w:r w:rsidRPr="00C05E7B">
        <w:t xml:space="preserve"> its procedures. The AusNCP could </w:t>
      </w:r>
      <w:r w:rsidR="003923D9" w:rsidRPr="00C05E7B">
        <w:t xml:space="preserve">have </w:t>
      </w:r>
      <w:r w:rsidRPr="00C05E7B">
        <w:t>continue</w:t>
      </w:r>
      <w:r w:rsidR="003923D9" w:rsidRPr="00C05E7B">
        <w:t>d</w:t>
      </w:r>
      <w:r w:rsidRPr="00C05E7B">
        <w:t xml:space="preserve"> to support or assist the US NCP in its management of the </w:t>
      </w:r>
      <w:r w:rsidR="001E4AB3">
        <w:t>complaint</w:t>
      </w:r>
      <w:r w:rsidRPr="00C05E7B">
        <w:t>, particularly regarding matters in Australia.</w:t>
      </w:r>
      <w:bookmarkEnd w:id="40"/>
    </w:p>
    <w:p w14:paraId="4E5A1DA1" w14:textId="2CF09C5A" w:rsidR="00150C01" w:rsidRPr="00C05E7B" w:rsidRDefault="009B7242" w:rsidP="0089682A">
      <w:pPr>
        <w:pStyle w:val="OutlineNumbered1"/>
      </w:pPr>
      <w:r w:rsidRPr="00C05E7B">
        <w:t xml:space="preserve">The </w:t>
      </w:r>
      <w:r w:rsidR="009501CF" w:rsidRPr="00C05E7B">
        <w:t xml:space="preserve">information in </w:t>
      </w:r>
      <w:r w:rsidRPr="00480B43">
        <w:t>paragraphs</w:t>
      </w:r>
      <w:r w:rsidR="000A46D3">
        <w:t xml:space="preserve"> [</w:t>
      </w:r>
      <w:r w:rsidR="00AF1AA5">
        <w:fldChar w:fldCharType="begin"/>
      </w:r>
      <w:r w:rsidR="00AF1AA5">
        <w:instrText xml:space="preserve"> REF _Ref212726112 \r \h </w:instrText>
      </w:r>
      <w:r w:rsidR="0089682A">
        <w:instrText xml:space="preserve"> \* MERGEFORMAT </w:instrText>
      </w:r>
      <w:r w:rsidR="00AF1AA5">
        <w:fldChar w:fldCharType="separate"/>
      </w:r>
      <w:r w:rsidR="00070A42">
        <w:t>38</w:t>
      </w:r>
      <w:r w:rsidR="00AF1AA5">
        <w:fldChar w:fldCharType="end"/>
      </w:r>
      <w:r w:rsidR="000A46D3">
        <w:t>]-[</w:t>
      </w:r>
      <w:r w:rsidR="00AF1AA5">
        <w:fldChar w:fldCharType="begin"/>
      </w:r>
      <w:r w:rsidR="00AF1AA5">
        <w:instrText xml:space="preserve"> REF _Ref208334953 \r \h </w:instrText>
      </w:r>
      <w:r w:rsidR="0089682A">
        <w:instrText xml:space="preserve"> \* MERGEFORMAT </w:instrText>
      </w:r>
      <w:r w:rsidR="00AF1AA5">
        <w:fldChar w:fldCharType="separate"/>
      </w:r>
      <w:r w:rsidR="00070A42">
        <w:t>48</w:t>
      </w:r>
      <w:r w:rsidR="00AF1AA5">
        <w:fldChar w:fldCharType="end"/>
      </w:r>
      <w:r w:rsidR="000A46D3">
        <w:t>]</w:t>
      </w:r>
      <w:r w:rsidR="009501CF" w:rsidRPr="00480B43">
        <w:t xml:space="preserve"> </w:t>
      </w:r>
      <w:r w:rsidR="004E6F85" w:rsidRPr="00480B43">
        <w:t>above</w:t>
      </w:r>
      <w:r w:rsidR="00DD2C08" w:rsidRPr="00480B43">
        <w:t xml:space="preserve"> </w:t>
      </w:r>
      <w:r w:rsidR="00FF769C" w:rsidRPr="00C05E7B">
        <w:t>was</w:t>
      </w:r>
      <w:r w:rsidRPr="00C05E7B">
        <w:t xml:space="preserve"> explained to </w:t>
      </w:r>
      <w:r w:rsidR="007E0672" w:rsidRPr="00C05E7B">
        <w:t xml:space="preserve">the </w:t>
      </w:r>
      <w:r w:rsidR="001E4AB3">
        <w:t>e</w:t>
      </w:r>
      <w:r w:rsidR="007E0672" w:rsidRPr="00C05E7B">
        <w:t>nterprises</w:t>
      </w:r>
      <w:r w:rsidRPr="00C05E7B">
        <w:t xml:space="preserve"> and Ms</w:t>
      </w:r>
      <w:r w:rsidR="00DD2C08" w:rsidRPr="00C05E7B">
        <w:t> </w:t>
      </w:r>
      <w:r w:rsidRPr="00C05E7B">
        <w:t xml:space="preserve">Stevens in the </w:t>
      </w:r>
      <w:r w:rsidR="004D386C" w:rsidRPr="00C05E7B">
        <w:t>Independent Examiner</w:t>
      </w:r>
      <w:r w:rsidRPr="00C05E7B">
        <w:t xml:space="preserve">’s letter of 11 July </w:t>
      </w:r>
      <w:r w:rsidR="004E6F85" w:rsidRPr="00C05E7B">
        <w:t xml:space="preserve">2025 </w:t>
      </w:r>
      <w:r w:rsidRPr="00C05E7B">
        <w:t xml:space="preserve">about </w:t>
      </w:r>
      <w:r w:rsidR="001E4AB3">
        <w:t xml:space="preserve">the </w:t>
      </w:r>
      <w:r w:rsidRPr="00C05E7B">
        <w:t>potential transfer</w:t>
      </w:r>
      <w:r w:rsidR="003923D9" w:rsidRPr="00C05E7B">
        <w:t xml:space="preserve"> of this complaint</w:t>
      </w:r>
      <w:r w:rsidRPr="00C05E7B">
        <w:t>. No</w:t>
      </w:r>
      <w:r w:rsidR="38BCC7D1" w:rsidRPr="00C05E7B">
        <w:t xml:space="preserve"> party</w:t>
      </w:r>
      <w:r w:rsidR="002A3A6A" w:rsidRPr="00C05E7B">
        <w:t xml:space="preserve"> </w:t>
      </w:r>
      <w:r w:rsidR="00A1282A" w:rsidRPr="00C05E7B">
        <w:t xml:space="preserve">then </w:t>
      </w:r>
      <w:r w:rsidR="73A16200" w:rsidRPr="00C05E7B">
        <w:t xml:space="preserve">indicated </w:t>
      </w:r>
      <w:r w:rsidR="00FE3767" w:rsidRPr="00C05E7B">
        <w:t>there were</w:t>
      </w:r>
      <w:r w:rsidRPr="00C05E7B">
        <w:t xml:space="preserve"> </w:t>
      </w:r>
      <w:r w:rsidR="009501CF" w:rsidRPr="00C05E7B">
        <w:t>inaccuracies</w:t>
      </w:r>
      <w:r w:rsidRPr="00C05E7B">
        <w:t xml:space="preserve"> in the above assessment. </w:t>
      </w:r>
      <w:r w:rsidR="007F545C" w:rsidRPr="00C05E7B">
        <w:t xml:space="preserve">Dow </w:t>
      </w:r>
      <w:r w:rsidR="00A1282A" w:rsidRPr="00C05E7B">
        <w:t xml:space="preserve">subsequently </w:t>
      </w:r>
      <w:r w:rsidR="007F545C" w:rsidRPr="00C05E7B">
        <w:t>provided further information</w:t>
      </w:r>
      <w:r w:rsidR="009C6B7D">
        <w:t>, which</w:t>
      </w:r>
      <w:r w:rsidR="00A1282A" w:rsidRPr="00C05E7B">
        <w:t xml:space="preserve"> ha</w:t>
      </w:r>
      <w:r w:rsidR="00732D68" w:rsidRPr="00C05E7B">
        <w:t>s</w:t>
      </w:r>
      <w:r w:rsidR="00A1282A" w:rsidRPr="00C05E7B">
        <w:t xml:space="preserve"> been considered</w:t>
      </w:r>
      <w:r w:rsidR="009C6B7D">
        <w:t>.</w:t>
      </w:r>
      <w:r w:rsidR="00A1282A" w:rsidRPr="00C05E7B">
        <w:t xml:space="preserve"> </w:t>
      </w:r>
      <w:r w:rsidR="00D54986" w:rsidRPr="00C05E7B">
        <w:t>Ms Stevens alleged conflicts of interest and other issues</w:t>
      </w:r>
      <w:r w:rsidR="00400E52">
        <w:t xml:space="preserve">, which was </w:t>
      </w:r>
      <w:r w:rsidR="00D54986" w:rsidRPr="00C05E7B">
        <w:t>summarised earlier.</w:t>
      </w:r>
    </w:p>
    <w:p w14:paraId="34495C82" w14:textId="41E67D0A" w:rsidR="00DB6008" w:rsidRPr="00C05E7B" w:rsidRDefault="00400E52" w:rsidP="0089682A">
      <w:pPr>
        <w:pStyle w:val="OutlineNumbered1"/>
        <w:keepNext/>
        <w:rPr>
          <w:iCs/>
          <w:sz w:val="20"/>
        </w:rPr>
      </w:pPr>
      <w:r w:rsidRPr="00400E52">
        <w:t>Dow’s full statements</w:t>
      </w:r>
      <w:r w:rsidR="00150C01" w:rsidRPr="00C05E7B">
        <w:t xml:space="preserve"> to the AusNCP</w:t>
      </w:r>
      <w:r w:rsidR="00AA36A1" w:rsidRPr="00C05E7B">
        <w:t xml:space="preserve"> </w:t>
      </w:r>
      <w:r w:rsidR="003E0D6D" w:rsidRPr="00C05E7B">
        <w:t xml:space="preserve">are reproduced </w:t>
      </w:r>
      <w:r>
        <w:t>at</w:t>
      </w:r>
      <w:r w:rsidR="002344EC" w:rsidRPr="00C05E7B">
        <w:t xml:space="preserve"> </w:t>
      </w:r>
      <w:r w:rsidR="002344EC" w:rsidRPr="00C05E7B">
        <w:rPr>
          <w:b/>
          <w:bCs/>
        </w:rPr>
        <w:t>Annex</w:t>
      </w:r>
      <w:r w:rsidR="00D23C48" w:rsidRPr="00C05E7B">
        <w:rPr>
          <w:b/>
          <w:bCs/>
        </w:rPr>
        <w:t xml:space="preserve"> A</w:t>
      </w:r>
      <w:r w:rsidR="00D23C48" w:rsidRPr="00C05E7B">
        <w:t xml:space="preserve"> </w:t>
      </w:r>
      <w:r w:rsidR="00063AA1" w:rsidRPr="00C05E7B">
        <w:t xml:space="preserve">for </w:t>
      </w:r>
      <w:r w:rsidR="0081429F" w:rsidRPr="00C05E7B">
        <w:t>transparency</w:t>
      </w:r>
      <w:r>
        <w:t xml:space="preserve">. </w:t>
      </w:r>
      <w:r w:rsidR="004A4F48" w:rsidRPr="00C05E7B">
        <w:t xml:space="preserve">Dow expressly requested this information be included in this </w:t>
      </w:r>
      <w:r w:rsidR="004A4F48">
        <w:t xml:space="preserve">published </w:t>
      </w:r>
      <w:r w:rsidR="004A4F48" w:rsidRPr="00C05E7B">
        <w:t>statement.</w:t>
      </w:r>
      <w:r w:rsidR="004A4F48">
        <w:t xml:space="preserve"> </w:t>
      </w:r>
      <w:r>
        <w:t>T</w:t>
      </w:r>
      <w:r w:rsidR="003E0D6D" w:rsidRPr="00C05E7B">
        <w:t xml:space="preserve">he </w:t>
      </w:r>
      <w:r w:rsidR="004D386C" w:rsidRPr="00C05E7B">
        <w:t>Independent Examiner</w:t>
      </w:r>
      <w:r w:rsidR="003E0D6D" w:rsidRPr="00C05E7B">
        <w:t xml:space="preserve"> </w:t>
      </w:r>
      <w:r w:rsidR="00B7577B" w:rsidRPr="00C05E7B">
        <w:t xml:space="preserve">does not </w:t>
      </w:r>
      <w:r w:rsidR="003E0D6D" w:rsidRPr="00C05E7B">
        <w:t xml:space="preserve">guarantee </w:t>
      </w:r>
      <w:r w:rsidR="004043F8" w:rsidRPr="00C05E7B">
        <w:t>the</w:t>
      </w:r>
      <w:r w:rsidR="00DB6050" w:rsidRPr="00C05E7B">
        <w:t xml:space="preserve"> accuracy or completeness of the supplied information</w:t>
      </w:r>
      <w:r w:rsidR="00277B2B" w:rsidRPr="00C05E7B">
        <w:t>.</w:t>
      </w:r>
      <w:r w:rsidR="00D67AA8" w:rsidRPr="00C05E7B">
        <w:t xml:space="preserve"> </w:t>
      </w:r>
    </w:p>
    <w:bookmarkEnd w:id="34"/>
    <w:p w14:paraId="1E31F227" w14:textId="3A28D52B" w:rsidR="00063632" w:rsidRPr="00C05E7B" w:rsidRDefault="00860BC6" w:rsidP="0089682A">
      <w:pPr>
        <w:pStyle w:val="OutlineNumbered1"/>
      </w:pPr>
      <w:r w:rsidRPr="00C05E7B">
        <w:t xml:space="preserve">The </w:t>
      </w:r>
      <w:r w:rsidR="004D386C" w:rsidRPr="00C05E7B">
        <w:t>Independent Examiner</w:t>
      </w:r>
      <w:r w:rsidRPr="00C05E7B">
        <w:t xml:space="preserve"> acknowledges the considered response </w:t>
      </w:r>
      <w:r w:rsidR="007E0672" w:rsidRPr="00C05E7B">
        <w:t xml:space="preserve">the </w:t>
      </w:r>
      <w:r w:rsidR="00400E52">
        <w:t>e</w:t>
      </w:r>
      <w:r w:rsidR="007E0672" w:rsidRPr="00C05E7B">
        <w:t>nterprises</w:t>
      </w:r>
      <w:r w:rsidRPr="00C05E7B">
        <w:t xml:space="preserve"> gave to this complaint, </w:t>
      </w:r>
      <w:r w:rsidR="00AD025A" w:rsidRPr="00C05E7B">
        <w:t xml:space="preserve">and </w:t>
      </w:r>
      <w:r w:rsidRPr="00C05E7B">
        <w:t>the additional information</w:t>
      </w:r>
      <w:r w:rsidR="00400E52">
        <w:t xml:space="preserve"> they</w:t>
      </w:r>
      <w:r w:rsidRPr="00C05E7B">
        <w:t xml:space="preserve"> provided. </w:t>
      </w:r>
      <w:r w:rsidR="0009746C" w:rsidRPr="0009746C">
        <w:t xml:space="preserve">The enterprises did not oppose the transfer of the complaint to the US NCP, which would have enabled it to have been considered in accordance with the OECD Guidelines, including an </w:t>
      </w:r>
      <w:r w:rsidR="001E51C6">
        <w:t>I</w:t>
      </w:r>
      <w:r w:rsidR="0009746C" w:rsidRPr="0009746C">
        <w:t xml:space="preserve">nitial </w:t>
      </w:r>
      <w:r w:rsidR="001E51C6">
        <w:t>A</w:t>
      </w:r>
      <w:r w:rsidR="0009746C" w:rsidRPr="0009746C">
        <w:t>ssessment</w:t>
      </w:r>
      <w:r w:rsidR="001E51C6">
        <w:t xml:space="preserve"> of the issues raised</w:t>
      </w:r>
      <w:r w:rsidR="00AD025A" w:rsidRPr="00C05E7B">
        <w:t xml:space="preserve">. </w:t>
      </w:r>
    </w:p>
    <w:p w14:paraId="74B939A2" w14:textId="0C92144B" w:rsidR="00AD025A" w:rsidRPr="00C05E7B" w:rsidRDefault="00AD025A" w:rsidP="0089682A">
      <w:pPr>
        <w:pStyle w:val="OutlineNumbered1"/>
      </w:pPr>
      <w:r w:rsidRPr="00C05E7B">
        <w:t xml:space="preserve">The </w:t>
      </w:r>
      <w:r w:rsidR="004D386C" w:rsidRPr="00C05E7B">
        <w:t>Independent Examiner</w:t>
      </w:r>
      <w:r w:rsidRPr="00C05E7B">
        <w:t xml:space="preserve"> also wishe</w:t>
      </w:r>
      <w:r w:rsidR="006A15B6" w:rsidRPr="00C05E7B">
        <w:t>s</w:t>
      </w:r>
      <w:r w:rsidRPr="00C05E7B">
        <w:t xml:space="preserve"> to acknowledge the work of the US and German NCPs in their coordination with AusNCP staff.</w:t>
      </w:r>
    </w:p>
    <w:p w14:paraId="31932216" w14:textId="7EA6293A" w:rsidR="009843EB" w:rsidRPr="00C05E7B" w:rsidRDefault="00697F24" w:rsidP="0089682A">
      <w:pPr>
        <w:pStyle w:val="OutlineNumbered1"/>
      </w:pPr>
      <w:r w:rsidRPr="00C05E7B">
        <w:t xml:space="preserve">The </w:t>
      </w:r>
      <w:r w:rsidRPr="00C05E7B" w:rsidDel="0063019E">
        <w:t xml:space="preserve">AusNCP </w:t>
      </w:r>
      <w:r w:rsidR="0063019E" w:rsidRPr="00C05E7B">
        <w:t xml:space="preserve">notes </w:t>
      </w:r>
      <w:r w:rsidR="00053F38" w:rsidRPr="00C05E7B">
        <w:t xml:space="preserve">that </w:t>
      </w:r>
      <w:r w:rsidRPr="00C05E7B">
        <w:t>this matter</w:t>
      </w:r>
      <w:r w:rsidR="00AA36A1" w:rsidRPr="00C05E7B">
        <w:t xml:space="preserve"> concluded </w:t>
      </w:r>
      <w:r w:rsidR="009D38EC">
        <w:t>when</w:t>
      </w:r>
      <w:r w:rsidR="009D38EC" w:rsidRPr="00C05E7B">
        <w:t xml:space="preserve"> </w:t>
      </w:r>
      <w:r w:rsidR="00AA36A1">
        <w:t xml:space="preserve">Ms Stevens </w:t>
      </w:r>
      <w:r w:rsidR="009D38EC">
        <w:t xml:space="preserve">requested </w:t>
      </w:r>
      <w:r w:rsidR="002618FA">
        <w:t xml:space="preserve">the </w:t>
      </w:r>
      <w:r w:rsidR="00AA36A1">
        <w:t>AusNCP not continu</w:t>
      </w:r>
      <w:r w:rsidR="00053F38">
        <w:t>e</w:t>
      </w:r>
      <w:r w:rsidR="00AA36A1">
        <w:t xml:space="preserve"> processing</w:t>
      </w:r>
      <w:r w:rsidR="002618FA">
        <w:t xml:space="preserve"> the complaint</w:t>
      </w:r>
      <w:r w:rsidR="009D38EC">
        <w:t>, which meant the complaint was effectively withdrawn, as explained above</w:t>
      </w:r>
      <w:r w:rsidR="00AA36A1">
        <w:t>.</w:t>
      </w:r>
      <w:r w:rsidR="00AA36A1" w:rsidRPr="00C05E7B">
        <w:t xml:space="preserve"> This prevented </w:t>
      </w:r>
      <w:r w:rsidRPr="00C05E7B">
        <w:t>the matter being transferred to the relevant NCP to conduct a</w:t>
      </w:r>
      <w:r w:rsidR="009D1DDF">
        <w:t>n</w:t>
      </w:r>
      <w:r w:rsidRPr="00C05E7B">
        <w:t xml:space="preserve"> </w:t>
      </w:r>
      <w:r w:rsidR="009D1DDF">
        <w:t>I</w:t>
      </w:r>
      <w:r w:rsidRPr="00C05E7B">
        <w:t xml:space="preserve">nitial </w:t>
      </w:r>
      <w:r w:rsidR="009D1DDF">
        <w:t>A</w:t>
      </w:r>
      <w:r w:rsidRPr="00C05E7B">
        <w:t>ssessment of the issues raised</w:t>
      </w:r>
      <w:r w:rsidR="009843EB" w:rsidRPr="00C05E7B">
        <w:t xml:space="preserve"> which, under the </w:t>
      </w:r>
      <w:r w:rsidR="0057706F">
        <w:t xml:space="preserve">OECD </w:t>
      </w:r>
      <w:r w:rsidR="009843EB" w:rsidRPr="00C05E7B">
        <w:t xml:space="preserve">Guidelines, </w:t>
      </w:r>
      <w:r w:rsidR="004A4F48">
        <w:t xml:space="preserve">would </w:t>
      </w:r>
      <w:r w:rsidR="009843EB" w:rsidRPr="00C05E7B">
        <w:t xml:space="preserve">then </w:t>
      </w:r>
      <w:r w:rsidR="004A4F48">
        <w:t xml:space="preserve">have </w:t>
      </w:r>
      <w:r w:rsidR="009843EB" w:rsidRPr="00C05E7B">
        <w:t>ha</w:t>
      </w:r>
      <w:r w:rsidR="0017467B" w:rsidRPr="00C05E7B">
        <w:t>d</w:t>
      </w:r>
      <w:r w:rsidR="009843EB" w:rsidRPr="00C05E7B">
        <w:t xml:space="preserve"> the potential for th</w:t>
      </w:r>
      <w:r w:rsidR="00CA701D" w:rsidRPr="00C05E7B">
        <w:t>at</w:t>
      </w:r>
      <w:r w:rsidR="009843EB" w:rsidRPr="00C05E7B">
        <w:t xml:space="preserve"> NCP to:</w:t>
      </w:r>
    </w:p>
    <w:p w14:paraId="6665A543" w14:textId="50828B2F" w:rsidR="009843EB" w:rsidRPr="00C05E7B" w:rsidRDefault="009843EB" w:rsidP="0089682A">
      <w:pPr>
        <w:pStyle w:val="OutlineNumbered1"/>
        <w:numPr>
          <w:ilvl w:val="1"/>
          <w:numId w:val="12"/>
        </w:numPr>
      </w:pPr>
      <w:r w:rsidRPr="00C05E7B">
        <w:lastRenderedPageBreak/>
        <w:t xml:space="preserve">decide </w:t>
      </w:r>
      <w:r w:rsidR="00CA701D" w:rsidRPr="00C05E7B">
        <w:t xml:space="preserve">if </w:t>
      </w:r>
      <w:r w:rsidRPr="00C05E7B">
        <w:t>the issues warrant</w:t>
      </w:r>
      <w:r w:rsidR="00CA701D" w:rsidRPr="00C05E7B">
        <w:t>ed</w:t>
      </w:r>
      <w:r w:rsidRPr="00C05E7B">
        <w:t xml:space="preserve"> further examination</w:t>
      </w:r>
    </w:p>
    <w:p w14:paraId="6481EF7A" w14:textId="13A5BCCF" w:rsidR="009843EB" w:rsidRPr="00C05E7B" w:rsidRDefault="009843EB" w:rsidP="0089682A">
      <w:pPr>
        <w:pStyle w:val="OutlineNumbered1"/>
        <w:numPr>
          <w:ilvl w:val="1"/>
          <w:numId w:val="12"/>
        </w:numPr>
      </w:pPr>
      <w:r w:rsidRPr="00C05E7B">
        <w:t xml:space="preserve">offer </w:t>
      </w:r>
      <w:r w:rsidR="009D1DDF">
        <w:t>‘g</w:t>
      </w:r>
      <w:r w:rsidR="00E62730" w:rsidRPr="00C05E7B">
        <w:t xml:space="preserve">ood </w:t>
      </w:r>
      <w:r w:rsidR="009D1DDF">
        <w:t>o</w:t>
      </w:r>
      <w:r w:rsidR="00E62730" w:rsidRPr="00C05E7B">
        <w:t>ffices</w:t>
      </w:r>
      <w:r w:rsidR="009D1DDF">
        <w:t>’</w:t>
      </w:r>
      <w:r w:rsidRPr="00C05E7B">
        <w:t xml:space="preserve"> to help </w:t>
      </w:r>
      <w:r w:rsidR="009C4481" w:rsidRPr="00C05E7B">
        <w:t xml:space="preserve">the </w:t>
      </w:r>
      <w:r w:rsidR="009D1DDF">
        <w:t>p</w:t>
      </w:r>
      <w:r w:rsidR="009C4481" w:rsidRPr="00C05E7B">
        <w:t>arties</w:t>
      </w:r>
      <w:r w:rsidRPr="00C05E7B">
        <w:t xml:space="preserve"> resolve the issues</w:t>
      </w:r>
    </w:p>
    <w:p w14:paraId="4005139D" w14:textId="679C25D9" w:rsidR="009843EB" w:rsidRDefault="009843EB" w:rsidP="0089682A">
      <w:pPr>
        <w:pStyle w:val="OutlineNumbered1"/>
        <w:numPr>
          <w:ilvl w:val="1"/>
          <w:numId w:val="12"/>
        </w:numPr>
      </w:pPr>
      <w:r w:rsidRPr="00C05E7B">
        <w:t xml:space="preserve">issue a </w:t>
      </w:r>
      <w:r w:rsidR="009D1DDF">
        <w:t>F</w:t>
      </w:r>
      <w:r w:rsidRPr="00C05E7B">
        <w:t xml:space="preserve">inal </w:t>
      </w:r>
      <w:r w:rsidR="009D1DDF">
        <w:t>S</w:t>
      </w:r>
      <w:r w:rsidRPr="00C05E7B">
        <w:t>tatement</w:t>
      </w:r>
      <w:r w:rsidR="000C05C3">
        <w:t>,</w:t>
      </w:r>
      <w:r w:rsidRPr="00C05E7B">
        <w:t xml:space="preserve"> which </w:t>
      </w:r>
      <w:r w:rsidR="002740F3" w:rsidRPr="00C05E7B">
        <w:t>could</w:t>
      </w:r>
      <w:r w:rsidR="00BC69EE">
        <w:t xml:space="preserve"> have</w:t>
      </w:r>
      <w:r w:rsidR="002740F3" w:rsidRPr="00C05E7B">
        <w:t xml:space="preserve"> </w:t>
      </w:r>
      <w:r w:rsidRPr="00C05E7B">
        <w:t>include</w:t>
      </w:r>
      <w:r w:rsidR="00BC69EE">
        <w:t>d</w:t>
      </w:r>
      <w:r w:rsidRPr="00C05E7B">
        <w:t xml:space="preserve"> recommendations on the implementation of the </w:t>
      </w:r>
      <w:r w:rsidR="000C05C3">
        <w:t xml:space="preserve">OECD </w:t>
      </w:r>
      <w:r w:rsidRPr="00C05E7B">
        <w:t xml:space="preserve">Guidelines and/or the NCP’s views on whether the </w:t>
      </w:r>
      <w:r w:rsidR="000C05C3">
        <w:t>e</w:t>
      </w:r>
      <w:r w:rsidRPr="00C05E7B">
        <w:t>nterprise</w:t>
      </w:r>
      <w:r w:rsidR="00277B2B" w:rsidRPr="00C05E7B">
        <w:t>s</w:t>
      </w:r>
      <w:r w:rsidRPr="00C05E7B">
        <w:t xml:space="preserve"> </w:t>
      </w:r>
      <w:r w:rsidR="000C05C3">
        <w:t xml:space="preserve">acted consistently with </w:t>
      </w:r>
      <w:r w:rsidRPr="00C05E7B">
        <w:t xml:space="preserve">the </w:t>
      </w:r>
      <w:r w:rsidR="000C05C3">
        <w:t xml:space="preserve">OECD </w:t>
      </w:r>
      <w:r w:rsidRPr="00C05E7B">
        <w:t>Guidelines.</w:t>
      </w:r>
    </w:p>
    <w:p w14:paraId="5E19FEC3" w14:textId="77777777" w:rsidR="00CC2178" w:rsidRPr="00C05E7B" w:rsidRDefault="00022C1D" w:rsidP="00022C1D">
      <w:pPr>
        <w:spacing w:after="0"/>
        <w:rPr>
          <w:b/>
        </w:rPr>
      </w:pPr>
      <w:r w:rsidRPr="00C05E7B">
        <w:br/>
      </w:r>
      <w:r w:rsidR="00AA36A1" w:rsidRPr="00C05E7B">
        <w:rPr>
          <w:b/>
          <w:bCs/>
        </w:rPr>
        <w:t>John Southalan</w:t>
      </w:r>
    </w:p>
    <w:p w14:paraId="47A931D7" w14:textId="7BB8FF47" w:rsidR="00715E4A" w:rsidRPr="00022C1D" w:rsidRDefault="00CC2178" w:rsidP="003600D8">
      <w:pPr>
        <w:spacing w:after="0"/>
        <w:rPr>
          <w:highlight w:val="yellow"/>
        </w:rPr>
      </w:pPr>
      <w:r w:rsidRPr="00C05E7B">
        <w:t xml:space="preserve">Independent </w:t>
      </w:r>
      <w:r w:rsidR="00CB1374" w:rsidRPr="00C05E7B">
        <w:t>E</w:t>
      </w:r>
      <w:r w:rsidR="00B868BF" w:rsidRPr="00C05E7B">
        <w:t>xaminer</w:t>
      </w:r>
      <w:r w:rsidRPr="00C05E7B">
        <w:rPr>
          <w:highlight w:val="yellow"/>
        </w:rPr>
        <w:br/>
      </w:r>
      <w:r w:rsidRPr="00C05E7B">
        <w:t>Australian National Contact Point for Responsible Business Conduct</w:t>
      </w:r>
      <w:r w:rsidRPr="008F09C0">
        <w:rPr>
          <w:color w:val="FF0000"/>
        </w:rPr>
        <w:br/>
      </w:r>
      <w:r w:rsidRPr="00C05E7B">
        <w:t xml:space="preserve">Email: </w:t>
      </w:r>
      <w:hyperlink r:id="rId24" w:history="1">
        <w:r w:rsidR="00B12F6A" w:rsidRPr="004D5798">
          <w:rPr>
            <w:rStyle w:val="Hyperlink"/>
          </w:rPr>
          <w:t>secretariat@ausncp.gov.au</w:t>
        </w:r>
      </w:hyperlink>
      <w:r w:rsidR="00715E4A" w:rsidRPr="00C05E7B">
        <w:br w:type="page"/>
      </w:r>
    </w:p>
    <w:p w14:paraId="40E9E996" w14:textId="77777777" w:rsidR="00715E4A" w:rsidRPr="00C05E7B" w:rsidRDefault="00715E4A" w:rsidP="00715E4A">
      <w:pPr>
        <w:pStyle w:val="Heading1"/>
      </w:pPr>
      <w:bookmarkStart w:id="41" w:name="_Toc116382021"/>
      <w:bookmarkStart w:id="42" w:name="_Toc211334205"/>
      <w:bookmarkStart w:id="43" w:name="_Toc219735248"/>
      <w:bookmarkStart w:id="44" w:name="_Toc230360318"/>
      <w:r w:rsidRPr="00C05E7B">
        <w:lastRenderedPageBreak/>
        <w:t>Annex</w:t>
      </w:r>
      <w:r w:rsidR="0069180D" w:rsidRPr="00C05E7B">
        <w:t>e</w:t>
      </w:r>
      <w:r w:rsidRPr="00C05E7B">
        <w:t>s</w:t>
      </w:r>
      <w:bookmarkEnd w:id="41"/>
      <w:bookmarkEnd w:id="42"/>
      <w:bookmarkEnd w:id="43"/>
      <w:bookmarkEnd w:id="44"/>
    </w:p>
    <w:p w14:paraId="6AEE5BCF" w14:textId="61996DB7" w:rsidR="00E8133D" w:rsidRPr="00C05E7B" w:rsidRDefault="00E8133D" w:rsidP="00E8133D">
      <w:pPr>
        <w:pStyle w:val="Heading2"/>
      </w:pPr>
      <w:bookmarkStart w:id="45" w:name="_Toc219735249"/>
      <w:bookmarkStart w:id="46" w:name="_Toc230360319"/>
      <w:r w:rsidRPr="00C05E7B">
        <w:t>Annex A: Ex</w:t>
      </w:r>
      <w:r w:rsidR="0029541D" w:rsidRPr="00C05E7B">
        <w:t>tracts</w:t>
      </w:r>
      <w:r w:rsidRPr="00C05E7B">
        <w:t xml:space="preserve"> from Dow</w:t>
      </w:r>
      <w:r w:rsidR="004A57A1">
        <w:t>’s</w:t>
      </w:r>
      <w:r w:rsidRPr="00C05E7B">
        <w:t xml:space="preserve"> </w:t>
      </w:r>
      <w:r w:rsidR="00B54316" w:rsidRPr="00C05E7B">
        <w:t>communications to the AusNCP</w:t>
      </w:r>
      <w:bookmarkEnd w:id="45"/>
      <w:bookmarkEnd w:id="46"/>
      <w:r w:rsidRPr="00C05E7B">
        <w:t xml:space="preserve"> </w:t>
      </w:r>
    </w:p>
    <w:p w14:paraId="5462C0D4" w14:textId="15F819C1" w:rsidR="001A5495" w:rsidRPr="00F550B6" w:rsidRDefault="00FC23EE" w:rsidP="00F07F9B">
      <w:pPr>
        <w:spacing w:before="0" w:after="240" w:line="280" w:lineRule="exact"/>
        <w:jc w:val="both"/>
        <w:rPr>
          <w:rFonts w:cs="Calibri Light"/>
        </w:rPr>
      </w:pPr>
      <w:r w:rsidRPr="00F550B6">
        <w:rPr>
          <w:rFonts w:cs="Calibri Light"/>
        </w:rPr>
        <w:t>During the management of this complaint, Dow had various communications with the AusNCP</w:t>
      </w:r>
      <w:r w:rsidR="003F0A52" w:rsidRPr="00F550B6">
        <w:rPr>
          <w:rFonts w:cs="Calibri Light"/>
        </w:rPr>
        <w:t>.</w:t>
      </w:r>
      <w:r w:rsidRPr="00F550B6">
        <w:rPr>
          <w:rFonts w:cs="Calibri Light"/>
        </w:rPr>
        <w:t xml:space="preserve"> </w:t>
      </w:r>
      <w:r w:rsidR="002F435A" w:rsidRPr="00F550B6">
        <w:rPr>
          <w:rFonts w:cs="Calibri Light"/>
        </w:rPr>
        <w:t>Annex</w:t>
      </w:r>
      <w:r w:rsidR="00456A58">
        <w:rPr>
          <w:rFonts w:cs="Calibri Light"/>
        </w:rPr>
        <w:t> A</w:t>
      </w:r>
      <w:r w:rsidR="002F435A" w:rsidRPr="00F550B6">
        <w:rPr>
          <w:rFonts w:cs="Calibri Light"/>
        </w:rPr>
        <w:t xml:space="preserve"> reproduces</w:t>
      </w:r>
      <w:r w:rsidR="007F4CE1" w:rsidRPr="00F550B6">
        <w:rPr>
          <w:rFonts w:cs="Calibri Light"/>
        </w:rPr>
        <w:t>, for transparency,</w:t>
      </w:r>
      <w:r w:rsidR="002F435A" w:rsidRPr="00F550B6">
        <w:rPr>
          <w:rFonts w:cs="Calibri Light"/>
        </w:rPr>
        <w:t xml:space="preserve"> e</w:t>
      </w:r>
      <w:r w:rsidR="00D23C48" w:rsidRPr="00F550B6">
        <w:rPr>
          <w:rFonts w:cs="Calibri Light"/>
        </w:rPr>
        <w:t>xtracts from Dow’s communications to the AusNCP</w:t>
      </w:r>
      <w:r w:rsidR="00664EC1" w:rsidRPr="00F550B6">
        <w:rPr>
          <w:rFonts w:cs="Calibri Light"/>
        </w:rPr>
        <w:t>,</w:t>
      </w:r>
      <w:r w:rsidR="002B645E">
        <w:rPr>
          <w:rStyle w:val="FootnoteReference"/>
          <w:rFonts w:cs="Calibri Light"/>
        </w:rPr>
        <w:footnoteReference w:id="42"/>
      </w:r>
      <w:r w:rsidR="003F0A52" w:rsidRPr="00F550B6">
        <w:rPr>
          <w:rFonts w:cs="Calibri Light"/>
        </w:rPr>
        <w:t xml:space="preserve"> which Dow requested be included in </w:t>
      </w:r>
      <w:r w:rsidR="00E52C22">
        <w:rPr>
          <w:rFonts w:cs="Calibri Light"/>
        </w:rPr>
        <w:t>an</w:t>
      </w:r>
      <w:r w:rsidR="00E52C22" w:rsidRPr="00F550B6">
        <w:rPr>
          <w:rFonts w:cs="Calibri Light"/>
        </w:rPr>
        <w:t xml:space="preserve"> </w:t>
      </w:r>
      <w:r w:rsidR="00E52C22">
        <w:rPr>
          <w:rFonts w:cs="Calibri Light"/>
        </w:rPr>
        <w:t>a</w:t>
      </w:r>
      <w:r w:rsidR="003F0A52" w:rsidRPr="00F550B6">
        <w:rPr>
          <w:rFonts w:cs="Calibri Light"/>
        </w:rPr>
        <w:t>nnex</w:t>
      </w:r>
      <w:r w:rsidR="00E52C22">
        <w:rPr>
          <w:rFonts w:cs="Calibri Light"/>
        </w:rPr>
        <w:t xml:space="preserve"> to th</w:t>
      </w:r>
      <w:r w:rsidR="00456A58">
        <w:rPr>
          <w:rFonts w:cs="Calibri Light"/>
        </w:rPr>
        <w:t>is</w:t>
      </w:r>
      <w:r w:rsidR="00E52C22">
        <w:rPr>
          <w:rFonts w:cs="Calibri Light"/>
        </w:rPr>
        <w:t xml:space="preserve"> statement</w:t>
      </w:r>
      <w:r w:rsidR="00227334" w:rsidRPr="00F550B6">
        <w:rPr>
          <w:rFonts w:cs="Calibri Light"/>
        </w:rPr>
        <w:t>.</w:t>
      </w:r>
      <w:r w:rsidR="00D23C48" w:rsidRPr="00F550B6">
        <w:rPr>
          <w:rFonts w:cs="Calibri Light"/>
        </w:rPr>
        <w:t xml:space="preserve"> </w:t>
      </w:r>
      <w:r w:rsidR="007F4CE1" w:rsidRPr="00F550B6">
        <w:rPr>
          <w:rFonts w:cs="Calibri Light"/>
          <w:b/>
          <w:bCs/>
        </w:rPr>
        <w:t>All f</w:t>
      </w:r>
      <w:r w:rsidR="00227334" w:rsidRPr="00F550B6">
        <w:rPr>
          <w:rFonts w:cs="Calibri Light"/>
          <w:b/>
          <w:bCs/>
        </w:rPr>
        <w:t xml:space="preserve">ootnotes and references in this </w:t>
      </w:r>
      <w:r w:rsidR="00C02B31">
        <w:rPr>
          <w:rFonts w:cs="Calibri Light"/>
          <w:b/>
          <w:bCs/>
        </w:rPr>
        <w:t>a</w:t>
      </w:r>
      <w:r w:rsidR="00227334" w:rsidRPr="00F550B6">
        <w:rPr>
          <w:rFonts w:cs="Calibri Light"/>
          <w:b/>
          <w:bCs/>
        </w:rPr>
        <w:t>nnex are those provided by Dow. T</w:t>
      </w:r>
      <w:r w:rsidR="00D23C48" w:rsidRPr="00F550B6">
        <w:rPr>
          <w:rFonts w:cs="Calibri Light"/>
          <w:b/>
          <w:bCs/>
        </w:rPr>
        <w:t>he Independent Examiner does not guarantee the accuracy or completeness of the supplied information</w:t>
      </w:r>
      <w:r w:rsidR="00D23C48" w:rsidRPr="00F550B6">
        <w:rPr>
          <w:rFonts w:cs="Calibri Light"/>
        </w:rPr>
        <w:t>.</w:t>
      </w:r>
    </w:p>
    <w:p w14:paraId="7C581A78" w14:textId="77777777" w:rsidR="003F0A52" w:rsidRPr="00F550B6" w:rsidRDefault="003F0A52" w:rsidP="00F07F9B">
      <w:pPr>
        <w:spacing w:before="0" w:after="240" w:line="280" w:lineRule="exact"/>
        <w:jc w:val="both"/>
        <w:rPr>
          <w:rFonts w:cs="Calibri Light"/>
          <w:b/>
          <w:bCs/>
          <w:u w:val="single"/>
        </w:rPr>
      </w:pPr>
      <w:r w:rsidRPr="00F550B6">
        <w:rPr>
          <w:rFonts w:cs="Calibri Light"/>
          <w:b/>
          <w:bCs/>
          <w:u w:val="single"/>
        </w:rPr>
        <w:t>January 2026</w:t>
      </w:r>
    </w:p>
    <w:p w14:paraId="1993707F" w14:textId="77777777"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 xml:space="preserve">The Dow Chemical Company (“TDCC”) provides its comments to </w:t>
      </w:r>
      <w:proofErr w:type="spellStart"/>
      <w:r w:rsidRPr="00F550B6">
        <w:rPr>
          <w:rFonts w:cs="Calibri Light"/>
          <w:iCs/>
          <w:sz w:val="20"/>
        </w:rPr>
        <w:t>AusNCP’s</w:t>
      </w:r>
      <w:proofErr w:type="spellEnd"/>
      <w:r w:rsidRPr="00F550B6">
        <w:rPr>
          <w:rFonts w:cs="Calibri Light"/>
          <w:iCs/>
          <w:sz w:val="20"/>
        </w:rPr>
        <w:t xml:space="preserve"> (Australian National Contact Point) draft Final Statement concerning Complaint 36. We first address the Final Statement’s mischaracterization of TDCC not having contested the accuracy of background information regarding Agent Orange contained in </w:t>
      </w:r>
      <w:proofErr w:type="spellStart"/>
      <w:r w:rsidRPr="00F550B6">
        <w:rPr>
          <w:rFonts w:cs="Calibri Light"/>
          <w:iCs/>
          <w:sz w:val="20"/>
        </w:rPr>
        <w:t>AusNCP’s</w:t>
      </w:r>
      <w:proofErr w:type="spellEnd"/>
      <w:r w:rsidRPr="00F550B6">
        <w:rPr>
          <w:rFonts w:cs="Calibri Light"/>
          <w:iCs/>
          <w:sz w:val="20"/>
        </w:rPr>
        <w:t xml:space="preserve"> letter of 11 July 2025, which is repeated in paragraphs 50-60 of the draft Final Statement, and second, reiterate and address the substantive issues with those statements.</w:t>
      </w:r>
    </w:p>
    <w:p w14:paraId="484F7175" w14:textId="77777777" w:rsidR="003F0A52" w:rsidRPr="00F550B6" w:rsidRDefault="003F0A52" w:rsidP="00F07F9B">
      <w:pPr>
        <w:pStyle w:val="OutlineNumbered1"/>
        <w:numPr>
          <w:ilvl w:val="0"/>
          <w:numId w:val="0"/>
        </w:numPr>
        <w:jc w:val="left"/>
        <w:rPr>
          <w:rFonts w:cs="Calibri Light"/>
          <w:i/>
          <w:sz w:val="20"/>
          <w:u w:val="single"/>
        </w:rPr>
      </w:pPr>
      <w:r w:rsidRPr="00F550B6">
        <w:rPr>
          <w:rFonts w:cs="Calibri Light"/>
          <w:i/>
          <w:sz w:val="20"/>
          <w:u w:val="single"/>
        </w:rPr>
        <w:t>TDCC’s Prior Response</w:t>
      </w:r>
    </w:p>
    <w:p w14:paraId="2AC06D9F" w14:textId="4775D392"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The draft Final Statement mischaracterizes TDCC’s prior response dated 1 August 2025, to the letter dated 11</w:t>
      </w:r>
      <w:r w:rsidR="0081440E" w:rsidRPr="00F550B6">
        <w:rPr>
          <w:rFonts w:cs="Calibri Light"/>
          <w:iCs/>
          <w:sz w:val="20"/>
        </w:rPr>
        <w:t> </w:t>
      </w:r>
      <w:r w:rsidRPr="00F550B6">
        <w:rPr>
          <w:rFonts w:cs="Calibri Light"/>
          <w:iCs/>
          <w:sz w:val="20"/>
        </w:rPr>
        <w:t>July 2025. The draft Final Statement sets forth in paragraph 61:</w:t>
      </w:r>
    </w:p>
    <w:p w14:paraId="333A379E" w14:textId="77777777" w:rsidR="003F0A52" w:rsidRPr="00F550B6" w:rsidRDefault="003F0A52" w:rsidP="00F07F9B">
      <w:pPr>
        <w:pStyle w:val="OutlineNumbered1"/>
        <w:numPr>
          <w:ilvl w:val="0"/>
          <w:numId w:val="0"/>
        </w:numPr>
        <w:ind w:left="567"/>
        <w:jc w:val="left"/>
        <w:rPr>
          <w:rFonts w:cs="Calibri Light"/>
          <w:iCs/>
          <w:sz w:val="18"/>
          <w:szCs w:val="18"/>
        </w:rPr>
      </w:pPr>
      <w:r w:rsidRPr="00F550B6">
        <w:rPr>
          <w:rFonts w:cs="Calibri Light"/>
          <w:iCs/>
          <w:sz w:val="18"/>
          <w:szCs w:val="18"/>
        </w:rPr>
        <w:t>No party indicated there were inaccuracies in the above assessment. Dow provided further information which was consistent with the above.</w:t>
      </w:r>
    </w:p>
    <w:p w14:paraId="5B746D7B" w14:textId="77777777"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Ostensibly for the sake of transparency, the draft Final Statement provides extracts of TDCC’s prior response, however, pertinent portions of TDCC’s prior response are omitted and the draft Final Statement disclaims “guarantee[</w:t>
      </w:r>
      <w:proofErr w:type="spellStart"/>
      <w:r w:rsidRPr="00F550B6">
        <w:rPr>
          <w:rFonts w:cs="Calibri Light"/>
          <w:iCs/>
          <w:sz w:val="20"/>
        </w:rPr>
        <w:t>ing</w:t>
      </w:r>
      <w:proofErr w:type="spellEnd"/>
      <w:r w:rsidRPr="00F550B6">
        <w:rPr>
          <w:rFonts w:cs="Calibri Light"/>
          <w:iCs/>
          <w:sz w:val="20"/>
        </w:rPr>
        <w:t>] the accuracy or completeness of the supplied information,” despite the information provided by TDCC being amply supported by citations to court rulings, government studies and references that are cited/relied upon by the draft Final Statement itself.</w:t>
      </w:r>
    </w:p>
    <w:p w14:paraId="1C98F3A8" w14:textId="596CB071"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To assert that TDCC essentially agreed with the background information is incorrect and misleading. The 11</w:t>
      </w:r>
      <w:r w:rsidR="003C2087">
        <w:rPr>
          <w:rFonts w:cs="Calibri Light"/>
          <w:iCs/>
          <w:sz w:val="20"/>
        </w:rPr>
        <w:t> </w:t>
      </w:r>
      <w:r w:rsidRPr="00F550B6">
        <w:rPr>
          <w:rFonts w:cs="Calibri Light"/>
          <w:iCs/>
          <w:sz w:val="20"/>
        </w:rPr>
        <w:t>July</w:t>
      </w:r>
      <w:r w:rsidR="003C2087">
        <w:rPr>
          <w:rFonts w:cs="Calibri Light"/>
          <w:iCs/>
          <w:sz w:val="20"/>
        </w:rPr>
        <w:t> </w:t>
      </w:r>
      <w:r w:rsidRPr="00F550B6">
        <w:rPr>
          <w:rFonts w:cs="Calibri Light"/>
          <w:iCs/>
          <w:sz w:val="20"/>
        </w:rPr>
        <w:t>2025 letter requested TDCC’s response to the preliminary assessment that AusNCP was not the correct body to handle the complaint in deference to a transfer to the US NCP (United States National Contact Point); TDCC responded that it had no objection to the proposed transfer. The 11 July 2025 letter should not now be construed as akin to a pleading whereby TDCC not having formally denominated “denials” or “objections” to the background information as stated should be construed as some purported agreement or acquiescence with them. This unfairly miscasts the prior process and TDCC’s cooperation therewith.</w:t>
      </w:r>
    </w:p>
    <w:p w14:paraId="12286D25" w14:textId="3D330B8A"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Nevertheless, as reiterated below, TDCC substantively corrected or clarified several statements, including those relating to (</w:t>
      </w:r>
      <w:proofErr w:type="spellStart"/>
      <w:r w:rsidRPr="00F550B6">
        <w:rPr>
          <w:rFonts w:cs="Calibri Light"/>
          <w:iCs/>
          <w:sz w:val="20"/>
        </w:rPr>
        <w:t>i</w:t>
      </w:r>
      <w:proofErr w:type="spellEnd"/>
      <w:r w:rsidRPr="00F550B6">
        <w:rPr>
          <w:rFonts w:cs="Calibri Light"/>
          <w:iCs/>
          <w:sz w:val="20"/>
        </w:rPr>
        <w:t xml:space="preserve">) the composition of Agent Orange from commercial products, (ii) the extent of exposure to Agent Orange, and (iii) TDCC’s workplace experience with TCDD, as well as providing information regarding the science concerning an alleged link between Agent Orange and birth defects. As noted, notwithstanding the Final </w:t>
      </w:r>
      <w:r w:rsidRPr="00F550B6">
        <w:rPr>
          <w:rFonts w:cs="Calibri Light"/>
          <w:iCs/>
          <w:sz w:val="20"/>
        </w:rPr>
        <w:lastRenderedPageBreak/>
        <w:t>Disclaimer’s intended disclaimer about the accuracy of the information provided, these corrections/clarifications were amply annotated with objective sources, and moreover, as discussed below, we are now constrained to identify additional flaws in the Final Statement’s recitation of Agent Orange background.</w:t>
      </w:r>
    </w:p>
    <w:p w14:paraId="33EFDBAA" w14:textId="77777777"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 xml:space="preserve">Accordingly, TDCC would urge that the Final Statement be revised. </w:t>
      </w:r>
    </w:p>
    <w:p w14:paraId="055F11E9" w14:textId="77777777" w:rsidR="003F0A52" w:rsidRPr="00F550B6" w:rsidRDefault="003F0A52" w:rsidP="00F07F9B">
      <w:pPr>
        <w:pStyle w:val="OutlineNumbered1"/>
        <w:keepNext/>
        <w:numPr>
          <w:ilvl w:val="0"/>
          <w:numId w:val="0"/>
        </w:numPr>
        <w:jc w:val="left"/>
        <w:rPr>
          <w:rFonts w:cs="Calibri Light"/>
          <w:i/>
          <w:sz w:val="20"/>
          <w:u w:val="single"/>
        </w:rPr>
      </w:pPr>
      <w:r w:rsidRPr="00F550B6">
        <w:rPr>
          <w:rFonts w:cs="Calibri Light"/>
          <w:i/>
          <w:sz w:val="20"/>
          <w:u w:val="single"/>
        </w:rPr>
        <w:t>Revisions to Inaccurate Statements</w:t>
      </w:r>
    </w:p>
    <w:p w14:paraId="68A341EB" w14:textId="70CB4201" w:rsidR="003F0A52" w:rsidRPr="00F550B6" w:rsidRDefault="003F0A52" w:rsidP="00F07F9B">
      <w:pPr>
        <w:pStyle w:val="OutlineNumbered1"/>
        <w:numPr>
          <w:ilvl w:val="0"/>
          <w:numId w:val="15"/>
        </w:numPr>
        <w:tabs>
          <w:tab w:val="left" w:pos="0"/>
        </w:tabs>
        <w:jc w:val="left"/>
        <w:rPr>
          <w:rFonts w:cs="Calibri Light"/>
          <w:i/>
          <w:sz w:val="20"/>
          <w:u w:val="single"/>
        </w:rPr>
      </w:pPr>
      <w:r w:rsidRPr="00F550B6">
        <w:rPr>
          <w:rFonts w:cs="Calibri Light"/>
          <w:iCs/>
          <w:sz w:val="20"/>
        </w:rPr>
        <w:t>Paragraph 51 provides, without a supporting citation: “Agent Orange was produced by combining two commercially available herbicides, one of which was 2,4,5-T.”</w:t>
      </w:r>
    </w:p>
    <w:p w14:paraId="5A24B554"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This statement is incorrect. As noted in TDCC’s prior response, this proposition was specifically raised by the plaintiffs in the US Agent Orange litigation, and the court rejected it. Dr. Young’s volume on the history of Agent Orange (cited as a reference to the Final Statement) likewise explains that the military did not simply purchase commercially available herbicides and includes a full chapter detailing the research and development of Agent Orange and the other tactical herbicides.</w:t>
      </w:r>
    </w:p>
    <w:p w14:paraId="4D4D3301"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A more complete and accurate statement of the development and composition of Agent Orange, including footnotes, would be as follows:</w:t>
      </w:r>
    </w:p>
    <w:p w14:paraId="25AA7EE3" w14:textId="22809C7B"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t>The US military specified the formulation of Agent Orange based on an extensive program of research, development and testing led by the US Army Chemical Corps Research Laboratories at Fort Detrick, Maryland.</w:t>
      </w:r>
      <w:r w:rsidR="00384643" w:rsidRPr="00F550B6">
        <w:rPr>
          <w:rStyle w:val="FootnoteReference"/>
          <w:rFonts w:cs="Calibri Light"/>
          <w:iCs/>
          <w:szCs w:val="18"/>
        </w:rPr>
        <w:footnoteReference w:id="43"/>
      </w:r>
      <w:r w:rsidRPr="00F550B6">
        <w:rPr>
          <w:rFonts w:cs="Calibri Light"/>
          <w:iCs/>
          <w:sz w:val="18"/>
          <w:szCs w:val="18"/>
        </w:rPr>
        <w:t xml:space="preserve"> While Agent Orange utilized the herbicide components 2,4,5-T and 2,4-D, variants of which were used in products used for domestic agricultural purposes, Agent Orange was not a commercially available product and was not merely a combination of commercially available herbicides.</w:t>
      </w:r>
      <w:r w:rsidR="00384643" w:rsidRPr="00F550B6">
        <w:rPr>
          <w:rStyle w:val="FootnoteReference"/>
          <w:rFonts w:cs="Calibri Light"/>
          <w:iCs/>
          <w:szCs w:val="18"/>
        </w:rPr>
        <w:footnoteReference w:id="44"/>
      </w:r>
      <w:r w:rsidRPr="00F550B6">
        <w:rPr>
          <w:rFonts w:cs="Calibri Light"/>
          <w:iCs/>
          <w:sz w:val="18"/>
          <w:szCs w:val="18"/>
        </w:rPr>
        <w:t xml:space="preserve"> </w:t>
      </w:r>
    </w:p>
    <w:p w14:paraId="32C8440E" w14:textId="51FB7FA6" w:rsidR="003F0A52" w:rsidRPr="00F550B6" w:rsidRDefault="003F0A52" w:rsidP="00F07F9B">
      <w:pPr>
        <w:pStyle w:val="OutlineNumbered1"/>
        <w:numPr>
          <w:ilvl w:val="0"/>
          <w:numId w:val="15"/>
        </w:numPr>
        <w:tabs>
          <w:tab w:val="left" w:pos="0"/>
        </w:tabs>
        <w:jc w:val="left"/>
        <w:rPr>
          <w:rFonts w:cs="Calibri Light"/>
          <w:iCs/>
          <w:sz w:val="20"/>
        </w:rPr>
      </w:pPr>
      <w:r w:rsidRPr="00F550B6">
        <w:rPr>
          <w:rFonts w:cs="Calibri Light"/>
          <w:iCs/>
          <w:sz w:val="20"/>
        </w:rPr>
        <w:t xml:space="preserve">Paragraph 54 provides, “Many people were exposed to Agent Orange in Vietnam during this time, including military personnel from Australia and New Zealand,” citing to Yule 2020, </w:t>
      </w:r>
      <w:proofErr w:type="spellStart"/>
      <w:r w:rsidRPr="00F550B6">
        <w:rPr>
          <w:rFonts w:cs="Calibri Light"/>
          <w:iCs/>
          <w:sz w:val="20"/>
        </w:rPr>
        <w:t>ch</w:t>
      </w:r>
      <w:proofErr w:type="spellEnd"/>
      <w:r w:rsidRPr="00F550B6">
        <w:rPr>
          <w:rFonts w:cs="Calibri Light"/>
          <w:iCs/>
          <w:sz w:val="20"/>
        </w:rPr>
        <w:t xml:space="preserve"> 11 and AUS Gov 1985, pp IV-233 to IV-327.</w:t>
      </w:r>
    </w:p>
    <w:p w14:paraId="00735C62"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This paragraph omits important context from these references and creates a misleading impression of widespread exposure to harmful levels of Agent Orange.</w:t>
      </w:r>
    </w:p>
    <w:p w14:paraId="64ABCBDA"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 xml:space="preserve">First, the Royal Commission report sets forth “the likelihood of exposures of Australian personnel to” 2,4,5-T, 2,4-D and TCDD as “low” (Table 28, at pages IV-234 – IV-235); and endorses a prior Senate Committee conclusion “that it is unlikely that the majority of Australian troops were directly or indirectly exposed to the herbicides used by U.S. forces, namely Agent Orange and other compounds containing the phenoxy herbicides 2,4-D and 2,4,5-T (pages IV-235 – IV-236). Indeed, the Royal Commission report endorses the conclusion that perceptions of exposure to Agent Orange were attributable to exposure to insecticides, which were sprayed on populated areas in an effort to control malaria, i.e., “The Committee </w:t>
      </w:r>
      <w:r w:rsidRPr="00F550B6">
        <w:rPr>
          <w:rFonts w:cs="Calibri Light"/>
          <w:iCs/>
          <w:sz w:val="20"/>
        </w:rPr>
        <w:lastRenderedPageBreak/>
        <w:t>believes, however, that direct exposure to insecticides (such as malathion) which were used to control malaria, was probable in the majority of cases. (Id.)</w:t>
      </w:r>
    </w:p>
    <w:p w14:paraId="2DB86980"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In a similar vein, Professor Yule remarks in chapter 11 of his volume, “Although Australian discussions of chemical exposure in Vietnam have always focused on American Ranch Hand operations, most Australians were far more exposed to chemicals used for perimeter clearing, crop destruction and insect control than to American-sprayed Agent Orange.” (Pages 221-22)</w:t>
      </w:r>
    </w:p>
    <w:p w14:paraId="16B429BF"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In addition to the context provided in the Royal Commission report and Yule volume that has been overlooked, other authoritative references such as the US National Academy of Science, Veterans and Agent Orange Update 11 (2018) and the Young 2009 volume (which is listed among the Final Statement’s references) also controvert the premise of widespread exposure; yet, this portion of TDCC’s prior response is omitted from the annex to the draft Final Statement.</w:t>
      </w:r>
    </w:p>
    <w:p w14:paraId="18B23A7D" w14:textId="77777777" w:rsidR="003F0A52" w:rsidRPr="00F550B6" w:rsidRDefault="003F0A52" w:rsidP="00F07F9B">
      <w:pPr>
        <w:pStyle w:val="OutlineNumbered1"/>
        <w:numPr>
          <w:ilvl w:val="0"/>
          <w:numId w:val="0"/>
        </w:numPr>
        <w:ind w:left="567"/>
        <w:jc w:val="left"/>
        <w:rPr>
          <w:rFonts w:cs="Calibri Light"/>
          <w:iCs/>
          <w:sz w:val="20"/>
        </w:rPr>
      </w:pPr>
      <w:r w:rsidRPr="00F550B6">
        <w:rPr>
          <w:rFonts w:cs="Calibri Light"/>
          <w:iCs/>
          <w:sz w:val="20"/>
        </w:rPr>
        <w:t>TDCC urges that paragraph 54 regarding exposure be revised as follows to ensure accuracy and avoid a misleading conclusion regarding the Agent Orange exposure facts:</w:t>
      </w:r>
    </w:p>
    <w:p w14:paraId="087A866F" w14:textId="227888D0"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t>Many people claim to have been exposed to Agent Orange in Vietnam during this time, including military personnel from Australia and New Zealand, however, this remains a disputed matter, along with whether any exposures to Agent Orange were at a harmful level.</w:t>
      </w:r>
      <w:r w:rsidR="00384643" w:rsidRPr="00F550B6">
        <w:rPr>
          <w:rStyle w:val="FootnoteReference"/>
          <w:rFonts w:cs="Calibri Light"/>
          <w:iCs/>
          <w:szCs w:val="18"/>
        </w:rPr>
        <w:footnoteReference w:id="45"/>
      </w:r>
      <w:r w:rsidRPr="00F550B6">
        <w:rPr>
          <w:rFonts w:cs="Calibri Light"/>
          <w:iCs/>
          <w:sz w:val="18"/>
          <w:szCs w:val="18"/>
        </w:rPr>
        <w:t xml:space="preserve"> </w:t>
      </w:r>
    </w:p>
    <w:p w14:paraId="5F840C91" w14:textId="2BE09FF3" w:rsidR="003F0A52" w:rsidRPr="00F550B6" w:rsidRDefault="003F0A52" w:rsidP="00F07F9B">
      <w:pPr>
        <w:pStyle w:val="OutlineNumbered1"/>
        <w:numPr>
          <w:ilvl w:val="0"/>
          <w:numId w:val="15"/>
        </w:numPr>
        <w:tabs>
          <w:tab w:val="left" w:pos="0"/>
        </w:tabs>
        <w:jc w:val="left"/>
        <w:rPr>
          <w:rFonts w:cs="Calibri Light"/>
          <w:iCs/>
          <w:sz w:val="20"/>
        </w:rPr>
      </w:pPr>
      <w:r w:rsidRPr="00F550B6">
        <w:rPr>
          <w:rFonts w:cs="Calibri Light"/>
          <w:iCs/>
          <w:sz w:val="20"/>
        </w:rPr>
        <w:t>Other statements appear to be overbroad and/or ignore additional facts and context provided in the sources cited as references.</w:t>
      </w:r>
    </w:p>
    <w:p w14:paraId="4E257D07" w14:textId="7F60ACC2" w:rsidR="003F0A52" w:rsidRPr="00F550B6" w:rsidRDefault="003F0A52" w:rsidP="00F07F9B">
      <w:pPr>
        <w:pStyle w:val="OutlineNumbered1"/>
        <w:numPr>
          <w:ilvl w:val="0"/>
          <w:numId w:val="16"/>
        </w:numPr>
        <w:tabs>
          <w:tab w:val="left" w:pos="0"/>
        </w:tabs>
        <w:jc w:val="left"/>
        <w:rPr>
          <w:rFonts w:cs="Calibri Light"/>
          <w:iCs/>
          <w:sz w:val="20"/>
        </w:rPr>
      </w:pPr>
      <w:r w:rsidRPr="00F550B6">
        <w:rPr>
          <w:rFonts w:cs="Calibri Light"/>
          <w:iCs/>
          <w:sz w:val="20"/>
        </w:rPr>
        <w:t>Paragraph 55 sets forth that the manufacturing process for Agent Orange introduced TCDD as a toxic contaminant, however, “[t]he timing of what was known by who is contested.” To reflect this purportedly contested state of knowledge, the Final Statement includes the point, “A 1985 Australian Royal Commission report says that in 1952, Monsanto had warned some U.S. military personnel of the TCDD ‘by-product’ but that its toxicity was not then well known.”</w:t>
      </w:r>
    </w:p>
    <w:p w14:paraId="2F3D4152" w14:textId="77777777"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First, in connection with Monsanto’s 1952 “warning,” the Royal Commission report notes that research at that time regarding Monsanto’s TCDD incidence concluded that “there were no long-term signs or symptoms other than persistent chloracne,” a skin condition; however, paragraph 55 does not incorporate this detail as to what was known about any toxicity of TCDD.</w:t>
      </w:r>
    </w:p>
    <w:p w14:paraId="5BFFAE32" w14:textId="77777777"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Second, paragraph 55 ignores the pertinent context provided in TDCC’s prior response regarding the U.S. government’s consideration of the toxic risk of exposure to TDCC from Agent Orange as used in Vietnam, which is based on U.S. court rulings. Those rulings recognized that the U.S. government determined that “Agent Orange as then being manufactured posed no unacceptable hazard for the wartime uses for which it was intended.” To the extent paragraph 55 speaks to what was known as being contested, the knowledge of the U.S. government should be included for appropriate balance.</w:t>
      </w:r>
    </w:p>
    <w:p w14:paraId="7ACA91F9" w14:textId="77777777"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Paragraph 55 should be revised to provide a more balanced discussion as follows:</w:t>
      </w:r>
    </w:p>
    <w:p w14:paraId="484EE72E" w14:textId="1BF00569"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lastRenderedPageBreak/>
        <w:t>It was discovered that the manufacturing process for Agent Orange introduced a contaminant known as TCDD, which is toxic. The timing of what was known by who is contested. Some commentary says the presence of TCDD as a contaminant in 2,4,5-T was first documented in 1957 and concerns about TCDD levels in 2,4,5-T were reported in 1964.</w:t>
      </w:r>
      <w:r w:rsidR="00384643" w:rsidRPr="00F550B6">
        <w:rPr>
          <w:rStyle w:val="FootnoteReference"/>
          <w:rFonts w:cs="Calibri Light"/>
          <w:iCs/>
          <w:szCs w:val="18"/>
        </w:rPr>
        <w:footnoteReference w:id="46"/>
      </w:r>
      <w:r w:rsidRPr="00F550B6">
        <w:rPr>
          <w:rFonts w:cs="Calibri Light"/>
          <w:iCs/>
          <w:sz w:val="18"/>
          <w:szCs w:val="18"/>
        </w:rPr>
        <w:t xml:space="preserve"> A 1985 Australian Royal Commission report says that in 1952, Monsanto had warned some US military personnel of the TCDD ‘by-product’, though research at the time indicated “there were no long-term signs or symptoms other than persistent chloracne,” a skin condition.</w:t>
      </w:r>
      <w:r w:rsidR="00384643" w:rsidRPr="00F550B6">
        <w:rPr>
          <w:rStyle w:val="FootnoteReference"/>
          <w:rFonts w:cs="Calibri Light"/>
          <w:iCs/>
          <w:szCs w:val="18"/>
        </w:rPr>
        <w:footnoteReference w:id="47"/>
      </w:r>
      <w:r w:rsidRPr="00F550B6">
        <w:rPr>
          <w:rFonts w:cs="Calibri Light"/>
          <w:iCs/>
          <w:sz w:val="18"/>
          <w:szCs w:val="18"/>
        </w:rPr>
        <w:t xml:space="preserve"> U.S. courts examining the U.S. government’s consideration of toxic risks in the use of Agent Orange concluded that the government determined, “Agent Orange as then being manufactured posed no unacceptable hazard for the wartime uses for which it was intended.”</w:t>
      </w:r>
      <w:r w:rsidR="00384643" w:rsidRPr="00F550B6">
        <w:rPr>
          <w:rStyle w:val="FootnoteReference"/>
          <w:rFonts w:cs="Calibri Light"/>
          <w:iCs/>
          <w:szCs w:val="18"/>
        </w:rPr>
        <w:footnoteReference w:id="48"/>
      </w:r>
    </w:p>
    <w:p w14:paraId="1607B4F1" w14:textId="66775561" w:rsidR="003F0A52" w:rsidRPr="00F550B6" w:rsidRDefault="003F0A52" w:rsidP="00F07F9B">
      <w:pPr>
        <w:pStyle w:val="OutlineNumbered1"/>
        <w:numPr>
          <w:ilvl w:val="0"/>
          <w:numId w:val="16"/>
        </w:numPr>
        <w:tabs>
          <w:tab w:val="left" w:pos="0"/>
        </w:tabs>
        <w:jc w:val="left"/>
        <w:rPr>
          <w:rFonts w:cs="Calibri Light"/>
          <w:iCs/>
          <w:sz w:val="20"/>
        </w:rPr>
      </w:pPr>
      <w:r w:rsidRPr="00F550B6">
        <w:rPr>
          <w:rFonts w:cs="Calibri Light"/>
          <w:iCs/>
          <w:sz w:val="20"/>
        </w:rPr>
        <w:t>Paragraph 55.1 refers to Dow’s suspension of production in 1964 “because of TCDD contamination problems.” In TDCC’s prior response, we already elaborated the facts of this incidence of workplace exposure to TCDD in waste oil associated with the manufacturing of 2,4,5-T. In addition, note the Statement’s supporting reference for this paragraph, Young 2022, section 11.2.1 describes the circumstances:</w:t>
      </w:r>
    </w:p>
    <w:p w14:paraId="1A9CA718" w14:textId="77777777"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t>The Company [TDCC] closed their production facilities and made extensive modification in the reaction conditions for the synthesis of trichlorophenol. By late 1965, the modified technology developed by Dow Chemical Company, permitted production of 2,4,5-T containing no more than 1 parts-per-million (ppm) TCDD.</w:t>
      </w:r>
    </w:p>
    <w:p w14:paraId="7F1B832F" w14:textId="001C8A14"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Inasmuch as the Final Statement cites to Young 2022, this additional excerpt should be included.</w:t>
      </w:r>
      <w:r w:rsidR="00F11280" w:rsidRPr="00F550B6">
        <w:rPr>
          <w:rFonts w:cs="Calibri Light"/>
          <w:iCs/>
          <w:sz w:val="20"/>
        </w:rPr>
        <w:t xml:space="preserve"> </w:t>
      </w:r>
      <w:r w:rsidRPr="00F550B6">
        <w:rPr>
          <w:rFonts w:cs="Calibri Light"/>
          <w:iCs/>
          <w:sz w:val="20"/>
        </w:rPr>
        <w:t>Paragraph 55.1 should be revised as follows, including amplification of the footnote:</w:t>
      </w:r>
    </w:p>
    <w:p w14:paraId="5D8490E4" w14:textId="20CDB71E"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t>Dow temporarily ceased production in 1964 because of TCDD contamination problems related to workplace exposure.</w:t>
      </w:r>
      <w:r w:rsidR="00384643" w:rsidRPr="00F550B6">
        <w:rPr>
          <w:rStyle w:val="FootnoteReference"/>
          <w:rFonts w:cs="Calibri Light"/>
          <w:iCs/>
          <w:szCs w:val="18"/>
        </w:rPr>
        <w:footnoteReference w:id="49"/>
      </w:r>
    </w:p>
    <w:p w14:paraId="41B76D8B" w14:textId="130035ED" w:rsidR="003F0A52" w:rsidRPr="00F550B6" w:rsidRDefault="003F0A52" w:rsidP="00F07F9B">
      <w:pPr>
        <w:pStyle w:val="OutlineNumbered1"/>
        <w:numPr>
          <w:ilvl w:val="0"/>
          <w:numId w:val="16"/>
        </w:numPr>
        <w:tabs>
          <w:tab w:val="left" w:pos="0"/>
        </w:tabs>
        <w:jc w:val="left"/>
        <w:rPr>
          <w:rFonts w:cs="Calibri Light"/>
          <w:iCs/>
          <w:sz w:val="20"/>
        </w:rPr>
      </w:pPr>
      <w:r w:rsidRPr="00F550B6">
        <w:rPr>
          <w:rFonts w:cs="Calibri Light"/>
          <w:iCs/>
          <w:sz w:val="20"/>
        </w:rPr>
        <w:t>Paragraph 55.2 states, “studies in the late 1960s identified TCDD caused birth defects in mice.” Again, as stated, this contention is overbroad and mischaracterizes the science. Indeed, the Royal Commission report (which the Final Statement ignores as a source on this particular topic) describes the subject study as “a study funded by the National Cancer Institute which suggested that 2,4,5-T was teratogenic in rats and mice.” (Royal Commission Report, page I-39) Notably, “teratogenicity” refers specifically to birth defect resulting from maternal exposure during pregnancy, so, this suggested finding did not equate to a broad causal finding of birth defects as paragraph 55.2 would now purport.</w:t>
      </w:r>
    </w:p>
    <w:p w14:paraId="34F24ADC" w14:textId="77777777"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 xml:space="preserve">Furthermore, from the sources on which the Final Statement does rely for this topic, the Final Statement omits clarifying detail on the study from Young 2022, section 11.2.2, which remarks on the elevated concentration of TCDD in the samples used in the study, “When the article was published, it contained a footnote indicting that the original sample of 2,4,5-T used in the screening tests contained </w:t>
      </w:r>
      <w:r w:rsidRPr="00F550B6">
        <w:rPr>
          <w:rFonts w:cs="Calibri Light"/>
          <w:iCs/>
          <w:sz w:val="20"/>
        </w:rPr>
        <w:lastRenderedPageBreak/>
        <w:t>approximately 30 ppm TCDD.” The Royal Commission report also references that female rodents were given significant doses early in their pregnancies. (Page I-39)</w:t>
      </w:r>
    </w:p>
    <w:p w14:paraId="4E2E99D6" w14:textId="77777777" w:rsidR="003F0A52" w:rsidRPr="00F550B6" w:rsidRDefault="003F0A52" w:rsidP="00F07F9B">
      <w:pPr>
        <w:pStyle w:val="OutlineNumbered1"/>
        <w:numPr>
          <w:ilvl w:val="0"/>
          <w:numId w:val="0"/>
        </w:numPr>
        <w:tabs>
          <w:tab w:val="left" w:pos="0"/>
        </w:tabs>
        <w:ind w:left="720"/>
        <w:jc w:val="left"/>
        <w:rPr>
          <w:rFonts w:cs="Calibri Light"/>
          <w:iCs/>
          <w:sz w:val="20"/>
        </w:rPr>
      </w:pPr>
      <w:r w:rsidRPr="00F550B6">
        <w:rPr>
          <w:rFonts w:cs="Calibri Light"/>
          <w:iCs/>
          <w:sz w:val="20"/>
        </w:rPr>
        <w:t xml:space="preserve">Thus, paragraph 55.2 should be revised as follows, relying on the Royal Commission’s description of this event and elaborating the facts from the </w:t>
      </w:r>
      <w:proofErr w:type="gramStart"/>
      <w:r w:rsidRPr="00F550B6">
        <w:rPr>
          <w:rFonts w:cs="Calibri Light"/>
          <w:iCs/>
          <w:sz w:val="20"/>
        </w:rPr>
        <w:t>Young</w:t>
      </w:r>
      <w:proofErr w:type="gramEnd"/>
      <w:r w:rsidRPr="00F550B6">
        <w:rPr>
          <w:rFonts w:cs="Calibri Light"/>
          <w:iCs/>
          <w:sz w:val="20"/>
        </w:rPr>
        <w:t xml:space="preserve"> volume:</w:t>
      </w:r>
    </w:p>
    <w:p w14:paraId="6CD07E42" w14:textId="464B75EE" w:rsidR="003F0A52" w:rsidRPr="00F550B6" w:rsidRDefault="003F0A52" w:rsidP="00F07F9B">
      <w:pPr>
        <w:pStyle w:val="OutlineNumbered1"/>
        <w:numPr>
          <w:ilvl w:val="0"/>
          <w:numId w:val="0"/>
        </w:numPr>
        <w:ind w:left="1134"/>
        <w:jc w:val="left"/>
        <w:rPr>
          <w:rFonts w:cs="Calibri Light"/>
          <w:iCs/>
          <w:sz w:val="18"/>
          <w:szCs w:val="18"/>
        </w:rPr>
      </w:pPr>
      <w:r w:rsidRPr="00F550B6">
        <w:rPr>
          <w:rFonts w:cs="Calibri Light"/>
          <w:iCs/>
          <w:sz w:val="18"/>
          <w:szCs w:val="18"/>
        </w:rPr>
        <w:t>studies in the late 1960s suggested that 2,4,5-T was teratogenic in rats and mice</w:t>
      </w:r>
      <w:r w:rsidR="00384643" w:rsidRPr="00F550B6">
        <w:rPr>
          <w:rStyle w:val="FootnoteReference"/>
          <w:rFonts w:cs="Calibri Light"/>
          <w:iCs/>
          <w:szCs w:val="18"/>
        </w:rPr>
        <w:footnoteReference w:id="50"/>
      </w:r>
    </w:p>
    <w:p w14:paraId="53CED3E1" w14:textId="7CC5D062" w:rsidR="003F0A52" w:rsidRPr="00F550B6" w:rsidRDefault="003F0A52" w:rsidP="00F07F9B">
      <w:pPr>
        <w:pStyle w:val="OutlineNumbered1"/>
        <w:numPr>
          <w:ilvl w:val="0"/>
          <w:numId w:val="16"/>
        </w:numPr>
        <w:tabs>
          <w:tab w:val="left" w:pos="0"/>
        </w:tabs>
        <w:jc w:val="left"/>
        <w:rPr>
          <w:rFonts w:cs="Calibri Light"/>
          <w:iCs/>
          <w:sz w:val="20"/>
        </w:rPr>
      </w:pPr>
      <w:r w:rsidRPr="00F550B6">
        <w:rPr>
          <w:rFonts w:cs="Calibri Light"/>
          <w:iCs/>
          <w:sz w:val="20"/>
        </w:rPr>
        <w:t>Per the discussion in item 2 above regarding paragraph 54 and the dispute over exposure, it would be appropriate in paragraph 59.2 to refer to “personnel who were [allegedly] exposed to Agent Orange at that time such as Australia and New Zealand.” Again, as reflected in TDCC’s prior response to AusNCP letter of 11 July 2025 and the foregoing, TDCC did not and does not concur with the observations regarding the complaint as contained in paragraphs 50-60 of the draft Final Statement.</w:t>
      </w:r>
    </w:p>
    <w:p w14:paraId="079CAF20" w14:textId="75E54644" w:rsidR="003F0A52" w:rsidRPr="00F550B6" w:rsidRDefault="003F0A52" w:rsidP="00F07F9B">
      <w:pPr>
        <w:pStyle w:val="OutlineNumbered1"/>
        <w:numPr>
          <w:ilvl w:val="0"/>
          <w:numId w:val="0"/>
        </w:numPr>
        <w:jc w:val="left"/>
        <w:rPr>
          <w:rFonts w:cs="Calibri Light"/>
          <w:iCs/>
          <w:sz w:val="20"/>
        </w:rPr>
      </w:pPr>
      <w:r w:rsidRPr="00F550B6">
        <w:rPr>
          <w:rFonts w:cs="Calibri Light"/>
          <w:iCs/>
          <w:sz w:val="20"/>
        </w:rPr>
        <w:t>Accordingly, TDCC would respectfully urge that: (</w:t>
      </w:r>
      <w:proofErr w:type="spellStart"/>
      <w:r w:rsidRPr="00F550B6">
        <w:rPr>
          <w:rFonts w:cs="Calibri Light"/>
          <w:iCs/>
          <w:sz w:val="20"/>
        </w:rPr>
        <w:t>i</w:t>
      </w:r>
      <w:proofErr w:type="spellEnd"/>
      <w:r w:rsidRPr="00F550B6">
        <w:rPr>
          <w:rFonts w:cs="Calibri Light"/>
          <w:iCs/>
          <w:sz w:val="20"/>
        </w:rPr>
        <w:t>) those paragraphs should be modified as suggested above, (ii) the annex to the Final Statement should be amended to include the entirety of TDCC’s prior response and this communication, and (iii) paragraphs 61 and 62 amended to accurately describe the process and exchange with TDCC.</w:t>
      </w:r>
    </w:p>
    <w:p w14:paraId="2CAA5C7F" w14:textId="706D2AF2" w:rsidR="00D23C48" w:rsidRPr="00F550B6" w:rsidRDefault="00384643" w:rsidP="00F07F9B">
      <w:pPr>
        <w:pStyle w:val="OutlineNumbered1"/>
        <w:keepNext/>
        <w:numPr>
          <w:ilvl w:val="0"/>
          <w:numId w:val="0"/>
        </w:numPr>
        <w:ind w:left="454" w:hanging="454"/>
        <w:rPr>
          <w:rFonts w:cs="Calibri Light"/>
          <w:b/>
          <w:bCs/>
          <w:u w:val="single"/>
        </w:rPr>
      </w:pPr>
      <w:r w:rsidRPr="00F550B6">
        <w:rPr>
          <w:rFonts w:cs="Calibri Light"/>
          <w:b/>
          <w:bCs/>
          <w:u w:val="single"/>
        </w:rPr>
        <w:t>August 2025</w:t>
      </w:r>
    </w:p>
    <w:p w14:paraId="2BBFF1D6" w14:textId="51529FEC"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The Dow Chemical Company (“TDCC”) hereby responds to the Australian National Contact Point for Responsible Business Conduct’s (“AusNCP”) letter dated 11 July 2025 in connection with AusNCP Complaint 36 / OECD</w:t>
      </w:r>
      <w:r w:rsidR="00123720" w:rsidRPr="00F550B6">
        <w:rPr>
          <w:rFonts w:cs="Calibri Light"/>
          <w:iCs/>
          <w:sz w:val="20"/>
        </w:rPr>
        <w:t> </w:t>
      </w:r>
      <w:r w:rsidRPr="00F550B6">
        <w:rPr>
          <w:rFonts w:cs="Calibri Light"/>
          <w:iCs/>
          <w:sz w:val="20"/>
        </w:rPr>
        <w:t>Guidelines complaint regarding Agent Orange. Please note that while the letter is addressed to Dow Inc., based on the complaint’s designation of “Dow Chemical Company (now Dow Inc.)” as an involved company, TDCC was the entity involved with the production of Agent Orange for the US government and continues to exist as a separate legal entity. Accordingly, TDCC is the proper party to this matter.</w:t>
      </w:r>
    </w:p>
    <w:p w14:paraId="7DAD6A31" w14:textId="77777777"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 xml:space="preserve">TDCC concurs with </w:t>
      </w:r>
      <w:proofErr w:type="spellStart"/>
      <w:r w:rsidRPr="00F550B6">
        <w:rPr>
          <w:rFonts w:cs="Calibri Light"/>
          <w:iCs/>
          <w:sz w:val="20"/>
        </w:rPr>
        <w:t>AusNCP’s</w:t>
      </w:r>
      <w:proofErr w:type="spellEnd"/>
      <w:r w:rsidRPr="00F550B6">
        <w:rPr>
          <w:rFonts w:cs="Calibri Light"/>
          <w:iCs/>
          <w:sz w:val="20"/>
        </w:rPr>
        <w:t xml:space="preserve"> preliminary assessment that “the AusNCP is not the correct body to handle this </w:t>
      </w:r>
      <w:proofErr w:type="gramStart"/>
      <w:r w:rsidRPr="00F550B6">
        <w:rPr>
          <w:rFonts w:cs="Calibri Light"/>
          <w:iCs/>
          <w:sz w:val="20"/>
        </w:rPr>
        <w:t>complaint</w:t>
      </w:r>
      <w:proofErr w:type="gramEnd"/>
      <w:r w:rsidRPr="00F550B6">
        <w:rPr>
          <w:rFonts w:cs="Calibri Light"/>
          <w:iCs/>
          <w:sz w:val="20"/>
        </w:rPr>
        <w:t xml:space="preserve"> and it should be transferred to the US National Contact Point” and has no objection to such proposed transfer.</w:t>
      </w:r>
    </w:p>
    <w:p w14:paraId="00CFD6A3" w14:textId="251E89C1"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 xml:space="preserve">As correctly observed as a basis for transfer, “There is nothing indicating the relevant decisions and actions of Dow and Monsanto were specific or particular to Australia” </w:t>
      </w:r>
      <w:r w:rsidR="006753FE" w:rsidRPr="00F550B6">
        <w:rPr>
          <w:rFonts w:cs="Calibri Light"/>
          <w:iCs/>
          <w:sz w:val="20"/>
        </w:rPr>
        <w:t>(</w:t>
      </w:r>
      <w:r w:rsidRPr="00F550B6">
        <w:rPr>
          <w:rFonts w:cs="Calibri Light"/>
          <w:iCs/>
          <w:sz w:val="20"/>
        </w:rPr>
        <w:t>3(b)); rather, as described below, all pertinent aspects of the US military’s defoliation program and TDCC’s involvement in it as a manufacturer of Agent Orange relate to the United States. The matter of Agent Orange claims by veterans and their progeny has been extensively litigated in the US courts, whose findings reflect that the decision-making, development and use of Agent Orange was the province of the US government. That decision-making included consideration of potential human health risks arising out of exposure to Agent Orange and its trace dioxin contaminant in Vietnam. Agent Orange was manufactured according to the military’s specification and only during the Vietnam War; it was distinct and separate from commercially available herbicides utilizing 2,4,5-T and 2,4-D components.</w:t>
      </w:r>
    </w:p>
    <w:p w14:paraId="5967A96E" w14:textId="5B42380C"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 xml:space="preserve">Allegations concerning TDCC’s awareness of risks associated with exposure to Agent Orange or dioxin likewise relate to conduct in the United States. As noted above, consideration of human health risks arising out of exposure to Agent Orange took place in the United States as the government decided on its herbicide formulations. The courts have determined that TDCC did not fail to advise the government of risks of which it </w:t>
      </w:r>
      <w:r w:rsidRPr="00F550B6">
        <w:rPr>
          <w:rFonts w:cs="Calibri Light"/>
          <w:iCs/>
          <w:sz w:val="20"/>
        </w:rPr>
        <w:lastRenderedPageBreak/>
        <w:t xml:space="preserve">was </w:t>
      </w:r>
      <w:proofErr w:type="gramStart"/>
      <w:r w:rsidRPr="00F550B6">
        <w:rPr>
          <w:rFonts w:cs="Calibri Light"/>
          <w:iCs/>
          <w:sz w:val="20"/>
        </w:rPr>
        <w:t>aware</w:t>
      </w:r>
      <w:proofErr w:type="gramEnd"/>
      <w:r w:rsidRPr="00F550B6">
        <w:rPr>
          <w:rFonts w:cs="Calibri Light"/>
          <w:iCs/>
          <w:sz w:val="20"/>
        </w:rPr>
        <w:t xml:space="preserve"> but the government was not. In addition, after the War and in conjunction with the US government’s Agent Orange veterans’ benefit scheme, the US government has undertaken the preeminent review of the science relating to Agent Orange-related health effects, as between 1994 and 2018, its Institute of Medicine (National Academy of Science) issued a series of 12 extensive literature reviews assessing “associations” between Agent Orange and health outcomes, encompassing thousands of papers and studies.</w:t>
      </w:r>
      <w:r w:rsidR="00084DF7" w:rsidRPr="00F550B6">
        <w:rPr>
          <w:rStyle w:val="FootnoteReference"/>
          <w:rFonts w:cs="Calibri Light"/>
          <w:iCs/>
        </w:rPr>
        <w:footnoteReference w:id="51"/>
      </w:r>
      <w:r w:rsidRPr="00F550B6">
        <w:rPr>
          <w:rFonts w:cs="Calibri Light"/>
          <w:iCs/>
          <w:sz w:val="20"/>
        </w:rPr>
        <w:t xml:space="preserve"> Note that even under the association standard, which is a lesser standard than causation, these reviews have found insufficient evidence to link Agent Orange with birth defects.</w:t>
      </w:r>
      <w:r w:rsidR="00084DF7" w:rsidRPr="00F550B6">
        <w:rPr>
          <w:rStyle w:val="FootnoteReference"/>
          <w:rFonts w:cs="Calibri Light"/>
          <w:iCs/>
        </w:rPr>
        <w:footnoteReference w:id="52"/>
      </w:r>
    </w:p>
    <w:p w14:paraId="78DBBA6C" w14:textId="224DFD93"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To elaborate pertinent background, Agent Orange was a combination of herbicide components 2,4,5-T and 2,4-D; however, the formulation was distinct from commercially available 2,4,5-T and 2,4-D products and was supplied only to the US military during the Vietnam War.</w:t>
      </w:r>
      <w:r w:rsidR="00084DF7" w:rsidRPr="00F550B6">
        <w:rPr>
          <w:rStyle w:val="FootnoteReference"/>
          <w:rFonts w:cs="Calibri Light"/>
          <w:iCs/>
        </w:rPr>
        <w:footnoteReference w:id="53"/>
      </w:r>
      <w:r w:rsidRPr="00F550B6">
        <w:rPr>
          <w:rFonts w:cs="Calibri Light"/>
          <w:iCs/>
          <w:sz w:val="20"/>
        </w:rPr>
        <w:t xml:space="preserve"> A concern over health risks from exposure to Agent Orange arises from the presence of the dioxin congener, 2,3,7,8-TCDD, as a contaminant in 2,4,5-T in trace amounts, i.e., concentrations of parts per million. While spray mission protocols would prevent troops from being in the area being sprayed, any actual exposure and intake of TCDD would have been even less than the initial concentration due to factors such as interception of the substance by the forest canopy and photodegradation of TCDD captured on the leaves</w:t>
      </w:r>
      <w:r w:rsidR="00084DF7" w:rsidRPr="00F550B6">
        <w:rPr>
          <w:rStyle w:val="FootnoteReference"/>
          <w:rFonts w:cs="Calibri Light"/>
          <w:iCs/>
        </w:rPr>
        <w:footnoteReference w:id="54"/>
      </w:r>
      <w:r w:rsidRPr="00F550B6">
        <w:rPr>
          <w:rFonts w:cs="Calibri Light"/>
          <w:iCs/>
          <w:sz w:val="20"/>
        </w:rPr>
        <w:t>; so, widespread exposure to a harmful dose of TCDD was highly unlikely.</w:t>
      </w:r>
    </w:p>
    <w:p w14:paraId="533ED342" w14:textId="39ABF787"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 xml:space="preserve">Allegations that the Agent Orange manufacturers were aware that 2,4,5-T presented a toxic risk have been based on incidents of chloracne, a skin disorder, in their workplaces. As alluded in the 11 July 2025 letter, TDCC experienced such a workplace incidence of chloracne in 1964. First, it has been recognized that this chloracne incidence was an issue of </w:t>
      </w:r>
      <w:r w:rsidRPr="00F550B6">
        <w:rPr>
          <w:rFonts w:cs="Calibri Light"/>
          <w:i/>
          <w:sz w:val="20"/>
          <w:u w:val="single"/>
        </w:rPr>
        <w:t>workplace</w:t>
      </w:r>
      <w:r w:rsidRPr="00F550B6">
        <w:rPr>
          <w:rFonts w:cs="Calibri Light"/>
          <w:iCs/>
          <w:sz w:val="20"/>
        </w:rPr>
        <w:t xml:space="preserve"> exposure, specifically, TCDD was detected in waste oil at the manufacturing plant, as opposed to a risk of TCDD exposure from the finished product.</w:t>
      </w:r>
      <w:r w:rsidR="00084DF7" w:rsidRPr="00F550B6">
        <w:rPr>
          <w:rStyle w:val="FootnoteReference"/>
          <w:rFonts w:cs="Calibri Light"/>
          <w:iCs/>
        </w:rPr>
        <w:footnoteReference w:id="55"/>
      </w:r>
      <w:r w:rsidRPr="00F550B6">
        <w:rPr>
          <w:rFonts w:cs="Calibri Light"/>
          <w:iCs/>
          <w:sz w:val="20"/>
        </w:rPr>
        <w:t xml:space="preserve"> Second, as the courts acknowledged, TDCC modified its production process whereby the 2,4,5-T in its Agent Orange would contain a TCDD concentration of no more than 1 part per million, employing what was the state of the art technology at the time to eliminate any chloracne hazard to workers or consumers.</w:t>
      </w:r>
      <w:r w:rsidR="00084DF7" w:rsidRPr="00F550B6">
        <w:rPr>
          <w:rStyle w:val="FootnoteReference"/>
          <w:rFonts w:cs="Calibri Light"/>
          <w:iCs/>
        </w:rPr>
        <w:footnoteReference w:id="56"/>
      </w:r>
    </w:p>
    <w:p w14:paraId="41EFFCA4" w14:textId="77777777"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lastRenderedPageBreak/>
        <w:t>In any event, the courts have moreover recognized that in formulating its specification for Agent Orange, the US government made its own assessment of the potential toxicity and concluded it “posed no unacceptable hazard for the wartime uses for which it was intended”:</w:t>
      </w:r>
    </w:p>
    <w:p w14:paraId="06C2FE04" w14:textId="77777777" w:rsidR="00384643" w:rsidRPr="00F550B6" w:rsidRDefault="00384643" w:rsidP="00F07F9B">
      <w:pPr>
        <w:pStyle w:val="OutlineNumbered1"/>
        <w:numPr>
          <w:ilvl w:val="0"/>
          <w:numId w:val="0"/>
        </w:numPr>
        <w:ind w:left="567"/>
        <w:jc w:val="left"/>
        <w:rPr>
          <w:rFonts w:cs="Calibri Light"/>
          <w:iCs/>
          <w:sz w:val="18"/>
          <w:szCs w:val="18"/>
        </w:rPr>
      </w:pPr>
      <w:r w:rsidRPr="00F550B6">
        <w:rPr>
          <w:rFonts w:cs="Calibri Light"/>
          <w:iCs/>
          <w:sz w:val="18"/>
          <w:szCs w:val="18"/>
        </w:rPr>
        <w:t>In other words, the Army examined the toxicology data available to it and concluded that Agent Orange’s components, 2,4,5-T and 2,4-D -- in the formulation that the Government, in its discretion, used when ordering it, and as it was then being manufactured -- posed “no health hazard” and were, at least under the circumstances of international armed conflict, suitable for use in Southeast Asia.</w:t>
      </w:r>
    </w:p>
    <w:p w14:paraId="79D86C82" w14:textId="77777777" w:rsidR="00384643" w:rsidRPr="00F550B6" w:rsidRDefault="00384643" w:rsidP="00F07F9B">
      <w:pPr>
        <w:pStyle w:val="OutlineNumbered1"/>
        <w:numPr>
          <w:ilvl w:val="0"/>
          <w:numId w:val="0"/>
        </w:numPr>
        <w:ind w:left="567"/>
        <w:jc w:val="left"/>
        <w:rPr>
          <w:rFonts w:cs="Calibri Light"/>
          <w:iCs/>
          <w:sz w:val="18"/>
          <w:szCs w:val="18"/>
        </w:rPr>
      </w:pPr>
      <w:r w:rsidRPr="00F550B6">
        <w:rPr>
          <w:rFonts w:cs="Calibri Light"/>
          <w:iCs/>
          <w:sz w:val="18"/>
          <w:szCs w:val="18"/>
        </w:rPr>
        <w:t>...</w:t>
      </w:r>
    </w:p>
    <w:p w14:paraId="7EC7B960" w14:textId="227DC33B" w:rsidR="00384643" w:rsidRPr="00F550B6" w:rsidRDefault="00384643" w:rsidP="00F07F9B">
      <w:pPr>
        <w:pStyle w:val="OutlineNumbered1"/>
        <w:numPr>
          <w:ilvl w:val="0"/>
          <w:numId w:val="0"/>
        </w:numPr>
        <w:ind w:left="567"/>
        <w:jc w:val="left"/>
        <w:rPr>
          <w:rFonts w:cs="Calibri Light"/>
          <w:iCs/>
          <w:sz w:val="18"/>
          <w:szCs w:val="18"/>
        </w:rPr>
      </w:pPr>
      <w:r w:rsidRPr="00F550B6">
        <w:rPr>
          <w:rFonts w:cs="Calibri Light"/>
          <w:iCs/>
          <w:sz w:val="18"/>
          <w:szCs w:val="18"/>
        </w:rPr>
        <w:t>The Government made an express determination, based on the knowledge available to it at the time, that Agent Orange as then being manufactured posed no unacceptable hazard for the wartime uses for which it was intended, and that the product should continue to be manufactured and supplied to it.</w:t>
      </w:r>
      <w:r w:rsidR="00084DF7" w:rsidRPr="00F550B6">
        <w:rPr>
          <w:rStyle w:val="FootnoteReference"/>
          <w:rFonts w:cs="Calibri Light"/>
          <w:iCs/>
          <w:szCs w:val="18"/>
        </w:rPr>
        <w:footnoteReference w:id="57"/>
      </w:r>
    </w:p>
    <w:p w14:paraId="4F1F8558" w14:textId="77777777"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Likewise, the courts have concluded that apart from the risk of workplace chloracne, the manufacturers knew of no health risks from exposure to Agent Orange as it was to be used in wartime conditions:</w:t>
      </w:r>
    </w:p>
    <w:p w14:paraId="074B6959" w14:textId="7FDB45AA" w:rsidR="00384643" w:rsidRPr="00F550B6" w:rsidRDefault="00384643" w:rsidP="00F07F9B">
      <w:pPr>
        <w:pStyle w:val="OutlineNumbered1"/>
        <w:numPr>
          <w:ilvl w:val="0"/>
          <w:numId w:val="0"/>
        </w:numPr>
        <w:ind w:left="567"/>
        <w:jc w:val="left"/>
        <w:rPr>
          <w:rFonts w:cs="Calibri Light"/>
          <w:iCs/>
          <w:sz w:val="18"/>
          <w:szCs w:val="18"/>
        </w:rPr>
      </w:pPr>
      <w:r w:rsidRPr="00F550B6">
        <w:rPr>
          <w:rFonts w:cs="Calibri Light"/>
          <w:iCs/>
          <w:sz w:val="18"/>
          <w:szCs w:val="18"/>
        </w:rPr>
        <w:t>There is no evidence to which we have been directed or that we have otherwise found that the defendants' knowledge of 2,4,5-T's risks extended to dioxin as a carcinogen, as a toxin that potentially might cause diseases long after exposure, or as a significant health risk (apart from chloracne) to those exposed to herbicides containing 2,4,5-T being used as such, in wartime conditions or otherwise, except for workers manufacturing them or their component chemicals.</w:t>
      </w:r>
      <w:r w:rsidR="00084DF7" w:rsidRPr="00F550B6">
        <w:rPr>
          <w:rStyle w:val="FootnoteReference"/>
          <w:rFonts w:cs="Calibri Light"/>
          <w:iCs/>
          <w:szCs w:val="18"/>
        </w:rPr>
        <w:footnoteReference w:id="58"/>
      </w:r>
    </w:p>
    <w:p w14:paraId="73152FC7" w14:textId="77777777"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In sum, the matters relating to the development of the herbicide, including the consideration of any toxic risks, by and among the US government, TDCC and other manufacturers, are related to and concern conduct in the United States and transfer of this matter to the US NCP would be appropriate.</w:t>
      </w:r>
    </w:p>
    <w:p w14:paraId="4160FC18" w14:textId="39226E14" w:rsidR="00384643" w:rsidRPr="00F550B6" w:rsidRDefault="00384643" w:rsidP="00F07F9B">
      <w:pPr>
        <w:pStyle w:val="OutlineNumbered1"/>
        <w:numPr>
          <w:ilvl w:val="0"/>
          <w:numId w:val="0"/>
        </w:numPr>
        <w:jc w:val="left"/>
        <w:rPr>
          <w:rFonts w:cs="Calibri Light"/>
          <w:iCs/>
          <w:sz w:val="20"/>
        </w:rPr>
      </w:pPr>
      <w:r w:rsidRPr="00F550B6">
        <w:rPr>
          <w:rFonts w:cs="Calibri Light"/>
          <w:iCs/>
          <w:sz w:val="20"/>
        </w:rPr>
        <w:t>Issues of Agent Orange science are also inimitably linked to the United States. The matter of Agent Orange causation has been considered in the course of the US litigation, with the courts finding the lack of a causal link between Agent Orange and diseases other than chloracne.</w:t>
      </w:r>
      <w:r w:rsidR="00084DF7" w:rsidRPr="00F550B6">
        <w:rPr>
          <w:rStyle w:val="FootnoteReference"/>
          <w:rFonts w:cs="Calibri Light"/>
          <w:iCs/>
        </w:rPr>
        <w:footnoteReference w:id="59"/>
      </w:r>
    </w:p>
    <w:p w14:paraId="1071B1AD" w14:textId="6641ADFC" w:rsidR="00084DF7" w:rsidRPr="00F550B6" w:rsidRDefault="00084DF7" w:rsidP="00F07F9B">
      <w:pPr>
        <w:pStyle w:val="OutlineNumbered1"/>
        <w:numPr>
          <w:ilvl w:val="0"/>
          <w:numId w:val="0"/>
        </w:numPr>
        <w:jc w:val="left"/>
        <w:rPr>
          <w:rFonts w:cs="Calibri Light"/>
          <w:iCs/>
          <w:sz w:val="20"/>
        </w:rPr>
      </w:pPr>
      <w:r w:rsidRPr="00F550B6">
        <w:rPr>
          <w:rFonts w:cs="Calibri Light"/>
          <w:iCs/>
          <w:sz w:val="20"/>
        </w:rPr>
        <w:t>Rather than recovery from lawsuits against the manufacturers, US veterans (like their Australian counterparts) now receive compensation from the government for a set of diseases presumptively caused by exposure to Agent Orange, although such presumptions are based on “statistical associations,” which “are not equivalent to cause in a legal sense for such purposes as mass tort liabilities” against the manufacturers.</w:t>
      </w:r>
      <w:r w:rsidRPr="00F550B6">
        <w:rPr>
          <w:rStyle w:val="FootnoteReference"/>
          <w:rFonts w:cs="Calibri Light"/>
          <w:iCs/>
        </w:rPr>
        <w:footnoteReference w:id="60"/>
      </w:r>
    </w:p>
    <w:p w14:paraId="74B9F7F6" w14:textId="53BB68F4" w:rsidR="00084DF7" w:rsidRPr="00F550B6" w:rsidRDefault="00084DF7" w:rsidP="00F07F9B">
      <w:pPr>
        <w:pStyle w:val="OutlineNumbered1"/>
        <w:numPr>
          <w:ilvl w:val="0"/>
          <w:numId w:val="0"/>
        </w:numPr>
        <w:jc w:val="left"/>
        <w:rPr>
          <w:rFonts w:cs="Calibri Light"/>
          <w:iCs/>
          <w:sz w:val="20"/>
        </w:rPr>
      </w:pPr>
      <w:r w:rsidRPr="00F550B6">
        <w:rPr>
          <w:rFonts w:cs="Calibri Light"/>
          <w:iCs/>
          <w:sz w:val="20"/>
        </w:rPr>
        <w:lastRenderedPageBreak/>
        <w:t>Pertinent to the issue of birth defects raised by the underlying complaint, based on the literature reviews made by committees of the US Institute of Medicine (National Academy of Science), the US Veterans Administration does not provide benefits for the progeny of male veterans except for those suffering from one specific condition, spina bifida. With respect to spina bifida, while VA continues to provide such benefits as a policy matter, the current reviews of Agent Orange literature (2014 and 2018) determined there was inadequate or insufficient evidence of an association with spina bifida, along with not identifying any other associations between Agent Orange exposure and adverse outcomes in future generations.</w:t>
      </w:r>
      <w:r w:rsidRPr="00F550B6">
        <w:rPr>
          <w:rStyle w:val="FootnoteReference"/>
          <w:rFonts w:cs="Calibri Light"/>
          <w:iCs/>
        </w:rPr>
        <w:footnoteReference w:id="61"/>
      </w:r>
    </w:p>
    <w:p w14:paraId="1D6A8876" w14:textId="77777777" w:rsidR="00084DF7" w:rsidRPr="00F550B6" w:rsidRDefault="00084DF7" w:rsidP="00F07F9B">
      <w:pPr>
        <w:pStyle w:val="OutlineNumbered1"/>
        <w:numPr>
          <w:ilvl w:val="0"/>
          <w:numId w:val="0"/>
        </w:numPr>
        <w:jc w:val="left"/>
        <w:rPr>
          <w:rFonts w:cs="Calibri Light"/>
          <w:iCs/>
          <w:sz w:val="20"/>
        </w:rPr>
      </w:pPr>
      <w:r w:rsidRPr="00F550B6">
        <w:rPr>
          <w:rFonts w:cs="Calibri Light"/>
          <w:iCs/>
          <w:sz w:val="20"/>
        </w:rPr>
        <w:t>Thus, as with matters and issues involving the development and production of Agent Orange, the issues concerning Agent Orange science heavily involve the United States, which further supports the transfer of this matter to the US NCP.</w:t>
      </w:r>
    </w:p>
    <w:p w14:paraId="1B01E685" w14:textId="77777777" w:rsidR="00084DF7" w:rsidRPr="00F550B6" w:rsidRDefault="00084DF7" w:rsidP="00F07F9B">
      <w:pPr>
        <w:pStyle w:val="OutlineNumbered1"/>
        <w:numPr>
          <w:ilvl w:val="0"/>
          <w:numId w:val="0"/>
        </w:numPr>
        <w:jc w:val="left"/>
        <w:rPr>
          <w:rFonts w:cs="Calibri Light"/>
          <w:iCs/>
          <w:sz w:val="20"/>
        </w:rPr>
      </w:pPr>
      <w:r w:rsidRPr="00F550B6">
        <w:rPr>
          <w:rFonts w:cs="Calibri Light"/>
          <w:iCs/>
          <w:sz w:val="20"/>
        </w:rPr>
        <w:t xml:space="preserve">Lastly, as explained in a corresponding response to the 11 July 2025 letter by Dow Chemical (Australia) Pty Ltd, that entity has </w:t>
      </w:r>
      <w:proofErr w:type="gramStart"/>
      <w:r w:rsidRPr="00F550B6">
        <w:rPr>
          <w:rFonts w:cs="Calibri Light"/>
          <w:iCs/>
          <w:sz w:val="20"/>
        </w:rPr>
        <w:t>had no involvement</w:t>
      </w:r>
      <w:proofErr w:type="gramEnd"/>
      <w:r w:rsidRPr="00F550B6">
        <w:rPr>
          <w:rFonts w:cs="Calibri Light"/>
          <w:iCs/>
          <w:sz w:val="20"/>
        </w:rPr>
        <w:t xml:space="preserve"> with Agent Orange at any time and is not a proper respondent party to the notifier’s complaint. Notifier’s allegations concerning Dow Chemical (Australia) and other Australian connections do not provide a basis for the AusNCP to retain this Agent Orange matter and transfer to US NCP should not be withheld.</w:t>
      </w:r>
    </w:p>
    <w:p w14:paraId="3C8C6A0D" w14:textId="33CB5CE7" w:rsidR="00E8133D" w:rsidRPr="00F11280" w:rsidRDefault="00084DF7" w:rsidP="00F07F9B">
      <w:pPr>
        <w:pStyle w:val="OutlineNumbered1"/>
        <w:numPr>
          <w:ilvl w:val="0"/>
          <w:numId w:val="0"/>
        </w:numPr>
        <w:rPr>
          <w:iCs/>
          <w:sz w:val="20"/>
        </w:rPr>
      </w:pPr>
      <w:r w:rsidRPr="00F550B6">
        <w:rPr>
          <w:rFonts w:cs="Calibri Light"/>
          <w:iCs/>
          <w:sz w:val="20"/>
        </w:rPr>
        <w:t xml:space="preserve">For the foregoing reasons, TDCC concurs with the </w:t>
      </w:r>
      <w:proofErr w:type="spellStart"/>
      <w:r w:rsidRPr="00F550B6">
        <w:rPr>
          <w:rFonts w:cs="Calibri Light"/>
          <w:iCs/>
          <w:sz w:val="20"/>
        </w:rPr>
        <w:t>AusNCP’s</w:t>
      </w:r>
      <w:proofErr w:type="spellEnd"/>
      <w:r w:rsidRPr="00F550B6">
        <w:rPr>
          <w:rFonts w:cs="Calibri Light"/>
          <w:iCs/>
          <w:sz w:val="20"/>
        </w:rPr>
        <w:t xml:space="preserve"> assessment to transfer this complaint to US NCP and requests that such transfer be so made.</w:t>
      </w:r>
      <w:bookmarkStart w:id="47" w:name="_Toc211334206"/>
      <w:bookmarkStart w:id="48" w:name="_Toc116382022"/>
      <w:r w:rsidR="00E8133D" w:rsidRPr="00C05E7B">
        <w:br w:type="page"/>
      </w:r>
    </w:p>
    <w:p w14:paraId="68B2E938" w14:textId="0B4217BC" w:rsidR="00715E4A" w:rsidRPr="00C05E7B" w:rsidRDefault="0069180D" w:rsidP="004E4248">
      <w:pPr>
        <w:pStyle w:val="Heading2"/>
      </w:pPr>
      <w:bookmarkStart w:id="49" w:name="_Toc219735250"/>
      <w:bookmarkStart w:id="50" w:name="_Toc230360320"/>
      <w:r w:rsidRPr="00C05E7B">
        <w:lastRenderedPageBreak/>
        <w:t xml:space="preserve">Annex </w:t>
      </w:r>
      <w:r w:rsidR="002344EC" w:rsidRPr="00C05E7B">
        <w:t>B</w:t>
      </w:r>
      <w:r w:rsidRPr="00C05E7B">
        <w:t xml:space="preserve">: </w:t>
      </w:r>
      <w:r w:rsidR="00715E4A" w:rsidRPr="00C05E7B">
        <w:t>Schedule of events</w:t>
      </w:r>
      <w:bookmarkEnd w:id="47"/>
      <w:bookmarkEnd w:id="49"/>
      <w:bookmarkEnd w:id="50"/>
      <w:r w:rsidR="00715E4A" w:rsidRPr="00C05E7B">
        <w:t xml:space="preserve"> </w:t>
      </w:r>
      <w:bookmarkEnd w:id="4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092"/>
      </w:tblGrid>
      <w:tr w:rsidR="00715E4A" w:rsidRPr="00F11280" w14:paraId="6C6E26AA" w14:textId="77777777" w:rsidTr="007A7F5B">
        <w:trPr>
          <w:trHeight w:val="275"/>
        </w:trPr>
        <w:tc>
          <w:tcPr>
            <w:tcW w:w="7230" w:type="dxa"/>
            <w:shd w:val="clear" w:color="auto" w:fill="3A87C8"/>
            <w:vAlign w:val="center"/>
          </w:tcPr>
          <w:p w14:paraId="32A9FF5B" w14:textId="77777777" w:rsidR="00715E4A" w:rsidRPr="008F09C0" w:rsidRDefault="00715E4A" w:rsidP="007A7F5B">
            <w:pPr>
              <w:pStyle w:val="TableColumnHeadingLeft-White"/>
              <w:rPr>
                <w:rFonts w:ascii="Calibri Light" w:hAnsi="Calibri Light"/>
                <w:color w:val="EEEEEE"/>
              </w:rPr>
            </w:pPr>
            <w:r w:rsidRPr="008F09C0">
              <w:rPr>
                <w:rFonts w:ascii="Calibri Light" w:hAnsi="Calibri Light"/>
                <w:color w:val="EEEEEE"/>
              </w:rPr>
              <w:t>Submission</w:t>
            </w:r>
          </w:p>
        </w:tc>
        <w:tc>
          <w:tcPr>
            <w:tcW w:w="2092" w:type="dxa"/>
            <w:shd w:val="clear" w:color="auto" w:fill="3A87C8"/>
            <w:vAlign w:val="center"/>
          </w:tcPr>
          <w:p w14:paraId="3EB6231F" w14:textId="77777777" w:rsidR="00715E4A" w:rsidRPr="008F09C0" w:rsidRDefault="00715E4A" w:rsidP="007A7F5B">
            <w:pPr>
              <w:pStyle w:val="TableColumnHeadingCentred"/>
              <w:jc w:val="left"/>
              <w:rPr>
                <w:color w:val="EEEEEE"/>
              </w:rPr>
            </w:pPr>
            <w:r w:rsidRPr="008F09C0">
              <w:rPr>
                <w:color w:val="EEEEEE"/>
              </w:rPr>
              <w:t>Date</w:t>
            </w:r>
          </w:p>
        </w:tc>
      </w:tr>
      <w:tr w:rsidR="00407E1A" w:rsidRPr="00F11280" w14:paraId="369E1057" w14:textId="77777777" w:rsidTr="007A7F5B">
        <w:tc>
          <w:tcPr>
            <w:tcW w:w="7230" w:type="dxa"/>
            <w:vAlign w:val="center"/>
          </w:tcPr>
          <w:p w14:paraId="58CE2FC2" w14:textId="07DCAE7C" w:rsidR="00407E1A" w:rsidRPr="00F11280" w:rsidRDefault="00407E1A" w:rsidP="007A7F5B">
            <w:pPr>
              <w:pStyle w:val="Bullet"/>
              <w:spacing w:before="40" w:after="40"/>
              <w:jc w:val="left"/>
              <w:rPr>
                <w:rFonts w:cs="Calibri Light"/>
              </w:rPr>
            </w:pPr>
            <w:r w:rsidRPr="00F11280">
              <w:rPr>
                <w:rFonts w:cs="Calibri Light"/>
              </w:rPr>
              <w:t>Notifier submitted complaint to</w:t>
            </w:r>
            <w:r w:rsidR="004436D3">
              <w:rPr>
                <w:rFonts w:cs="Calibri Light"/>
              </w:rPr>
              <w:t xml:space="preserve"> the</w:t>
            </w:r>
            <w:r w:rsidRPr="00F11280">
              <w:rPr>
                <w:rFonts w:cs="Calibri Light"/>
              </w:rPr>
              <w:t xml:space="preserve"> AusNCP</w:t>
            </w:r>
          </w:p>
        </w:tc>
        <w:tc>
          <w:tcPr>
            <w:tcW w:w="2092" w:type="dxa"/>
            <w:vAlign w:val="center"/>
          </w:tcPr>
          <w:p w14:paraId="790B03CF" w14:textId="58DCA276" w:rsidR="00407E1A" w:rsidRPr="00F11280" w:rsidRDefault="00B373D5"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13</w:t>
            </w:r>
            <w:r w:rsidR="00407E1A" w:rsidRPr="00F11280">
              <w:rPr>
                <w:rFonts w:cs="Calibri Light"/>
                <w:color w:val="000000" w:themeColor="text1"/>
                <w:sz w:val="22"/>
              </w:rPr>
              <w:t xml:space="preserve"> </w:t>
            </w:r>
            <w:r w:rsidRPr="00F11280">
              <w:rPr>
                <w:rFonts w:cs="Calibri Light"/>
                <w:color w:val="000000" w:themeColor="text1"/>
                <w:sz w:val="22"/>
              </w:rPr>
              <w:t>May</w:t>
            </w:r>
            <w:r w:rsidR="00407E1A" w:rsidRPr="00F11280">
              <w:rPr>
                <w:rFonts w:cs="Calibri Light"/>
                <w:color w:val="000000" w:themeColor="text1"/>
                <w:sz w:val="22"/>
              </w:rPr>
              <w:t xml:space="preserve"> </w:t>
            </w:r>
            <w:r w:rsidRPr="00F11280">
              <w:rPr>
                <w:rFonts w:cs="Calibri Light"/>
                <w:color w:val="000000" w:themeColor="text1"/>
                <w:sz w:val="22"/>
              </w:rPr>
              <w:t>2025</w:t>
            </w:r>
          </w:p>
        </w:tc>
      </w:tr>
      <w:tr w:rsidR="00407E1A" w:rsidRPr="00F11280" w14:paraId="73E7A4BF" w14:textId="77777777" w:rsidTr="007A7F5B">
        <w:tc>
          <w:tcPr>
            <w:tcW w:w="7230" w:type="dxa"/>
            <w:vAlign w:val="center"/>
          </w:tcPr>
          <w:p w14:paraId="68E5A20F" w14:textId="3E9B5FA1" w:rsidR="00407E1A" w:rsidRPr="00F11280" w:rsidRDefault="00407E1A" w:rsidP="007A7F5B">
            <w:pPr>
              <w:pStyle w:val="Bullet"/>
              <w:spacing w:before="40" w:after="40"/>
              <w:jc w:val="left"/>
              <w:rPr>
                <w:rFonts w:cs="Calibri Light"/>
              </w:rPr>
            </w:pPr>
            <w:r w:rsidRPr="00F11280">
              <w:rPr>
                <w:rFonts w:cs="Calibri Light"/>
              </w:rPr>
              <w:t>AusNCP acknowledged receipt and sought further information</w:t>
            </w:r>
          </w:p>
        </w:tc>
        <w:tc>
          <w:tcPr>
            <w:tcW w:w="2092" w:type="dxa"/>
            <w:vAlign w:val="center"/>
          </w:tcPr>
          <w:p w14:paraId="4C870C17" w14:textId="396B11D3" w:rsidR="00407E1A" w:rsidRPr="00F11280" w:rsidRDefault="00C13C2D"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19 May 2025</w:t>
            </w:r>
          </w:p>
        </w:tc>
      </w:tr>
      <w:tr w:rsidR="00B373D5" w:rsidRPr="00F11280" w14:paraId="461651A8" w14:textId="77777777" w:rsidTr="007A7F5B">
        <w:tc>
          <w:tcPr>
            <w:tcW w:w="7230" w:type="dxa"/>
            <w:vAlign w:val="center"/>
          </w:tcPr>
          <w:p w14:paraId="6A947969" w14:textId="45FE52E8" w:rsidR="00B373D5" w:rsidRPr="00F11280" w:rsidRDefault="00B373D5" w:rsidP="007A7F5B">
            <w:pPr>
              <w:pStyle w:val="Bullet"/>
              <w:spacing w:before="40" w:after="40"/>
              <w:jc w:val="left"/>
              <w:rPr>
                <w:rFonts w:cs="Calibri Light"/>
              </w:rPr>
            </w:pPr>
            <w:r w:rsidRPr="00F11280">
              <w:rPr>
                <w:rFonts w:cs="Calibri Light"/>
              </w:rPr>
              <w:t xml:space="preserve">Notifier submitted updated </w:t>
            </w:r>
            <w:r w:rsidR="004436D3">
              <w:rPr>
                <w:rFonts w:cs="Calibri Light"/>
              </w:rPr>
              <w:t xml:space="preserve">the </w:t>
            </w:r>
            <w:r w:rsidRPr="00F11280">
              <w:rPr>
                <w:rFonts w:cs="Calibri Light"/>
              </w:rPr>
              <w:t>complaint</w:t>
            </w:r>
          </w:p>
        </w:tc>
        <w:tc>
          <w:tcPr>
            <w:tcW w:w="2092" w:type="dxa"/>
            <w:vAlign w:val="center"/>
          </w:tcPr>
          <w:p w14:paraId="5D028E34" w14:textId="145D8A6D" w:rsidR="00B373D5" w:rsidRPr="00F11280" w:rsidRDefault="00B373D5"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19 May 2025</w:t>
            </w:r>
          </w:p>
        </w:tc>
      </w:tr>
      <w:tr w:rsidR="00715E4A" w:rsidRPr="00F11280" w14:paraId="68E13E96" w14:textId="77777777" w:rsidTr="007A7F5B">
        <w:trPr>
          <w:trHeight w:val="275"/>
        </w:trPr>
        <w:tc>
          <w:tcPr>
            <w:tcW w:w="7230" w:type="dxa"/>
            <w:shd w:val="clear" w:color="auto" w:fill="3A87C8"/>
            <w:vAlign w:val="center"/>
          </w:tcPr>
          <w:p w14:paraId="654DBEEF" w14:textId="77777777" w:rsidR="00715E4A" w:rsidRPr="008F09C0" w:rsidRDefault="00715E4A" w:rsidP="007A7F5B">
            <w:pPr>
              <w:pStyle w:val="TableColumnHeadingLeft-White"/>
              <w:rPr>
                <w:rFonts w:ascii="Calibri Light" w:hAnsi="Calibri Light"/>
              </w:rPr>
            </w:pPr>
            <w:r w:rsidRPr="008F09C0">
              <w:rPr>
                <w:rFonts w:ascii="Calibri Light" w:hAnsi="Calibri Light"/>
              </w:rPr>
              <w:t>Initial Assessment</w:t>
            </w:r>
          </w:p>
        </w:tc>
        <w:tc>
          <w:tcPr>
            <w:tcW w:w="2092" w:type="dxa"/>
            <w:shd w:val="clear" w:color="auto" w:fill="3A87C8"/>
            <w:vAlign w:val="center"/>
          </w:tcPr>
          <w:p w14:paraId="72A2C15F" w14:textId="77777777" w:rsidR="00715E4A" w:rsidRPr="008F09C0" w:rsidRDefault="00715E4A" w:rsidP="007A7F5B">
            <w:pPr>
              <w:pStyle w:val="TableColumnHeadingCentred"/>
              <w:jc w:val="left"/>
            </w:pPr>
          </w:p>
        </w:tc>
      </w:tr>
      <w:tr w:rsidR="00715E4A" w:rsidRPr="00F11280" w14:paraId="3ADCF4AA" w14:textId="77777777" w:rsidTr="007A7F5B">
        <w:tc>
          <w:tcPr>
            <w:tcW w:w="7230" w:type="dxa"/>
            <w:vAlign w:val="center"/>
          </w:tcPr>
          <w:p w14:paraId="242B020C" w14:textId="1A911D13" w:rsidR="00715E4A" w:rsidRPr="00F11280" w:rsidRDefault="00C2508F" w:rsidP="007A7F5B">
            <w:pPr>
              <w:pStyle w:val="Bullet"/>
              <w:spacing w:before="40" w:after="40"/>
              <w:jc w:val="left"/>
              <w:rPr>
                <w:rFonts w:cs="Calibri Light"/>
              </w:rPr>
            </w:pPr>
            <w:r w:rsidRPr="00F11280">
              <w:rPr>
                <w:rFonts w:cs="Calibri Light"/>
              </w:rPr>
              <w:t xml:space="preserve">AusNCP commenced </w:t>
            </w:r>
            <w:r w:rsidR="001147BE" w:rsidRPr="00F11280">
              <w:rPr>
                <w:rFonts w:cs="Calibri Light"/>
              </w:rPr>
              <w:t xml:space="preserve">ongoing </w:t>
            </w:r>
            <w:r w:rsidRPr="00F11280">
              <w:rPr>
                <w:rFonts w:cs="Calibri Light"/>
              </w:rPr>
              <w:t xml:space="preserve">coordination with </w:t>
            </w:r>
            <w:r w:rsidR="004436D3">
              <w:rPr>
                <w:rFonts w:cs="Calibri Light"/>
              </w:rPr>
              <w:t xml:space="preserve">the </w:t>
            </w:r>
            <w:r w:rsidRPr="00F11280">
              <w:rPr>
                <w:rFonts w:cs="Calibri Light"/>
              </w:rPr>
              <w:t>US and German NCPs</w:t>
            </w:r>
          </w:p>
        </w:tc>
        <w:tc>
          <w:tcPr>
            <w:tcW w:w="2092" w:type="dxa"/>
            <w:vAlign w:val="center"/>
          </w:tcPr>
          <w:p w14:paraId="20FA3C03" w14:textId="04A33211" w:rsidR="00715E4A" w:rsidRPr="00F11280" w:rsidRDefault="00C2508F"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23 May 2025</w:t>
            </w:r>
          </w:p>
        </w:tc>
      </w:tr>
      <w:tr w:rsidR="00F738C8" w:rsidRPr="00F11280" w14:paraId="3F2996E1" w14:textId="77777777" w:rsidTr="007A7F5B">
        <w:tc>
          <w:tcPr>
            <w:tcW w:w="7230" w:type="dxa"/>
            <w:vAlign w:val="center"/>
          </w:tcPr>
          <w:p w14:paraId="6F3E1318" w14:textId="122F2263" w:rsidR="00F738C8" w:rsidRPr="00F11280" w:rsidRDefault="00F738C8" w:rsidP="007A7F5B">
            <w:pPr>
              <w:pStyle w:val="Bullet"/>
              <w:spacing w:before="40" w:after="40"/>
              <w:jc w:val="left"/>
              <w:rPr>
                <w:rFonts w:cs="Calibri Light"/>
              </w:rPr>
            </w:pPr>
            <w:r w:rsidRPr="00F11280">
              <w:rPr>
                <w:rFonts w:cs="Calibri Light"/>
              </w:rPr>
              <w:t>AusNCP notified</w:t>
            </w:r>
            <w:r w:rsidR="00146590">
              <w:rPr>
                <w:rFonts w:cs="Calibri Light"/>
              </w:rPr>
              <w:t xml:space="preserve"> the AusNCP</w:t>
            </w:r>
            <w:r w:rsidRPr="00F11280">
              <w:rPr>
                <w:rFonts w:cs="Calibri Light"/>
              </w:rPr>
              <w:t xml:space="preserve"> Board</w:t>
            </w:r>
          </w:p>
        </w:tc>
        <w:tc>
          <w:tcPr>
            <w:tcW w:w="2092" w:type="dxa"/>
            <w:vAlign w:val="center"/>
          </w:tcPr>
          <w:p w14:paraId="3B6F7D60" w14:textId="195E7D7F" w:rsidR="00F738C8" w:rsidRPr="00F11280" w:rsidRDefault="00F738C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28 May 2025</w:t>
            </w:r>
          </w:p>
        </w:tc>
      </w:tr>
      <w:tr w:rsidR="00F738C8" w:rsidRPr="00F11280" w14:paraId="78168CBB" w14:textId="77777777" w:rsidTr="007A7F5B">
        <w:tc>
          <w:tcPr>
            <w:tcW w:w="7230" w:type="dxa"/>
            <w:vAlign w:val="center"/>
          </w:tcPr>
          <w:p w14:paraId="00863C6A" w14:textId="1379068E" w:rsidR="00F738C8" w:rsidRPr="00F11280" w:rsidRDefault="00F738C8" w:rsidP="007A7F5B">
            <w:pPr>
              <w:pStyle w:val="Bullet"/>
              <w:spacing w:before="40" w:after="40"/>
              <w:jc w:val="left"/>
              <w:rPr>
                <w:rFonts w:cs="Calibri Light"/>
              </w:rPr>
            </w:pPr>
            <w:r w:rsidRPr="00F11280">
              <w:rPr>
                <w:rFonts w:cs="Calibri Light"/>
              </w:rPr>
              <w:t xml:space="preserve">AusNCP email update sent to the </w:t>
            </w:r>
            <w:r w:rsidR="00146590">
              <w:rPr>
                <w:rFonts w:cs="Calibri Light"/>
              </w:rPr>
              <w:t>n</w:t>
            </w:r>
            <w:r w:rsidRPr="00F11280">
              <w:rPr>
                <w:rFonts w:cs="Calibri Light"/>
              </w:rPr>
              <w:t>otifier</w:t>
            </w:r>
          </w:p>
        </w:tc>
        <w:tc>
          <w:tcPr>
            <w:tcW w:w="2092" w:type="dxa"/>
            <w:vAlign w:val="center"/>
          </w:tcPr>
          <w:p w14:paraId="38C852A0" w14:textId="511A090E" w:rsidR="00F738C8" w:rsidRPr="00F11280" w:rsidRDefault="00F738C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3 July 2025</w:t>
            </w:r>
          </w:p>
        </w:tc>
      </w:tr>
      <w:tr w:rsidR="00F738C8" w:rsidRPr="00F11280" w14:paraId="25B3D6C8" w14:textId="77777777" w:rsidTr="007A7F5B">
        <w:tc>
          <w:tcPr>
            <w:tcW w:w="7230" w:type="dxa"/>
            <w:vAlign w:val="center"/>
          </w:tcPr>
          <w:p w14:paraId="1DF44D16" w14:textId="1E1A427E" w:rsidR="00F738C8" w:rsidRPr="00F11280" w:rsidRDefault="00F738C8" w:rsidP="007A7F5B">
            <w:pPr>
              <w:pStyle w:val="Bullet"/>
              <w:spacing w:before="40" w:after="40"/>
              <w:jc w:val="left"/>
              <w:rPr>
                <w:rFonts w:cs="Calibri Light"/>
              </w:rPr>
            </w:pPr>
            <w:r w:rsidRPr="00F11280">
              <w:rPr>
                <w:rFonts w:cs="Calibri Light"/>
              </w:rPr>
              <w:t>AusNCP received necessary inputs from other NCPs</w:t>
            </w:r>
          </w:p>
        </w:tc>
        <w:tc>
          <w:tcPr>
            <w:tcW w:w="2092" w:type="dxa"/>
            <w:vAlign w:val="center"/>
          </w:tcPr>
          <w:p w14:paraId="403E00DC" w14:textId="5A241107" w:rsidR="00F738C8" w:rsidRPr="00F11280" w:rsidRDefault="00F738C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11 July 2025</w:t>
            </w:r>
          </w:p>
        </w:tc>
      </w:tr>
      <w:tr w:rsidR="00F738C8" w:rsidRPr="00F11280" w14:paraId="122463EF" w14:textId="77777777" w:rsidTr="007A7F5B">
        <w:tc>
          <w:tcPr>
            <w:tcW w:w="7230" w:type="dxa"/>
            <w:vAlign w:val="center"/>
          </w:tcPr>
          <w:p w14:paraId="1421C79D" w14:textId="14CAFDF3" w:rsidR="00F738C8" w:rsidRPr="00F11280" w:rsidRDefault="00F738C8" w:rsidP="007A7F5B">
            <w:pPr>
              <w:pStyle w:val="Bullet"/>
              <w:spacing w:before="40" w:after="40"/>
              <w:jc w:val="left"/>
              <w:rPr>
                <w:rFonts w:cs="Calibri Light"/>
              </w:rPr>
            </w:pPr>
            <w:r w:rsidRPr="00F11280">
              <w:rPr>
                <w:rFonts w:cs="Calibri Light"/>
              </w:rPr>
              <w:t xml:space="preserve">AusNCP contacted all </w:t>
            </w:r>
            <w:r w:rsidR="00146590">
              <w:rPr>
                <w:rFonts w:cs="Calibri Light"/>
              </w:rPr>
              <w:t>p</w:t>
            </w:r>
            <w:r w:rsidRPr="00F11280">
              <w:rPr>
                <w:rFonts w:cs="Calibri Light"/>
              </w:rPr>
              <w:t>arties</w:t>
            </w:r>
            <w:r w:rsidR="00DD2E7F">
              <w:rPr>
                <w:rFonts w:cs="Calibri Light"/>
              </w:rPr>
              <w:t xml:space="preserve">, </w:t>
            </w:r>
            <w:r w:rsidR="00926858" w:rsidRPr="00F11280">
              <w:rPr>
                <w:rFonts w:cs="Calibri Light"/>
              </w:rPr>
              <w:t xml:space="preserve">including the </w:t>
            </w:r>
            <w:r w:rsidR="00146590">
              <w:rPr>
                <w:rFonts w:cs="Calibri Light"/>
              </w:rPr>
              <w:t>e</w:t>
            </w:r>
            <w:r w:rsidR="00926858" w:rsidRPr="00F11280">
              <w:rPr>
                <w:rFonts w:cs="Calibri Light"/>
              </w:rPr>
              <w:t>nterprises</w:t>
            </w:r>
            <w:r w:rsidR="00DD2E7F">
              <w:rPr>
                <w:rFonts w:cs="Calibri Light"/>
              </w:rPr>
              <w:t>,</w:t>
            </w:r>
            <w:r w:rsidRPr="00F11280">
              <w:rPr>
                <w:rFonts w:cs="Calibri Light"/>
              </w:rPr>
              <w:t xml:space="preserve"> regarding </w:t>
            </w:r>
            <w:r w:rsidR="004436D3">
              <w:rPr>
                <w:rFonts w:cs="Calibri Light"/>
              </w:rPr>
              <w:t xml:space="preserve">the </w:t>
            </w:r>
            <w:r w:rsidRPr="00F11280">
              <w:rPr>
                <w:rFonts w:cs="Calibri Light"/>
              </w:rPr>
              <w:t xml:space="preserve">potential transfer of </w:t>
            </w:r>
            <w:r w:rsidR="004436D3">
              <w:rPr>
                <w:rFonts w:cs="Calibri Light"/>
              </w:rPr>
              <w:t xml:space="preserve">the </w:t>
            </w:r>
            <w:r w:rsidRPr="00F11280">
              <w:rPr>
                <w:rFonts w:cs="Calibri Light"/>
              </w:rPr>
              <w:t>complaint from the AusNCP to the US NCP</w:t>
            </w:r>
          </w:p>
        </w:tc>
        <w:tc>
          <w:tcPr>
            <w:tcW w:w="2092" w:type="dxa"/>
            <w:vAlign w:val="center"/>
          </w:tcPr>
          <w:p w14:paraId="6EF3983E" w14:textId="777412E4" w:rsidR="00F738C8" w:rsidRPr="00F11280" w:rsidRDefault="00F738C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11 July 2025</w:t>
            </w:r>
          </w:p>
        </w:tc>
      </w:tr>
      <w:tr w:rsidR="00F738C8" w:rsidRPr="00F11280" w14:paraId="62CE55E5" w14:textId="77777777" w:rsidTr="007A7F5B">
        <w:trPr>
          <w:trHeight w:val="275"/>
        </w:trPr>
        <w:tc>
          <w:tcPr>
            <w:tcW w:w="7230" w:type="dxa"/>
            <w:shd w:val="clear" w:color="auto" w:fill="3A87C8"/>
            <w:vAlign w:val="center"/>
          </w:tcPr>
          <w:p w14:paraId="191A8066" w14:textId="77777777" w:rsidR="00F738C8" w:rsidRPr="008F09C0" w:rsidRDefault="00F738C8" w:rsidP="007A7F5B">
            <w:pPr>
              <w:pStyle w:val="TableColumnHeadingLeft-White"/>
              <w:rPr>
                <w:rFonts w:ascii="Calibri Light" w:hAnsi="Calibri Light"/>
              </w:rPr>
            </w:pPr>
            <w:r w:rsidRPr="008F09C0">
              <w:rPr>
                <w:rFonts w:ascii="Calibri Light" w:hAnsi="Calibri Light"/>
              </w:rPr>
              <w:t>Final Statement</w:t>
            </w:r>
          </w:p>
        </w:tc>
        <w:tc>
          <w:tcPr>
            <w:tcW w:w="2092" w:type="dxa"/>
            <w:shd w:val="clear" w:color="auto" w:fill="3A87C8"/>
            <w:vAlign w:val="center"/>
          </w:tcPr>
          <w:p w14:paraId="28BC81DA" w14:textId="77777777" w:rsidR="00F738C8" w:rsidRPr="008F09C0" w:rsidRDefault="00F738C8" w:rsidP="007A7F5B">
            <w:pPr>
              <w:pStyle w:val="TableColumnHeadingCentred"/>
              <w:jc w:val="left"/>
            </w:pPr>
          </w:p>
        </w:tc>
      </w:tr>
      <w:tr w:rsidR="00F738C8" w:rsidRPr="00F11280" w14:paraId="23EC6CEE" w14:textId="77777777" w:rsidTr="007A7F5B">
        <w:trPr>
          <w:trHeight w:val="275"/>
        </w:trPr>
        <w:tc>
          <w:tcPr>
            <w:tcW w:w="7230" w:type="dxa"/>
            <w:vAlign w:val="center"/>
          </w:tcPr>
          <w:p w14:paraId="20C219E5" w14:textId="43DE281D" w:rsidR="00F738C8" w:rsidRPr="00F11280" w:rsidRDefault="00F738C8" w:rsidP="007A7F5B">
            <w:pPr>
              <w:pStyle w:val="Bullet"/>
              <w:spacing w:before="40" w:after="40"/>
              <w:jc w:val="left"/>
              <w:rPr>
                <w:rFonts w:cs="Calibri Light"/>
              </w:rPr>
            </w:pPr>
            <w:r w:rsidRPr="00F11280">
              <w:rPr>
                <w:rFonts w:cs="Calibri Light"/>
              </w:rPr>
              <w:t xml:space="preserve">Draft </w:t>
            </w:r>
            <w:r w:rsidR="005135AC">
              <w:rPr>
                <w:rFonts w:cs="Calibri Light"/>
              </w:rPr>
              <w:t>F</w:t>
            </w:r>
            <w:r w:rsidR="00561AD8" w:rsidRPr="00F11280">
              <w:rPr>
                <w:rFonts w:cs="Calibri Light"/>
              </w:rPr>
              <w:t xml:space="preserve">inal </w:t>
            </w:r>
            <w:r w:rsidR="005135AC">
              <w:rPr>
                <w:rFonts w:cs="Calibri Light"/>
              </w:rPr>
              <w:t>S</w:t>
            </w:r>
            <w:r w:rsidR="00561AD8" w:rsidRPr="00F11280">
              <w:rPr>
                <w:rFonts w:cs="Calibri Light"/>
              </w:rPr>
              <w:t>tatement</w:t>
            </w:r>
            <w:r w:rsidRPr="00F11280">
              <w:rPr>
                <w:rFonts w:cs="Calibri Light"/>
              </w:rPr>
              <w:t xml:space="preserve"> provided to </w:t>
            </w:r>
            <w:r w:rsidR="00146590">
              <w:rPr>
                <w:rFonts w:cs="Calibri Light"/>
              </w:rPr>
              <w:t xml:space="preserve">the AusNCP </w:t>
            </w:r>
            <w:r w:rsidRPr="00F11280">
              <w:rPr>
                <w:rFonts w:cs="Calibri Light"/>
              </w:rPr>
              <w:t>Board for review and advice</w:t>
            </w:r>
          </w:p>
        </w:tc>
        <w:tc>
          <w:tcPr>
            <w:tcW w:w="2092" w:type="dxa"/>
            <w:vAlign w:val="center"/>
          </w:tcPr>
          <w:p w14:paraId="516828A7" w14:textId="588C6126" w:rsidR="00F738C8" w:rsidRPr="00F11280" w:rsidRDefault="00F738C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14 October 2025</w:t>
            </w:r>
          </w:p>
        </w:tc>
      </w:tr>
      <w:tr w:rsidR="00F738C8" w:rsidRPr="00F11280" w14:paraId="392D521A" w14:textId="77777777" w:rsidTr="007A7F5B">
        <w:trPr>
          <w:trHeight w:val="275"/>
        </w:trPr>
        <w:tc>
          <w:tcPr>
            <w:tcW w:w="7230" w:type="dxa"/>
            <w:vAlign w:val="center"/>
          </w:tcPr>
          <w:p w14:paraId="401BAD45" w14:textId="2AC48BFE" w:rsidR="00F738C8" w:rsidRPr="00F11280" w:rsidRDefault="00F738C8" w:rsidP="007A7F5B">
            <w:pPr>
              <w:pStyle w:val="Bullet"/>
              <w:spacing w:before="40" w:after="40"/>
              <w:jc w:val="left"/>
              <w:rPr>
                <w:rFonts w:cs="Calibri Light"/>
              </w:rPr>
            </w:pPr>
            <w:r w:rsidRPr="00F11280">
              <w:rPr>
                <w:rFonts w:cs="Calibri Light"/>
              </w:rPr>
              <w:t xml:space="preserve">Draft </w:t>
            </w:r>
            <w:r w:rsidR="005135AC">
              <w:rPr>
                <w:rFonts w:cs="Calibri Light"/>
              </w:rPr>
              <w:t>F</w:t>
            </w:r>
            <w:r w:rsidR="00561AD8" w:rsidRPr="00F11280">
              <w:rPr>
                <w:rFonts w:cs="Calibri Light"/>
              </w:rPr>
              <w:t xml:space="preserve">inal </w:t>
            </w:r>
            <w:r w:rsidR="005135AC">
              <w:rPr>
                <w:rFonts w:cs="Calibri Light"/>
              </w:rPr>
              <w:t>S</w:t>
            </w:r>
            <w:r w:rsidR="00561AD8" w:rsidRPr="00F11280">
              <w:rPr>
                <w:rFonts w:cs="Calibri Light"/>
              </w:rPr>
              <w:t>tatement</w:t>
            </w:r>
            <w:r w:rsidRPr="00F11280">
              <w:rPr>
                <w:rFonts w:cs="Calibri Light"/>
              </w:rPr>
              <w:t xml:space="preserve"> provided to other NCPs for comment</w:t>
            </w:r>
          </w:p>
        </w:tc>
        <w:tc>
          <w:tcPr>
            <w:tcW w:w="2092" w:type="dxa"/>
            <w:vAlign w:val="center"/>
          </w:tcPr>
          <w:p w14:paraId="00D2FC7F" w14:textId="4956F08F" w:rsidR="00F738C8" w:rsidRPr="00F11280" w:rsidRDefault="00E1274B"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14 October 2025</w:t>
            </w:r>
          </w:p>
        </w:tc>
      </w:tr>
      <w:tr w:rsidR="00F738C8" w:rsidRPr="00F11280" w14:paraId="52A4C6A9" w14:textId="77777777" w:rsidTr="007A7F5B">
        <w:trPr>
          <w:trHeight w:val="275"/>
        </w:trPr>
        <w:tc>
          <w:tcPr>
            <w:tcW w:w="7230" w:type="dxa"/>
            <w:vAlign w:val="center"/>
          </w:tcPr>
          <w:p w14:paraId="77FEA8DA" w14:textId="4B69D123" w:rsidR="00F738C8" w:rsidRPr="00F11280" w:rsidRDefault="00F738C8" w:rsidP="007A7F5B">
            <w:pPr>
              <w:pStyle w:val="Bullet"/>
              <w:spacing w:before="40" w:after="40"/>
              <w:jc w:val="left"/>
              <w:rPr>
                <w:rFonts w:cs="Calibri Light"/>
              </w:rPr>
            </w:pPr>
            <w:r w:rsidRPr="00F11280">
              <w:rPr>
                <w:rFonts w:cs="Calibri Light"/>
              </w:rPr>
              <w:t xml:space="preserve">Revised </w:t>
            </w:r>
            <w:r w:rsidR="00561AD8" w:rsidRPr="00F11280">
              <w:rPr>
                <w:rFonts w:cs="Calibri Light"/>
              </w:rPr>
              <w:t>d</w:t>
            </w:r>
            <w:r w:rsidRPr="00F11280">
              <w:rPr>
                <w:rFonts w:cs="Calibri Light"/>
              </w:rPr>
              <w:t xml:space="preserve">raft </w:t>
            </w:r>
            <w:r w:rsidR="004436D3">
              <w:rPr>
                <w:rFonts w:cs="Calibri Light"/>
              </w:rPr>
              <w:t>F</w:t>
            </w:r>
            <w:r w:rsidR="00561AD8" w:rsidRPr="00F11280">
              <w:rPr>
                <w:rFonts w:cs="Calibri Light"/>
              </w:rPr>
              <w:t xml:space="preserve">inal </w:t>
            </w:r>
            <w:r w:rsidR="004436D3">
              <w:rPr>
                <w:rFonts w:cs="Calibri Light"/>
              </w:rPr>
              <w:t>S</w:t>
            </w:r>
            <w:r w:rsidR="00561AD8" w:rsidRPr="00F11280">
              <w:rPr>
                <w:rFonts w:cs="Calibri Light"/>
              </w:rPr>
              <w:t>tatement</w:t>
            </w:r>
            <w:r w:rsidRPr="00F11280">
              <w:rPr>
                <w:rFonts w:cs="Calibri Light"/>
              </w:rPr>
              <w:t xml:space="preserve"> provided to </w:t>
            </w:r>
            <w:r w:rsidR="00146590">
              <w:rPr>
                <w:rFonts w:cs="Calibri Light"/>
              </w:rPr>
              <w:t xml:space="preserve">the AusNCP </w:t>
            </w:r>
            <w:r w:rsidRPr="00F11280">
              <w:rPr>
                <w:rFonts w:cs="Calibri Light"/>
              </w:rPr>
              <w:t>Board for review and advice</w:t>
            </w:r>
          </w:p>
        </w:tc>
        <w:tc>
          <w:tcPr>
            <w:tcW w:w="2092" w:type="dxa"/>
            <w:vAlign w:val="center"/>
          </w:tcPr>
          <w:p w14:paraId="7FA0B09F" w14:textId="40D12C30" w:rsidR="00F738C8" w:rsidRPr="00F11280" w:rsidRDefault="00F738C8" w:rsidP="007A7F5B">
            <w:pPr>
              <w:pStyle w:val="TableTextCentered"/>
              <w:spacing w:line="280" w:lineRule="exact"/>
              <w:jc w:val="left"/>
              <w:rPr>
                <w:rFonts w:cs="Calibri Light"/>
                <w:color w:val="000000" w:themeColor="text1"/>
                <w:sz w:val="22"/>
                <w:highlight w:val="yellow"/>
              </w:rPr>
            </w:pPr>
            <w:r w:rsidRPr="00F11280">
              <w:rPr>
                <w:rFonts w:cs="Calibri Light"/>
                <w:color w:val="000000" w:themeColor="text1"/>
                <w:sz w:val="22"/>
              </w:rPr>
              <w:t>7 November 2025</w:t>
            </w:r>
          </w:p>
        </w:tc>
      </w:tr>
      <w:tr w:rsidR="00F738C8" w:rsidRPr="00F11280" w14:paraId="4F1826E4" w14:textId="77777777" w:rsidTr="007A7F5B">
        <w:trPr>
          <w:trHeight w:val="275"/>
        </w:trPr>
        <w:tc>
          <w:tcPr>
            <w:tcW w:w="7230" w:type="dxa"/>
            <w:vAlign w:val="center"/>
          </w:tcPr>
          <w:p w14:paraId="34E4D6C1" w14:textId="10FDD54C" w:rsidR="00F738C8" w:rsidRPr="00DE2B8F" w:rsidRDefault="00F738C8" w:rsidP="007A7F5B">
            <w:pPr>
              <w:pStyle w:val="Bullet"/>
              <w:spacing w:before="40" w:after="40"/>
              <w:jc w:val="left"/>
              <w:rPr>
                <w:rFonts w:cs="Calibri Light"/>
              </w:rPr>
            </w:pPr>
            <w:r w:rsidRPr="00DE2B8F">
              <w:rPr>
                <w:rFonts w:cs="Calibri Light"/>
              </w:rPr>
              <w:t xml:space="preserve">Draft </w:t>
            </w:r>
            <w:r w:rsidR="004436D3" w:rsidRPr="00DE2B8F">
              <w:rPr>
                <w:rFonts w:cs="Calibri Light"/>
              </w:rPr>
              <w:t>F</w:t>
            </w:r>
            <w:r w:rsidR="00561AD8" w:rsidRPr="00DE2B8F">
              <w:rPr>
                <w:rFonts w:cs="Calibri Light"/>
              </w:rPr>
              <w:t xml:space="preserve">inal </w:t>
            </w:r>
            <w:r w:rsidR="004436D3" w:rsidRPr="00DE2B8F">
              <w:rPr>
                <w:rFonts w:cs="Calibri Light"/>
              </w:rPr>
              <w:t>S</w:t>
            </w:r>
            <w:r w:rsidR="00561AD8" w:rsidRPr="00DE2B8F">
              <w:rPr>
                <w:rFonts w:cs="Calibri Light"/>
              </w:rPr>
              <w:t>tatement</w:t>
            </w:r>
            <w:r w:rsidRPr="00DE2B8F">
              <w:rPr>
                <w:rFonts w:cs="Calibri Light"/>
              </w:rPr>
              <w:t xml:space="preserve"> provided to </w:t>
            </w:r>
            <w:r w:rsidR="004436D3" w:rsidRPr="00DE2B8F">
              <w:rPr>
                <w:rFonts w:cs="Calibri Light"/>
              </w:rPr>
              <w:t xml:space="preserve">the </w:t>
            </w:r>
            <w:r w:rsidR="00DB2BA8" w:rsidRPr="00DE2B8F">
              <w:rPr>
                <w:rFonts w:cs="Calibri Light"/>
              </w:rPr>
              <w:t>parties</w:t>
            </w:r>
            <w:r w:rsidR="0079737F" w:rsidRPr="00DE2B8F">
              <w:rPr>
                <w:rFonts w:cs="Calibri Light"/>
              </w:rPr>
              <w:t xml:space="preserve"> </w:t>
            </w:r>
            <w:r w:rsidRPr="00DE2B8F">
              <w:rPr>
                <w:rFonts w:cs="Calibri Light"/>
              </w:rPr>
              <w:t>for comment</w:t>
            </w:r>
          </w:p>
        </w:tc>
        <w:tc>
          <w:tcPr>
            <w:tcW w:w="2092" w:type="dxa"/>
            <w:vAlign w:val="center"/>
          </w:tcPr>
          <w:p w14:paraId="4A0F7C16" w14:textId="039EA50A" w:rsidR="00F738C8" w:rsidRPr="00F11280" w:rsidRDefault="00DB2BA8" w:rsidP="007A7F5B">
            <w:pPr>
              <w:pStyle w:val="TableTextCentered"/>
              <w:spacing w:line="280" w:lineRule="exact"/>
              <w:jc w:val="left"/>
              <w:rPr>
                <w:rFonts w:cs="Calibri Light"/>
                <w:color w:val="000000" w:themeColor="text1"/>
                <w:sz w:val="22"/>
              </w:rPr>
            </w:pPr>
            <w:r w:rsidRPr="00F11280">
              <w:rPr>
                <w:rFonts w:cs="Calibri Light"/>
                <w:color w:val="000000" w:themeColor="text1"/>
                <w:sz w:val="22"/>
              </w:rPr>
              <w:t>19 January 2026</w:t>
            </w:r>
          </w:p>
        </w:tc>
      </w:tr>
      <w:tr w:rsidR="00794FF8" w:rsidRPr="00F11280" w14:paraId="3BE1FD95" w14:textId="77777777" w:rsidTr="007A7F5B">
        <w:trPr>
          <w:trHeight w:val="275"/>
        </w:trPr>
        <w:tc>
          <w:tcPr>
            <w:tcW w:w="7230" w:type="dxa"/>
            <w:vAlign w:val="center"/>
          </w:tcPr>
          <w:p w14:paraId="523F6B07" w14:textId="22E65C7E" w:rsidR="00794FF8" w:rsidRPr="00F11280" w:rsidRDefault="00794FF8" w:rsidP="007A7F5B">
            <w:pPr>
              <w:pStyle w:val="Bullet"/>
              <w:spacing w:before="40" w:after="40"/>
              <w:jc w:val="left"/>
              <w:rPr>
                <w:rFonts w:cs="Calibri Light"/>
              </w:rPr>
            </w:pPr>
            <w:r>
              <w:rPr>
                <w:rFonts w:cs="Calibri Light"/>
              </w:rPr>
              <w:t xml:space="preserve">Correspondence from </w:t>
            </w:r>
            <w:r w:rsidR="006C3C88">
              <w:rPr>
                <w:rFonts w:cs="Calibri Light"/>
              </w:rPr>
              <w:t xml:space="preserve">the </w:t>
            </w:r>
            <w:r>
              <w:rPr>
                <w:rFonts w:cs="Calibri Light"/>
              </w:rPr>
              <w:t xml:space="preserve">notifier in response to </w:t>
            </w:r>
            <w:r w:rsidR="006C3C88">
              <w:rPr>
                <w:rFonts w:cs="Calibri Light"/>
              </w:rPr>
              <w:t>the</w:t>
            </w:r>
            <w:r>
              <w:rPr>
                <w:rFonts w:cs="Calibri Light"/>
              </w:rPr>
              <w:t xml:space="preserve"> draft Final Statement received by the AusNCP</w:t>
            </w:r>
          </w:p>
        </w:tc>
        <w:tc>
          <w:tcPr>
            <w:tcW w:w="2092" w:type="dxa"/>
            <w:vAlign w:val="center"/>
          </w:tcPr>
          <w:p w14:paraId="65F9D15E" w14:textId="7AEB1549" w:rsidR="00794FF8" w:rsidRPr="00F11280" w:rsidRDefault="00794FF8" w:rsidP="007A7F5B">
            <w:pPr>
              <w:pStyle w:val="TableTextCentered"/>
              <w:spacing w:line="280" w:lineRule="exact"/>
              <w:jc w:val="left"/>
              <w:rPr>
                <w:rFonts w:cs="Calibri Light"/>
                <w:color w:val="000000" w:themeColor="text1"/>
                <w:sz w:val="22"/>
              </w:rPr>
            </w:pPr>
            <w:r>
              <w:rPr>
                <w:rFonts w:cs="Calibri Light"/>
                <w:color w:val="000000" w:themeColor="text1"/>
                <w:sz w:val="22"/>
              </w:rPr>
              <w:t>23 January 2026</w:t>
            </w:r>
          </w:p>
        </w:tc>
      </w:tr>
      <w:tr w:rsidR="00794FF8" w:rsidRPr="00F11280" w14:paraId="05C0D1A0" w14:textId="77777777" w:rsidTr="007A7F5B">
        <w:trPr>
          <w:trHeight w:val="275"/>
        </w:trPr>
        <w:tc>
          <w:tcPr>
            <w:tcW w:w="7230" w:type="dxa"/>
            <w:vAlign w:val="center"/>
          </w:tcPr>
          <w:p w14:paraId="0FF23951" w14:textId="74531FE7" w:rsidR="00794FF8" w:rsidRPr="00F11280" w:rsidRDefault="00100B64" w:rsidP="007A7F5B">
            <w:pPr>
              <w:pStyle w:val="Bullet"/>
              <w:spacing w:before="40" w:after="40"/>
              <w:jc w:val="left"/>
              <w:rPr>
                <w:rFonts w:cs="Calibri Light"/>
              </w:rPr>
            </w:pPr>
            <w:r>
              <w:rPr>
                <w:rFonts w:cs="Calibri Light"/>
              </w:rPr>
              <w:t>Additional c</w:t>
            </w:r>
            <w:r w:rsidR="00794FF8">
              <w:rPr>
                <w:rFonts w:cs="Calibri Light"/>
              </w:rPr>
              <w:t xml:space="preserve">orrespondence from notifier in response to </w:t>
            </w:r>
            <w:r w:rsidR="009B793B">
              <w:rPr>
                <w:rFonts w:cs="Calibri Light"/>
              </w:rPr>
              <w:t xml:space="preserve">the </w:t>
            </w:r>
            <w:r w:rsidR="00794FF8">
              <w:rPr>
                <w:rFonts w:cs="Calibri Light"/>
              </w:rPr>
              <w:t>draft Final</w:t>
            </w:r>
            <w:r w:rsidR="006C3C88">
              <w:rPr>
                <w:rFonts w:cs="Calibri Light"/>
              </w:rPr>
              <w:t> </w:t>
            </w:r>
            <w:r w:rsidR="00794FF8">
              <w:rPr>
                <w:rFonts w:cs="Calibri Light"/>
              </w:rPr>
              <w:t>Statement received by the AusNCP</w:t>
            </w:r>
          </w:p>
        </w:tc>
        <w:tc>
          <w:tcPr>
            <w:tcW w:w="2092" w:type="dxa"/>
            <w:vAlign w:val="center"/>
          </w:tcPr>
          <w:p w14:paraId="5A8D9CAF" w14:textId="2215B6B1" w:rsidR="00794FF8" w:rsidRPr="00F11280" w:rsidRDefault="00404B2A" w:rsidP="007A7F5B">
            <w:pPr>
              <w:pStyle w:val="TableTextCentered"/>
              <w:spacing w:line="280" w:lineRule="exact"/>
              <w:jc w:val="left"/>
              <w:rPr>
                <w:rFonts w:cs="Calibri Light"/>
                <w:color w:val="000000" w:themeColor="text1"/>
                <w:sz w:val="22"/>
              </w:rPr>
            </w:pPr>
            <w:r>
              <w:rPr>
                <w:rFonts w:cs="Calibri Light"/>
                <w:color w:val="000000" w:themeColor="text1"/>
                <w:sz w:val="22"/>
              </w:rPr>
              <w:t>17 February 2026</w:t>
            </w:r>
          </w:p>
        </w:tc>
      </w:tr>
      <w:tr w:rsidR="004A4F48" w:rsidRPr="00F11280" w14:paraId="629C1307" w14:textId="77777777" w:rsidTr="007A7F5B">
        <w:trPr>
          <w:trHeight w:val="275"/>
        </w:trPr>
        <w:tc>
          <w:tcPr>
            <w:tcW w:w="7230" w:type="dxa"/>
            <w:vAlign w:val="center"/>
          </w:tcPr>
          <w:p w14:paraId="1443E98D" w14:textId="43C6D14B" w:rsidR="004A4F48" w:rsidRPr="00DE2B8F" w:rsidRDefault="004A4F48" w:rsidP="007A7F5B">
            <w:pPr>
              <w:pStyle w:val="Bullet"/>
              <w:spacing w:before="40" w:after="40"/>
              <w:jc w:val="left"/>
              <w:rPr>
                <w:rFonts w:cs="Calibri Light"/>
              </w:rPr>
            </w:pPr>
            <w:r w:rsidRPr="00DE2B8F">
              <w:rPr>
                <w:rFonts w:cs="Calibri Light"/>
              </w:rPr>
              <w:t xml:space="preserve">Comments received from </w:t>
            </w:r>
            <w:r w:rsidR="009B793B">
              <w:rPr>
                <w:rFonts w:cs="Calibri Light"/>
              </w:rPr>
              <w:t xml:space="preserve">the </w:t>
            </w:r>
            <w:r w:rsidRPr="00DE2B8F">
              <w:rPr>
                <w:rFonts w:cs="Calibri Light"/>
              </w:rPr>
              <w:t>US NCP</w:t>
            </w:r>
          </w:p>
        </w:tc>
        <w:tc>
          <w:tcPr>
            <w:tcW w:w="2092" w:type="dxa"/>
            <w:vAlign w:val="center"/>
          </w:tcPr>
          <w:p w14:paraId="0C63901B" w14:textId="2C03C1C5" w:rsidR="004A4F48" w:rsidRDefault="002B61C7" w:rsidP="007A7F5B">
            <w:pPr>
              <w:pStyle w:val="TableTextCentered"/>
              <w:spacing w:line="280" w:lineRule="exact"/>
              <w:jc w:val="left"/>
              <w:rPr>
                <w:rFonts w:cs="Calibri Light"/>
                <w:color w:val="000000" w:themeColor="text1"/>
                <w:sz w:val="22"/>
              </w:rPr>
            </w:pPr>
            <w:r>
              <w:rPr>
                <w:rFonts w:cs="Calibri Light"/>
                <w:color w:val="000000" w:themeColor="text1"/>
                <w:sz w:val="22"/>
              </w:rPr>
              <w:t>18 February 2026</w:t>
            </w:r>
          </w:p>
        </w:tc>
      </w:tr>
      <w:tr w:rsidR="00F738C8" w:rsidRPr="00F11280" w14:paraId="4AED7FBA" w14:textId="77777777" w:rsidTr="007A7F5B">
        <w:trPr>
          <w:trHeight w:val="275"/>
        </w:trPr>
        <w:tc>
          <w:tcPr>
            <w:tcW w:w="7230" w:type="dxa"/>
            <w:vAlign w:val="center"/>
          </w:tcPr>
          <w:p w14:paraId="06167551" w14:textId="3CF2CD26" w:rsidR="00F738C8" w:rsidRPr="00DE2B8F" w:rsidRDefault="00012388" w:rsidP="007A7F5B">
            <w:pPr>
              <w:pStyle w:val="Bullet"/>
              <w:spacing w:before="40" w:after="40"/>
              <w:jc w:val="left"/>
              <w:rPr>
                <w:rFonts w:cs="Calibri Light"/>
              </w:rPr>
            </w:pPr>
            <w:r>
              <w:rPr>
                <w:rFonts w:cs="Calibri Light"/>
              </w:rPr>
              <w:t>Dow’</w:t>
            </w:r>
            <w:r w:rsidR="00177BF3">
              <w:rPr>
                <w:rFonts w:cs="Calibri Light"/>
              </w:rPr>
              <w:t>s</w:t>
            </w:r>
            <w:r w:rsidR="00743553">
              <w:rPr>
                <w:rFonts w:cs="Calibri Light"/>
              </w:rPr>
              <w:t xml:space="preserve"> feedback on the draft </w:t>
            </w:r>
            <w:r w:rsidR="003E630F">
              <w:rPr>
                <w:rFonts w:cs="Calibri Light"/>
              </w:rPr>
              <w:t xml:space="preserve">Final Statement received </w:t>
            </w:r>
            <w:r w:rsidR="00743553">
              <w:rPr>
                <w:rFonts w:cs="Calibri Light"/>
              </w:rPr>
              <w:t>by the AusNCP</w:t>
            </w:r>
          </w:p>
        </w:tc>
        <w:tc>
          <w:tcPr>
            <w:tcW w:w="2092" w:type="dxa"/>
            <w:vAlign w:val="center"/>
          </w:tcPr>
          <w:p w14:paraId="269F5E33" w14:textId="34F2DE04" w:rsidR="00F738C8" w:rsidRPr="00F11280" w:rsidRDefault="00825EF6" w:rsidP="007A7F5B">
            <w:pPr>
              <w:pStyle w:val="TableTextCentered"/>
              <w:spacing w:line="280" w:lineRule="exact"/>
              <w:jc w:val="left"/>
              <w:rPr>
                <w:rFonts w:cs="Calibri Light"/>
                <w:color w:val="000000" w:themeColor="text1"/>
                <w:sz w:val="22"/>
              </w:rPr>
            </w:pPr>
            <w:r>
              <w:rPr>
                <w:rFonts w:cs="Calibri Light"/>
                <w:color w:val="000000" w:themeColor="text1"/>
                <w:sz w:val="22"/>
              </w:rPr>
              <w:t>20 February 2026</w:t>
            </w:r>
          </w:p>
        </w:tc>
      </w:tr>
      <w:tr w:rsidR="00651B96" w:rsidRPr="00F11280" w14:paraId="0E904B94" w14:textId="77777777" w:rsidTr="007A7F5B">
        <w:trPr>
          <w:trHeight w:val="275"/>
        </w:trPr>
        <w:tc>
          <w:tcPr>
            <w:tcW w:w="7230" w:type="dxa"/>
            <w:vAlign w:val="center"/>
          </w:tcPr>
          <w:p w14:paraId="2845064B" w14:textId="0189477E" w:rsidR="00651B96" w:rsidRDefault="00651B96" w:rsidP="007A7F5B">
            <w:pPr>
              <w:pStyle w:val="Bullet"/>
              <w:spacing w:before="40" w:after="40"/>
              <w:jc w:val="left"/>
              <w:rPr>
                <w:rFonts w:cs="Calibri Light"/>
              </w:rPr>
            </w:pPr>
            <w:r>
              <w:rPr>
                <w:rFonts w:cs="Calibri Light"/>
              </w:rPr>
              <w:t>Embargoed copy of the Final Statement provided to the parties</w:t>
            </w:r>
          </w:p>
        </w:tc>
        <w:tc>
          <w:tcPr>
            <w:tcW w:w="2092" w:type="dxa"/>
            <w:vAlign w:val="center"/>
          </w:tcPr>
          <w:p w14:paraId="7B0F21CA" w14:textId="218DCF6A" w:rsidR="00651B96" w:rsidRDefault="00686ABA" w:rsidP="007A7F5B">
            <w:pPr>
              <w:pStyle w:val="TableTextCentered"/>
              <w:spacing w:line="280" w:lineRule="exact"/>
              <w:jc w:val="left"/>
              <w:rPr>
                <w:rFonts w:cs="Calibri Light"/>
                <w:color w:val="000000" w:themeColor="text1"/>
                <w:sz w:val="22"/>
              </w:rPr>
            </w:pPr>
            <w:r>
              <w:rPr>
                <w:rFonts w:cs="Calibri Light"/>
                <w:color w:val="000000" w:themeColor="text1"/>
                <w:sz w:val="22"/>
              </w:rPr>
              <w:t>2</w:t>
            </w:r>
            <w:r w:rsidR="00BC6281">
              <w:rPr>
                <w:rFonts w:cs="Calibri Light"/>
                <w:color w:val="000000" w:themeColor="text1"/>
                <w:sz w:val="22"/>
              </w:rPr>
              <w:t>8</w:t>
            </w:r>
            <w:r>
              <w:rPr>
                <w:rFonts w:cs="Calibri Light"/>
                <w:color w:val="000000" w:themeColor="text1"/>
                <w:sz w:val="22"/>
              </w:rPr>
              <w:t xml:space="preserve"> April 2026</w:t>
            </w:r>
          </w:p>
        </w:tc>
      </w:tr>
      <w:tr w:rsidR="00FD4CE3" w:rsidRPr="00F11280" w14:paraId="36AA0566" w14:textId="77777777" w:rsidTr="007A7F5B">
        <w:trPr>
          <w:trHeight w:val="275"/>
        </w:trPr>
        <w:tc>
          <w:tcPr>
            <w:tcW w:w="7230" w:type="dxa"/>
            <w:vAlign w:val="center"/>
          </w:tcPr>
          <w:p w14:paraId="148FD933" w14:textId="41AE64C8" w:rsidR="00FD4CE3" w:rsidRDefault="008230B1" w:rsidP="007A7F5B">
            <w:pPr>
              <w:pStyle w:val="Bullet"/>
              <w:spacing w:before="40" w:after="40"/>
              <w:jc w:val="left"/>
              <w:rPr>
                <w:rFonts w:cs="Calibri Light"/>
              </w:rPr>
            </w:pPr>
            <w:r>
              <w:rPr>
                <w:rFonts w:cs="Calibri Light"/>
              </w:rPr>
              <w:t>Bayer</w:t>
            </w:r>
            <w:r w:rsidR="00DB0EB5">
              <w:rPr>
                <w:rFonts w:cs="Calibri Light"/>
              </w:rPr>
              <w:t>’s</w:t>
            </w:r>
            <w:r>
              <w:rPr>
                <w:rFonts w:cs="Calibri Light"/>
              </w:rPr>
              <w:t xml:space="preserve"> feedback on the embargoed copy of the Final Statement</w:t>
            </w:r>
            <w:r w:rsidR="00E26980">
              <w:rPr>
                <w:rFonts w:cs="Calibri Light"/>
              </w:rPr>
              <w:t xml:space="preserve"> received by the AusNCP</w:t>
            </w:r>
          </w:p>
        </w:tc>
        <w:tc>
          <w:tcPr>
            <w:tcW w:w="2092" w:type="dxa"/>
            <w:vAlign w:val="center"/>
          </w:tcPr>
          <w:p w14:paraId="6D8C33BF" w14:textId="57AD22F0" w:rsidR="00FD4CE3" w:rsidRDefault="008230B1" w:rsidP="007A7F5B">
            <w:pPr>
              <w:pStyle w:val="TableTextCentered"/>
              <w:spacing w:line="280" w:lineRule="exact"/>
              <w:jc w:val="left"/>
              <w:rPr>
                <w:rFonts w:cs="Calibri Light"/>
                <w:color w:val="000000" w:themeColor="text1"/>
                <w:sz w:val="22"/>
              </w:rPr>
            </w:pPr>
            <w:r>
              <w:rPr>
                <w:rFonts w:cs="Calibri Light"/>
                <w:color w:val="000000" w:themeColor="text1"/>
                <w:sz w:val="22"/>
              </w:rPr>
              <w:t>5 May 2026</w:t>
            </w:r>
          </w:p>
        </w:tc>
      </w:tr>
      <w:tr w:rsidR="00F738C8" w:rsidRPr="00F11280" w14:paraId="4465649E" w14:textId="77777777" w:rsidTr="007A7F5B">
        <w:trPr>
          <w:trHeight w:val="275"/>
        </w:trPr>
        <w:tc>
          <w:tcPr>
            <w:tcW w:w="7230" w:type="dxa"/>
            <w:vAlign w:val="center"/>
          </w:tcPr>
          <w:p w14:paraId="0BCED2D6" w14:textId="53FE7C17" w:rsidR="00F738C8" w:rsidRPr="002A0552" w:rsidRDefault="00F738C8" w:rsidP="007A7F5B">
            <w:pPr>
              <w:pStyle w:val="Bullet"/>
              <w:spacing w:before="40" w:after="40"/>
              <w:jc w:val="left"/>
              <w:rPr>
                <w:rFonts w:cs="Calibri Light"/>
              </w:rPr>
            </w:pPr>
            <w:r w:rsidRPr="002A0552">
              <w:rPr>
                <w:rFonts w:cs="Calibri Light"/>
              </w:rPr>
              <w:t>Embargo</w:t>
            </w:r>
            <w:r w:rsidR="00B21DAC" w:rsidRPr="002A0552">
              <w:rPr>
                <w:rFonts w:cs="Calibri Light"/>
              </w:rPr>
              <w:t>ed</w:t>
            </w:r>
            <w:r w:rsidRPr="002A0552">
              <w:rPr>
                <w:rFonts w:cs="Calibri Light"/>
              </w:rPr>
              <w:t xml:space="preserve"> </w:t>
            </w:r>
            <w:r w:rsidR="00A55033" w:rsidRPr="002A0552">
              <w:rPr>
                <w:rFonts w:cs="Calibri Light"/>
              </w:rPr>
              <w:t xml:space="preserve">copy of the </w:t>
            </w:r>
            <w:r w:rsidR="004436D3" w:rsidRPr="002A0552">
              <w:rPr>
                <w:rFonts w:cs="Calibri Light"/>
              </w:rPr>
              <w:t>F</w:t>
            </w:r>
            <w:r w:rsidR="00561AD8" w:rsidRPr="002A0552">
              <w:rPr>
                <w:rFonts w:cs="Calibri Light"/>
              </w:rPr>
              <w:t xml:space="preserve">inal </w:t>
            </w:r>
            <w:r w:rsidR="004436D3" w:rsidRPr="002A0552">
              <w:rPr>
                <w:rFonts w:cs="Calibri Light"/>
              </w:rPr>
              <w:t>S</w:t>
            </w:r>
            <w:r w:rsidR="00561AD8" w:rsidRPr="002A0552">
              <w:rPr>
                <w:rFonts w:cs="Calibri Light"/>
              </w:rPr>
              <w:t>tatement</w:t>
            </w:r>
            <w:r w:rsidRPr="002A0552">
              <w:rPr>
                <w:rFonts w:cs="Calibri Light"/>
              </w:rPr>
              <w:t xml:space="preserve"> provided to the </w:t>
            </w:r>
            <w:r w:rsidR="00745602" w:rsidRPr="002A0552">
              <w:rPr>
                <w:rFonts w:cs="Calibri Light"/>
              </w:rPr>
              <w:t>relevant</w:t>
            </w:r>
            <w:r w:rsidR="00B21DAC" w:rsidRPr="002A0552">
              <w:rPr>
                <w:rFonts w:cs="Calibri Light"/>
              </w:rPr>
              <w:t xml:space="preserve"> NCPs</w:t>
            </w:r>
            <w:r w:rsidR="00745602" w:rsidRPr="002A0552">
              <w:rPr>
                <w:rFonts w:cs="Calibri Light"/>
              </w:rPr>
              <w:t xml:space="preserve"> (Germany, </w:t>
            </w:r>
            <w:r w:rsidR="003C2087">
              <w:rPr>
                <w:rFonts w:cs="Calibri Light"/>
              </w:rPr>
              <w:t xml:space="preserve">the </w:t>
            </w:r>
            <w:r w:rsidR="00745602" w:rsidRPr="002A0552">
              <w:rPr>
                <w:rFonts w:cs="Calibri Light"/>
              </w:rPr>
              <w:t>Netherlands</w:t>
            </w:r>
            <w:r w:rsidR="003C2087">
              <w:rPr>
                <w:rFonts w:cs="Calibri Light"/>
              </w:rPr>
              <w:t>, and the US</w:t>
            </w:r>
            <w:r w:rsidR="00745602" w:rsidRPr="002A0552">
              <w:rPr>
                <w:rFonts w:cs="Calibri Light"/>
              </w:rPr>
              <w:t>)</w:t>
            </w:r>
            <w:r w:rsidRPr="002A0552">
              <w:rPr>
                <w:rFonts w:cs="Calibri Light"/>
              </w:rPr>
              <w:t xml:space="preserve"> and the </w:t>
            </w:r>
            <w:r w:rsidR="00151CAB" w:rsidRPr="002A0552">
              <w:rPr>
                <w:rFonts w:cs="Calibri Light"/>
              </w:rPr>
              <w:t>AusNCP</w:t>
            </w:r>
            <w:r w:rsidRPr="002A0552">
              <w:rPr>
                <w:rFonts w:cs="Calibri Light"/>
              </w:rPr>
              <w:t xml:space="preserve"> Board</w:t>
            </w:r>
          </w:p>
        </w:tc>
        <w:tc>
          <w:tcPr>
            <w:tcW w:w="2092" w:type="dxa"/>
            <w:vAlign w:val="center"/>
          </w:tcPr>
          <w:p w14:paraId="187B11C5" w14:textId="54641FA4" w:rsidR="00F738C8" w:rsidRPr="00F11280" w:rsidRDefault="00886D54" w:rsidP="007A7F5B">
            <w:pPr>
              <w:pStyle w:val="TableTextCentered"/>
              <w:spacing w:line="280" w:lineRule="exact"/>
              <w:jc w:val="left"/>
              <w:rPr>
                <w:rFonts w:cs="Calibri Light"/>
                <w:color w:val="000000" w:themeColor="text1"/>
                <w:sz w:val="22"/>
              </w:rPr>
            </w:pPr>
            <w:r>
              <w:rPr>
                <w:rFonts w:cs="Calibri Light"/>
                <w:color w:val="000000" w:themeColor="text1"/>
                <w:sz w:val="22"/>
              </w:rPr>
              <w:t>8</w:t>
            </w:r>
            <w:r w:rsidR="006C705E">
              <w:rPr>
                <w:rFonts w:cs="Calibri Light"/>
                <w:color w:val="000000" w:themeColor="text1"/>
                <w:sz w:val="22"/>
              </w:rPr>
              <w:t xml:space="preserve"> May 2026</w:t>
            </w:r>
          </w:p>
        </w:tc>
      </w:tr>
      <w:tr w:rsidR="00F738C8" w:rsidRPr="00F11280" w14:paraId="09EFAE49" w14:textId="77777777" w:rsidTr="007A7F5B">
        <w:trPr>
          <w:trHeight w:val="275"/>
        </w:trPr>
        <w:tc>
          <w:tcPr>
            <w:tcW w:w="7230" w:type="dxa"/>
            <w:vAlign w:val="center"/>
          </w:tcPr>
          <w:p w14:paraId="1449DB10" w14:textId="1213C1B6" w:rsidR="00F738C8" w:rsidRPr="002A0552" w:rsidRDefault="00F738C8" w:rsidP="007A7F5B">
            <w:pPr>
              <w:pStyle w:val="Bullet"/>
              <w:spacing w:before="40" w:after="40"/>
              <w:jc w:val="left"/>
              <w:rPr>
                <w:rFonts w:cs="Calibri Light"/>
              </w:rPr>
            </w:pPr>
            <w:r w:rsidRPr="002A0552">
              <w:rPr>
                <w:rFonts w:cs="Calibri Light"/>
              </w:rPr>
              <w:t xml:space="preserve">Final </w:t>
            </w:r>
            <w:r w:rsidR="004436D3" w:rsidRPr="002A0552">
              <w:rPr>
                <w:rFonts w:cs="Calibri Light"/>
              </w:rPr>
              <w:t>S</w:t>
            </w:r>
            <w:r w:rsidRPr="002A0552">
              <w:rPr>
                <w:rFonts w:cs="Calibri Light"/>
              </w:rPr>
              <w:t xml:space="preserve">tatement published on </w:t>
            </w:r>
            <w:hyperlink r:id="rId25" w:history="1">
              <w:r w:rsidR="004436D3" w:rsidRPr="002A0552">
                <w:rPr>
                  <w:rStyle w:val="Hyperlink"/>
                  <w:rFonts w:cs="Calibri Light"/>
                </w:rPr>
                <w:t>www.ausncp.gov.au</w:t>
              </w:r>
            </w:hyperlink>
            <w:r w:rsidRPr="002A0552">
              <w:rPr>
                <w:rFonts w:cs="Calibri Light"/>
              </w:rPr>
              <w:t xml:space="preserve"> and reported to the OECD</w:t>
            </w:r>
          </w:p>
        </w:tc>
        <w:tc>
          <w:tcPr>
            <w:tcW w:w="2092" w:type="dxa"/>
            <w:vAlign w:val="center"/>
          </w:tcPr>
          <w:p w14:paraId="7065BC24" w14:textId="38A8170F" w:rsidR="00F738C8" w:rsidRPr="00F11280" w:rsidRDefault="001344D9" w:rsidP="007A7F5B">
            <w:pPr>
              <w:pStyle w:val="TableTextCentered"/>
              <w:spacing w:line="280" w:lineRule="exact"/>
              <w:jc w:val="left"/>
              <w:rPr>
                <w:rFonts w:cs="Calibri Light"/>
                <w:color w:val="000000" w:themeColor="text1"/>
                <w:sz w:val="22"/>
              </w:rPr>
            </w:pPr>
            <w:r>
              <w:rPr>
                <w:rFonts w:cs="Calibri Light"/>
                <w:color w:val="000000" w:themeColor="text1"/>
                <w:sz w:val="22"/>
              </w:rPr>
              <w:t>22</w:t>
            </w:r>
            <w:r w:rsidR="006C705E">
              <w:rPr>
                <w:rFonts w:cs="Calibri Light"/>
                <w:color w:val="000000" w:themeColor="text1"/>
                <w:sz w:val="22"/>
              </w:rPr>
              <w:t xml:space="preserve"> May 2026</w:t>
            </w:r>
          </w:p>
        </w:tc>
      </w:tr>
    </w:tbl>
    <w:p w14:paraId="4AFDEE13" w14:textId="77777777" w:rsidR="00715E4A" w:rsidRPr="00C05E7B" w:rsidRDefault="00715E4A" w:rsidP="00715E4A">
      <w:r w:rsidRPr="00C05E7B">
        <w:t xml:space="preserve">  </w:t>
      </w:r>
    </w:p>
    <w:p w14:paraId="0AA33AA7" w14:textId="77777777" w:rsidR="0069180D" w:rsidRPr="00C05E7B" w:rsidRDefault="0069180D">
      <w:pPr>
        <w:spacing w:before="0" w:after="160" w:line="259" w:lineRule="auto"/>
        <w:rPr>
          <w:rFonts w:ascii="Calibri" w:hAnsi="Calibri" w:cs="Arial"/>
          <w:b/>
          <w:iCs/>
          <w:color w:val="5B5E60"/>
          <w:kern w:val="32"/>
          <w:sz w:val="36"/>
          <w:szCs w:val="28"/>
        </w:rPr>
      </w:pPr>
      <w:r w:rsidRPr="00C05E7B">
        <w:rPr>
          <w:rFonts w:ascii="Calibri" w:hAnsi="Calibri" w:cs="Arial"/>
          <w:b/>
          <w:iCs/>
          <w:color w:val="5B5E60"/>
          <w:kern w:val="32"/>
          <w:sz w:val="36"/>
          <w:szCs w:val="28"/>
        </w:rPr>
        <w:br w:type="page"/>
      </w:r>
    </w:p>
    <w:p w14:paraId="330DD3CA" w14:textId="75E5B986" w:rsidR="00715E4A" w:rsidRPr="00C05E7B" w:rsidRDefault="0069180D" w:rsidP="004E4248">
      <w:pPr>
        <w:pStyle w:val="Heading2"/>
      </w:pPr>
      <w:bookmarkStart w:id="51" w:name="_Toc211334207"/>
      <w:bookmarkStart w:id="52" w:name="_Toc219735251"/>
      <w:bookmarkStart w:id="53" w:name="_Toc230360321"/>
      <w:bookmarkStart w:id="54" w:name="_Hlk124327124"/>
      <w:r w:rsidRPr="00C05E7B">
        <w:lastRenderedPageBreak/>
        <w:t xml:space="preserve">Annex </w:t>
      </w:r>
      <w:r w:rsidR="002344EC" w:rsidRPr="00C05E7B">
        <w:t>C</w:t>
      </w:r>
      <w:r w:rsidRPr="00C05E7B">
        <w:t xml:space="preserve">: </w:t>
      </w:r>
      <w:r w:rsidR="00715E4A" w:rsidRPr="00C05E7B">
        <w:t xml:space="preserve">Publications </w:t>
      </w:r>
      <w:r w:rsidR="00B5155C" w:rsidRPr="00C05E7B">
        <w:t>and references</w:t>
      </w:r>
      <w:bookmarkEnd w:id="51"/>
      <w:bookmarkEnd w:id="52"/>
      <w:bookmarkEnd w:id="53"/>
    </w:p>
    <w:p w14:paraId="429F8F2D" w14:textId="3A96128E" w:rsidR="00802D4C" w:rsidRDefault="00802D4C" w:rsidP="003C2087">
      <w:pPr>
        <w:spacing w:before="0" w:after="240" w:line="280" w:lineRule="exact"/>
        <w:rPr>
          <w:szCs w:val="22"/>
        </w:rPr>
      </w:pPr>
      <w:bookmarkStart w:id="55" w:name="_Hlk124327174"/>
      <w:bookmarkEnd w:id="54"/>
      <w:r>
        <w:rPr>
          <w:szCs w:val="22"/>
        </w:rPr>
        <w:t>Australian National Contact Point for Responsible Business Conduct, ‘</w:t>
      </w:r>
      <w:r w:rsidR="00AF6383">
        <w:rPr>
          <w:szCs w:val="22"/>
        </w:rPr>
        <w:t>Complaint submitted by Human Rights Law Centre (on behalf of affected individuals) against Rio Tinto’, Initial Assessment,</w:t>
      </w:r>
      <w:r w:rsidR="00055814">
        <w:rPr>
          <w:szCs w:val="22"/>
        </w:rPr>
        <w:t xml:space="preserve"> Department of the Treasury, Australian Government, Canberra,</w:t>
      </w:r>
      <w:r w:rsidR="00AF6383">
        <w:rPr>
          <w:szCs w:val="22"/>
        </w:rPr>
        <w:t xml:space="preserve"> 15 September 202</w:t>
      </w:r>
      <w:r w:rsidR="00055814">
        <w:rPr>
          <w:szCs w:val="22"/>
        </w:rPr>
        <w:t xml:space="preserve">3. </w:t>
      </w:r>
      <w:hyperlink r:id="rId26" w:history="1">
        <w:r w:rsidR="00D0397D" w:rsidRPr="00B3301D">
          <w:rPr>
            <w:rStyle w:val="Hyperlink"/>
            <w:szCs w:val="22"/>
          </w:rPr>
          <w:t>https://ausncp.gov.au/sites/default/files/2023-09/21-initial-assessment.pdf</w:t>
        </w:r>
      </w:hyperlink>
      <w:r w:rsidR="00D0397D">
        <w:rPr>
          <w:szCs w:val="22"/>
        </w:rPr>
        <w:t xml:space="preserve"> </w:t>
      </w:r>
    </w:p>
    <w:p w14:paraId="0F60D146" w14:textId="38CD9A27" w:rsidR="00D36301" w:rsidRDefault="00D36301" w:rsidP="003C2087">
      <w:pPr>
        <w:spacing w:before="0" w:after="240" w:line="280" w:lineRule="exact"/>
      </w:pPr>
      <w:r w:rsidRPr="00462F9D">
        <w:rPr>
          <w:szCs w:val="22"/>
        </w:rPr>
        <w:t xml:space="preserve">Australian National Contact Point for Responsible Business Conduct, ‘AusNCP complaint procedures’, Department of the Treasury, Australian Government, Canberra, April 2024, accessed November 2025. </w:t>
      </w:r>
      <w:hyperlink r:id="rId27" w:history="1">
        <w:r w:rsidRPr="00462F9D">
          <w:rPr>
            <w:rStyle w:val="Hyperlink"/>
            <w:szCs w:val="22"/>
          </w:rPr>
          <w:t>https://ausncp.gov.au/sites/default/files/2024-04/ausncp-complaint-procedures.pdf</w:t>
        </w:r>
      </w:hyperlink>
    </w:p>
    <w:p w14:paraId="68781C22" w14:textId="517E2009" w:rsidR="005B77B4" w:rsidRDefault="005B77B4" w:rsidP="003C2087">
      <w:pPr>
        <w:spacing w:beforeLines="120" w:before="288" w:after="240" w:line="280" w:lineRule="exact"/>
        <w:textAlignment w:val="baseline"/>
        <w:rPr>
          <w:rFonts w:eastAsia="Century Gothic"/>
          <w:color w:val="000000"/>
        </w:rPr>
      </w:pPr>
      <w:r>
        <w:rPr>
          <w:rFonts w:eastAsia="Century Gothic"/>
          <w:color w:val="000000"/>
        </w:rPr>
        <w:t xml:space="preserve">Bayer, ‘Bayer closes Monsanto acquisition’, Bayer, 7 June 2018, accessed 5 November 2025. </w:t>
      </w:r>
      <w:hyperlink r:id="rId28" w:history="1">
        <w:r w:rsidRPr="00354E08">
          <w:rPr>
            <w:rStyle w:val="Hyperlink"/>
            <w:rFonts w:eastAsia="Century Gothic"/>
          </w:rPr>
          <w:t>https://www.bayer.com/media/en-us/bayer-closes-monsanto-acquisition/</w:t>
        </w:r>
      </w:hyperlink>
      <w:r>
        <w:rPr>
          <w:rFonts w:eastAsia="Century Gothic"/>
          <w:color w:val="000000"/>
        </w:rPr>
        <w:t xml:space="preserve"> </w:t>
      </w:r>
    </w:p>
    <w:p w14:paraId="0E28036B" w14:textId="3FB6C90C" w:rsidR="00923690" w:rsidRDefault="00923690" w:rsidP="003C2087">
      <w:pPr>
        <w:spacing w:beforeLines="120" w:before="288" w:after="240" w:line="280" w:lineRule="exact"/>
        <w:textAlignment w:val="baseline"/>
        <w:rPr>
          <w:rFonts w:eastAsia="Century Gothic"/>
          <w:color w:val="000000"/>
        </w:rPr>
      </w:pPr>
      <w:r>
        <w:rPr>
          <w:rFonts w:eastAsia="Century Gothic"/>
          <w:color w:val="000000"/>
        </w:rPr>
        <w:t xml:space="preserve">Department of Veterans’ Affairs, ‘Agent Orange and other chemicals in the Vietnam War’, </w:t>
      </w:r>
      <w:r w:rsidR="00783C34">
        <w:rPr>
          <w:rFonts w:eastAsia="Century Gothic"/>
          <w:color w:val="000000"/>
        </w:rPr>
        <w:t xml:space="preserve">Australian Government, 6 August 2025, accessed </w:t>
      </w:r>
      <w:r w:rsidR="00EE4050">
        <w:rPr>
          <w:rFonts w:eastAsia="Century Gothic"/>
          <w:color w:val="000000"/>
        </w:rPr>
        <w:t xml:space="preserve">2 April 2026. </w:t>
      </w:r>
      <w:hyperlink r:id="rId29" w:history="1">
        <w:r w:rsidR="00E44154" w:rsidRPr="00EC2E78">
          <w:rPr>
            <w:rStyle w:val="Hyperlink"/>
            <w:rFonts w:eastAsia="Century Gothic"/>
          </w:rPr>
          <w:t>https://anzacportal.dva.gov.au/wars-and-missions/vietnam-war-1962-1975/events/aftermath/agent-orange</w:t>
        </w:r>
      </w:hyperlink>
      <w:r w:rsidR="00E44154">
        <w:rPr>
          <w:rFonts w:eastAsia="Century Gothic"/>
          <w:color w:val="000000"/>
        </w:rPr>
        <w:t xml:space="preserve"> </w:t>
      </w:r>
    </w:p>
    <w:p w14:paraId="5E2C6611" w14:textId="36FDB116" w:rsidR="00AA2F14" w:rsidRDefault="00D10938" w:rsidP="003C2087">
      <w:pPr>
        <w:spacing w:beforeLines="120" w:before="288" w:after="240" w:line="280" w:lineRule="exact"/>
        <w:textAlignment w:val="baseline"/>
        <w:rPr>
          <w:rFonts w:eastAsia="Century Gothic"/>
          <w:color w:val="000000"/>
        </w:rPr>
      </w:pPr>
      <w:r>
        <w:rPr>
          <w:rFonts w:eastAsia="Century Gothic"/>
          <w:color w:val="000000"/>
        </w:rPr>
        <w:t>Eccles M</w:t>
      </w:r>
      <w:r w:rsidR="003F6BE7">
        <w:rPr>
          <w:rFonts w:eastAsia="Century Gothic"/>
          <w:color w:val="000000"/>
        </w:rPr>
        <w:t>, ‘Paris court rejects appeal against chemicals giant over Vietnam War use of Agent Orange’, POLITICO, 22 August 2024, accessed 27 May 2025.</w:t>
      </w:r>
      <w:r w:rsidR="00DC0FBE" w:rsidRPr="00DC0FBE">
        <w:t xml:space="preserve"> </w:t>
      </w:r>
      <w:hyperlink r:id="rId30" w:history="1">
        <w:r w:rsidR="00DC0FBE" w:rsidRPr="00D83B20">
          <w:rPr>
            <w:rStyle w:val="Hyperlink"/>
            <w:rFonts w:eastAsia="Century Gothic"/>
          </w:rPr>
          <w:t>https://www.politico.eu/article/paris-court-rejects-agent-orange-appeal-against-bayer-monsanto/</w:t>
        </w:r>
      </w:hyperlink>
      <w:r w:rsidR="00DC0FBE">
        <w:rPr>
          <w:rFonts w:eastAsia="Century Gothic"/>
          <w:color w:val="000000"/>
        </w:rPr>
        <w:t xml:space="preserve"> </w:t>
      </w:r>
    </w:p>
    <w:p w14:paraId="64205694" w14:textId="3AE897E6" w:rsidR="00DC0FBE" w:rsidRPr="00923690" w:rsidRDefault="00DC0FBE" w:rsidP="003C2087">
      <w:pPr>
        <w:spacing w:beforeLines="120" w:before="288" w:after="240" w:line="280" w:lineRule="exact"/>
        <w:textAlignment w:val="baseline"/>
        <w:rPr>
          <w:rFonts w:eastAsia="Century Gothic"/>
          <w:color w:val="000000"/>
        </w:rPr>
      </w:pPr>
      <w:r>
        <w:rPr>
          <w:rFonts w:eastAsia="Century Gothic"/>
          <w:color w:val="000000"/>
        </w:rPr>
        <w:t xml:space="preserve">Evatt P, </w:t>
      </w:r>
      <w:r w:rsidR="00641C0D">
        <w:rPr>
          <w:rFonts w:eastAsia="Century Gothic"/>
          <w:color w:val="000000"/>
        </w:rPr>
        <w:t xml:space="preserve">‘Royal Commission on the use and effects of chemical agents on Australian personnel in Vietnam’, Final Report, Australian Government, July 1985, accessed 27 May 2025. </w:t>
      </w:r>
      <w:hyperlink r:id="rId31" w:history="1">
        <w:r w:rsidR="00332047" w:rsidRPr="00D83B20">
          <w:rPr>
            <w:rStyle w:val="Hyperlink"/>
            <w:rFonts w:eastAsia="Century Gothic"/>
          </w:rPr>
          <w:t>https://classic.austlii.edu.au/au/other/cth/AURoyalC/1985/6.html</w:t>
        </w:r>
      </w:hyperlink>
      <w:r w:rsidR="00332047">
        <w:rPr>
          <w:rFonts w:eastAsia="Century Gothic"/>
          <w:color w:val="000000"/>
        </w:rPr>
        <w:t xml:space="preserve"> </w:t>
      </w:r>
    </w:p>
    <w:p w14:paraId="422DDE7D" w14:textId="34B9FD2D" w:rsidR="00F02B71" w:rsidRPr="00183C9A" w:rsidRDefault="00B02EB1" w:rsidP="003C2087">
      <w:pPr>
        <w:spacing w:beforeLines="120" w:before="288" w:after="240" w:line="280" w:lineRule="exact"/>
        <w:ind w:left="567" w:hanging="567"/>
        <w:textAlignment w:val="baseline"/>
        <w:rPr>
          <w:rFonts w:eastAsia="Century Gothic"/>
          <w:color w:val="000000"/>
        </w:rPr>
      </w:pPr>
      <w:r>
        <w:rPr>
          <w:rFonts w:eastAsia="Century Gothic"/>
          <w:i/>
          <w:iCs/>
          <w:color w:val="000000"/>
        </w:rPr>
        <w:t>In re “Agent Orange” Prod. Liability Litigation</w:t>
      </w:r>
      <w:r>
        <w:rPr>
          <w:rFonts w:eastAsia="Century Gothic"/>
          <w:color w:val="000000"/>
        </w:rPr>
        <w:t>, 818 F.2D 145 (2</w:t>
      </w:r>
      <w:r w:rsidRPr="00183C9A">
        <w:rPr>
          <w:rFonts w:eastAsia="Century Gothic"/>
          <w:color w:val="000000"/>
          <w:vertAlign w:val="superscript"/>
        </w:rPr>
        <w:t>nd</w:t>
      </w:r>
      <w:r>
        <w:rPr>
          <w:rFonts w:eastAsia="Century Gothic"/>
          <w:color w:val="000000"/>
        </w:rPr>
        <w:t xml:space="preserve"> Cir. 1987).</w:t>
      </w:r>
    </w:p>
    <w:p w14:paraId="7218400F" w14:textId="7500FE6F" w:rsidR="00923690" w:rsidRDefault="00085C7C" w:rsidP="003C2087">
      <w:pPr>
        <w:spacing w:beforeLines="120" w:before="288" w:after="240" w:line="280" w:lineRule="exact"/>
        <w:ind w:left="567" w:hanging="567"/>
        <w:textAlignment w:val="baseline"/>
        <w:rPr>
          <w:rFonts w:eastAsia="Century Gothic"/>
          <w:color w:val="000000"/>
        </w:rPr>
      </w:pPr>
      <w:r>
        <w:rPr>
          <w:rFonts w:eastAsia="Century Gothic"/>
          <w:i/>
          <w:iCs/>
          <w:color w:val="000000"/>
        </w:rPr>
        <w:t>In re “Agent Orange” Prod. Liability Litigation</w:t>
      </w:r>
      <w:r w:rsidR="008F6A54">
        <w:rPr>
          <w:rFonts w:eastAsia="Century Gothic"/>
          <w:color w:val="000000"/>
        </w:rPr>
        <w:t>, 517 F.3d 76 (2</w:t>
      </w:r>
      <w:r w:rsidR="008F6A54" w:rsidRPr="00183C9A">
        <w:rPr>
          <w:rFonts w:eastAsia="Century Gothic"/>
          <w:color w:val="000000"/>
          <w:vertAlign w:val="superscript"/>
        </w:rPr>
        <w:t>nd</w:t>
      </w:r>
      <w:r w:rsidR="008F6A54">
        <w:rPr>
          <w:rFonts w:eastAsia="Century Gothic"/>
          <w:color w:val="000000"/>
        </w:rPr>
        <w:t xml:space="preserve"> Cir. 2008)</w:t>
      </w:r>
      <w:r w:rsidR="00905C26">
        <w:rPr>
          <w:rFonts w:eastAsia="Century Gothic"/>
          <w:color w:val="000000"/>
        </w:rPr>
        <w:t xml:space="preserve">. </w:t>
      </w:r>
    </w:p>
    <w:p w14:paraId="0C5CEE15" w14:textId="64ABB734" w:rsidR="00C269B6" w:rsidRDefault="00C269B6" w:rsidP="003C2087">
      <w:pPr>
        <w:spacing w:beforeLines="120" w:before="288" w:after="240" w:line="280" w:lineRule="exact"/>
        <w:textAlignment w:val="baseline"/>
        <w:rPr>
          <w:rFonts w:eastAsia="Century Gothic"/>
          <w:color w:val="000000"/>
        </w:rPr>
      </w:pPr>
      <w:r>
        <w:rPr>
          <w:rFonts w:eastAsia="Century Gothic"/>
          <w:color w:val="000000"/>
        </w:rPr>
        <w:t>Netherlands N</w:t>
      </w:r>
      <w:r w:rsidR="000A037B">
        <w:rPr>
          <w:rFonts w:eastAsia="Century Gothic"/>
          <w:color w:val="000000"/>
        </w:rPr>
        <w:t>ational Contact Point for Responsible Business Conduct, ‘</w:t>
      </w:r>
      <w:r w:rsidR="006E73CC">
        <w:rPr>
          <w:rFonts w:eastAsia="Century Gothic"/>
          <w:color w:val="000000"/>
        </w:rPr>
        <w:t>Odoh Family vs The Shell Petroleum Development Company of Nigeria Ltd’, Final Statement, 11 July 2024</w:t>
      </w:r>
      <w:r w:rsidR="007F26DC">
        <w:rPr>
          <w:rFonts w:eastAsia="Century Gothic"/>
          <w:color w:val="000000"/>
        </w:rPr>
        <w:t xml:space="preserve">. </w:t>
      </w:r>
      <w:hyperlink r:id="rId32" w:history="1">
        <w:r w:rsidR="007F26DC" w:rsidRPr="00B3301D">
          <w:rPr>
            <w:rStyle w:val="Hyperlink"/>
            <w:rFonts w:eastAsia="Century Gothic"/>
          </w:rPr>
          <w:t>https://www.oecdguidelines.nl/documents/2024/7/11/final-statement-notification-odoh-family-vs-de-shell-petroleum-development-company-of-nigeria-limited</w:t>
        </w:r>
      </w:hyperlink>
      <w:r w:rsidR="007F26DC">
        <w:rPr>
          <w:rFonts w:eastAsia="Century Gothic"/>
          <w:color w:val="000000"/>
        </w:rPr>
        <w:t xml:space="preserve"> </w:t>
      </w:r>
    </w:p>
    <w:p w14:paraId="7B0553A7" w14:textId="222F51AC" w:rsidR="00A42248" w:rsidRDefault="00B13EDF" w:rsidP="003C2087">
      <w:pPr>
        <w:spacing w:beforeLines="120" w:before="288" w:after="240" w:line="280" w:lineRule="exact"/>
        <w:textAlignment w:val="baseline"/>
        <w:rPr>
          <w:rFonts w:eastAsia="Century Gothic"/>
          <w:color w:val="000000"/>
        </w:rPr>
      </w:pPr>
      <w:r>
        <w:rPr>
          <w:rFonts w:eastAsia="Century Gothic"/>
          <w:color w:val="000000"/>
        </w:rPr>
        <w:t>Normile D, ‘The fog of war’, Science, vol 388, issue 6745</w:t>
      </w:r>
      <w:r w:rsidR="006C563A">
        <w:rPr>
          <w:rFonts w:eastAsia="Century Gothic"/>
          <w:color w:val="000000"/>
        </w:rPr>
        <w:t xml:space="preserve">, 25 April 2025. </w:t>
      </w:r>
      <w:hyperlink r:id="rId33" w:history="1">
        <w:r w:rsidR="006C563A" w:rsidRPr="00D83B20">
          <w:rPr>
            <w:rStyle w:val="Hyperlink"/>
            <w:rFonts w:eastAsia="Century Gothic"/>
          </w:rPr>
          <w:t>https://www.science.org/doi/epdf/10.1126/science.ady4158</w:t>
        </w:r>
      </w:hyperlink>
      <w:r w:rsidR="006C563A">
        <w:rPr>
          <w:rFonts w:eastAsia="Century Gothic"/>
          <w:color w:val="000000"/>
        </w:rPr>
        <w:t xml:space="preserve"> </w:t>
      </w:r>
    </w:p>
    <w:p w14:paraId="52819C72" w14:textId="534109BC" w:rsidR="00FC522B" w:rsidRPr="00C805E9" w:rsidRDefault="00FC522B" w:rsidP="003C2087">
      <w:pPr>
        <w:spacing w:before="0" w:after="240" w:line="280" w:lineRule="exact"/>
        <w:rPr>
          <w:szCs w:val="22"/>
        </w:rPr>
      </w:pPr>
      <w:r>
        <w:rPr>
          <w:szCs w:val="22"/>
        </w:rPr>
        <w:t>Organisation for Economic Co-operation and Development, ‘</w:t>
      </w:r>
      <w:r w:rsidR="00C805E9">
        <w:rPr>
          <w:szCs w:val="22"/>
        </w:rPr>
        <w:t>Guide for National Contact Points on the Initial Assessment of Specific Instances, OECD Publishing, Paris</w:t>
      </w:r>
      <w:r w:rsidR="00C342A0">
        <w:rPr>
          <w:szCs w:val="22"/>
        </w:rPr>
        <w:t xml:space="preserve">, 31 January 2019. </w:t>
      </w:r>
      <w:hyperlink r:id="rId34" w:history="1">
        <w:r w:rsidR="00C342A0" w:rsidRPr="00B3301D">
          <w:rPr>
            <w:rStyle w:val="Hyperlink"/>
            <w:szCs w:val="22"/>
          </w:rPr>
          <w:t>https://doi.org/10.1787/c8d7f80a-en</w:t>
        </w:r>
      </w:hyperlink>
      <w:r w:rsidR="00C342A0">
        <w:rPr>
          <w:szCs w:val="22"/>
        </w:rPr>
        <w:t xml:space="preserve"> </w:t>
      </w:r>
    </w:p>
    <w:p w14:paraId="5EB29781" w14:textId="0E1F4D90" w:rsidR="006C563A" w:rsidRPr="00183C9A" w:rsidRDefault="00C61689" w:rsidP="003C2087">
      <w:pPr>
        <w:spacing w:before="0" w:after="240" w:line="280" w:lineRule="exact"/>
        <w:rPr>
          <w:szCs w:val="22"/>
        </w:rPr>
      </w:pPr>
      <w:r w:rsidRPr="00462F9D">
        <w:rPr>
          <w:szCs w:val="22"/>
        </w:rPr>
        <w:t>Organisation for Economic Co-operation and Development, ‘OECD Guidelines for Multinational Enterprises on Responsible Business Conduct’, OECD Publishing, Paris, 8 June 2023</w:t>
      </w:r>
      <w:r>
        <w:rPr>
          <w:szCs w:val="22"/>
        </w:rPr>
        <w:t>, accessed 25</w:t>
      </w:r>
      <w:r w:rsidR="003C2087">
        <w:rPr>
          <w:szCs w:val="22"/>
        </w:rPr>
        <w:t> </w:t>
      </w:r>
      <w:r>
        <w:rPr>
          <w:szCs w:val="22"/>
        </w:rPr>
        <w:t xml:space="preserve">March 2026. </w:t>
      </w:r>
      <w:hyperlink r:id="rId35" w:history="1">
        <w:r w:rsidR="00316673" w:rsidRPr="00D83B20">
          <w:rPr>
            <w:rStyle w:val="Hyperlink"/>
            <w:szCs w:val="22"/>
          </w:rPr>
          <w:t>http://dx.doi.org/10.1787/81f92357-en</w:t>
        </w:r>
      </w:hyperlink>
      <w:r w:rsidR="00316673">
        <w:rPr>
          <w:szCs w:val="22"/>
        </w:rPr>
        <w:t xml:space="preserve"> </w:t>
      </w:r>
      <w:r w:rsidRPr="00462F9D">
        <w:rPr>
          <w:szCs w:val="22"/>
        </w:rPr>
        <w:t xml:space="preserve"> </w:t>
      </w:r>
    </w:p>
    <w:p w14:paraId="77315F5E" w14:textId="19B32A62" w:rsidR="0005534E" w:rsidRPr="00F75DF3" w:rsidRDefault="00793705" w:rsidP="003C2087">
      <w:pPr>
        <w:spacing w:beforeLines="120" w:before="288" w:after="240" w:line="280" w:lineRule="exact"/>
        <w:textAlignment w:val="baseline"/>
        <w:rPr>
          <w:rFonts w:eastAsia="Century Gothic"/>
          <w:color w:val="000000"/>
        </w:rPr>
      </w:pPr>
      <w:r>
        <w:rPr>
          <w:rFonts w:eastAsia="Century Gothic"/>
          <w:color w:val="000000"/>
        </w:rPr>
        <w:t>Orellana M, Special Rapporteur</w:t>
      </w:r>
      <w:r w:rsidR="00F75DF3">
        <w:rPr>
          <w:rFonts w:eastAsia="Century Gothic"/>
          <w:color w:val="000000"/>
        </w:rPr>
        <w:t>, ‘</w:t>
      </w:r>
      <w:r w:rsidR="00F75DF3" w:rsidRPr="00183C9A">
        <w:rPr>
          <w:rFonts w:eastAsia="Century Gothic"/>
          <w:color w:val="000000"/>
        </w:rPr>
        <w:t>Report of the Special Rapporteur on the implications for human rights of the environmentally sound management and disposal of hazardous substances and wastes</w:t>
      </w:r>
      <w:r w:rsidR="00F75DF3">
        <w:rPr>
          <w:rFonts w:eastAsia="Century Gothic"/>
          <w:color w:val="000000"/>
        </w:rPr>
        <w:t xml:space="preserve">’, </w:t>
      </w:r>
      <w:r w:rsidR="00556712">
        <w:rPr>
          <w:rFonts w:eastAsia="Century Gothic"/>
          <w:color w:val="000000"/>
        </w:rPr>
        <w:lastRenderedPageBreak/>
        <w:t xml:space="preserve">UN Doc A/80/174, United Nations, Geneva, 16 July 2025, accessed 3 March 2026. </w:t>
      </w:r>
      <w:hyperlink r:id="rId36" w:history="1">
        <w:r w:rsidR="00556712" w:rsidRPr="00B3301D">
          <w:rPr>
            <w:rStyle w:val="Hyperlink"/>
            <w:rFonts w:eastAsia="Century Gothic"/>
          </w:rPr>
          <w:t>https://documents.un.org/doc/undoc/gen/n25/190/95/pdf/n2519095.pdf</w:t>
        </w:r>
      </w:hyperlink>
      <w:r w:rsidR="00556712">
        <w:rPr>
          <w:rFonts w:eastAsia="Century Gothic"/>
          <w:color w:val="000000"/>
        </w:rPr>
        <w:t xml:space="preserve"> </w:t>
      </w:r>
    </w:p>
    <w:p w14:paraId="6408E046" w14:textId="68C56144" w:rsidR="006C563A" w:rsidRDefault="00016924" w:rsidP="003C2087">
      <w:pPr>
        <w:spacing w:beforeLines="120" w:before="288" w:after="240" w:line="280" w:lineRule="exact"/>
        <w:textAlignment w:val="baseline"/>
        <w:rPr>
          <w:rFonts w:eastAsia="Century Gothic"/>
          <w:color w:val="000000"/>
        </w:rPr>
      </w:pPr>
      <w:r>
        <w:rPr>
          <w:rFonts w:eastAsia="Century Gothic"/>
          <w:color w:val="000000"/>
        </w:rPr>
        <w:t xml:space="preserve">United States of America National Contact Point for </w:t>
      </w:r>
      <w:r w:rsidR="006B62B5">
        <w:rPr>
          <w:rFonts w:eastAsia="Century Gothic"/>
          <w:color w:val="000000"/>
        </w:rPr>
        <w:t>the OECD Guidelines, ‘Specific Instance Between an Individual Acting for Descendents of Oswald Weiss (submitters) and a U.S. Company for Conduct Linked to Former Czech</w:t>
      </w:r>
      <w:r w:rsidR="00D16AF5">
        <w:rPr>
          <w:rFonts w:eastAsia="Century Gothic"/>
          <w:color w:val="000000"/>
        </w:rPr>
        <w:t>oslovakia</w:t>
      </w:r>
      <w:r w:rsidR="00C84CED">
        <w:rPr>
          <w:rFonts w:eastAsia="Century Gothic"/>
          <w:color w:val="000000"/>
        </w:rPr>
        <w:t xml:space="preserve">’, Final Statement, </w:t>
      </w:r>
      <w:r w:rsidR="0096798E">
        <w:rPr>
          <w:rFonts w:eastAsia="Century Gothic"/>
          <w:color w:val="000000"/>
        </w:rPr>
        <w:t xml:space="preserve">United States Department of State, 20 September 2017. </w:t>
      </w:r>
      <w:hyperlink r:id="rId37" w:history="1">
        <w:r w:rsidR="00C95F04" w:rsidRPr="00D83B20">
          <w:rPr>
            <w:rStyle w:val="Hyperlink"/>
            <w:rFonts w:eastAsia="Century Gothic"/>
          </w:rPr>
          <w:t>https://www.state.</w:t>
        </w:r>
        <w:r w:rsidR="00C95F04" w:rsidRPr="00FD7677">
          <w:rPr>
            <w:rStyle w:val="Hyperlink"/>
            <w:rFonts w:eastAsia="Century Gothic"/>
          </w:rPr>
          <w:t>gov</w:t>
        </w:r>
        <w:r w:rsidR="00C95F04" w:rsidRPr="00D83B20">
          <w:rPr>
            <w:rStyle w:val="Hyperlink"/>
            <w:rFonts w:eastAsia="Century Gothic"/>
          </w:rPr>
          <w:t>/wp-content/uploads/2019/04/Czechoslovakia-Final-Statement.pdf</w:t>
        </w:r>
      </w:hyperlink>
      <w:r w:rsidR="00C95F04">
        <w:rPr>
          <w:rFonts w:eastAsia="Century Gothic"/>
          <w:color w:val="000000"/>
        </w:rPr>
        <w:t xml:space="preserve"> </w:t>
      </w:r>
    </w:p>
    <w:p w14:paraId="3CBFA81B" w14:textId="16A88DC3" w:rsidR="00C95F04" w:rsidRPr="00743FE6" w:rsidRDefault="00501EF3" w:rsidP="003C2087">
      <w:pPr>
        <w:spacing w:beforeLines="120" w:before="288" w:after="240" w:line="280" w:lineRule="exact"/>
        <w:textAlignment w:val="baseline"/>
        <w:rPr>
          <w:rFonts w:eastAsia="Century Gothic"/>
          <w:color w:val="000000"/>
        </w:rPr>
      </w:pPr>
      <w:r>
        <w:rPr>
          <w:rFonts w:eastAsia="Century Gothic"/>
          <w:i/>
          <w:iCs/>
          <w:color w:val="000000"/>
        </w:rPr>
        <w:t>Vietnam Association</w:t>
      </w:r>
      <w:r w:rsidR="00743FE6">
        <w:rPr>
          <w:rFonts w:eastAsia="Century Gothic"/>
          <w:i/>
          <w:iCs/>
          <w:color w:val="000000"/>
        </w:rPr>
        <w:t xml:space="preserve"> for Victims of Agent Orange/Dioxin v. Dow Chemical Co.</w:t>
      </w:r>
      <w:r w:rsidR="00743FE6">
        <w:rPr>
          <w:rFonts w:eastAsia="Century Gothic"/>
          <w:color w:val="000000"/>
        </w:rPr>
        <w:t xml:space="preserve">, </w:t>
      </w:r>
      <w:r w:rsidR="00BF626D">
        <w:rPr>
          <w:rFonts w:eastAsia="Century Gothic"/>
          <w:color w:val="000000"/>
        </w:rPr>
        <w:t>(2</w:t>
      </w:r>
      <w:r w:rsidR="00BF626D" w:rsidRPr="00183C9A">
        <w:rPr>
          <w:rFonts w:eastAsia="Century Gothic"/>
          <w:color w:val="000000"/>
          <w:vertAlign w:val="superscript"/>
        </w:rPr>
        <w:t>nd</w:t>
      </w:r>
      <w:r w:rsidR="00BF626D">
        <w:rPr>
          <w:rFonts w:eastAsia="Century Gothic"/>
          <w:color w:val="000000"/>
        </w:rPr>
        <w:t xml:space="preserve"> Cir., 05-1953-cv, </w:t>
      </w:r>
      <w:r w:rsidR="003C2087">
        <w:rPr>
          <w:rFonts w:eastAsia="Century Gothic"/>
          <w:color w:val="000000"/>
        </w:rPr>
        <w:t>22 </w:t>
      </w:r>
      <w:r w:rsidR="00BF626D">
        <w:rPr>
          <w:rFonts w:eastAsia="Century Gothic"/>
          <w:color w:val="000000"/>
        </w:rPr>
        <w:t xml:space="preserve">February 2008). </w:t>
      </w:r>
    </w:p>
    <w:p w14:paraId="45DC2A19" w14:textId="5D3AD789" w:rsidR="00997E39" w:rsidRDefault="00FD7677" w:rsidP="003C2087">
      <w:pPr>
        <w:spacing w:beforeLines="120" w:before="288" w:after="240" w:line="280" w:lineRule="exact"/>
        <w:textAlignment w:val="baseline"/>
        <w:rPr>
          <w:rFonts w:eastAsia="Century Gothic"/>
          <w:color w:val="000000"/>
        </w:rPr>
      </w:pPr>
      <w:r>
        <w:rPr>
          <w:rFonts w:eastAsia="Century Gothic"/>
          <w:color w:val="000000"/>
        </w:rPr>
        <w:t>Young A</w:t>
      </w:r>
      <w:r w:rsidR="00997E39">
        <w:rPr>
          <w:rFonts w:eastAsia="Century Gothic"/>
          <w:color w:val="000000"/>
        </w:rPr>
        <w:t>, ‘The History, Use, Disposition and Environmental Fate of Agent Orange’, Springer New York</w:t>
      </w:r>
      <w:r w:rsidR="00275ADA">
        <w:rPr>
          <w:rFonts w:eastAsia="Century Gothic"/>
          <w:color w:val="000000"/>
        </w:rPr>
        <w:t xml:space="preserve">, New York, 2009. </w:t>
      </w:r>
    </w:p>
    <w:p w14:paraId="3DC1D041" w14:textId="04C7C3FC" w:rsidR="0085357F" w:rsidRDefault="00335272" w:rsidP="003C2087">
      <w:pPr>
        <w:spacing w:beforeLines="120" w:before="288" w:after="240" w:line="280" w:lineRule="exact"/>
        <w:textAlignment w:val="baseline"/>
        <w:rPr>
          <w:rFonts w:eastAsia="Century Gothic"/>
          <w:color w:val="000000"/>
        </w:rPr>
      </w:pPr>
      <w:r>
        <w:rPr>
          <w:rFonts w:eastAsia="Century Gothic"/>
          <w:color w:val="000000"/>
        </w:rPr>
        <w:t xml:space="preserve">Young A, </w:t>
      </w:r>
      <w:r w:rsidR="0085357F">
        <w:rPr>
          <w:rFonts w:eastAsia="Century Gothic"/>
          <w:color w:val="000000"/>
        </w:rPr>
        <w:t xml:space="preserve">‘Agent Orange: The Failure of Science, Policy and Common Sense’, Springer International Publishing, Cham, </w:t>
      </w:r>
      <w:r w:rsidR="00F1759C">
        <w:rPr>
          <w:rFonts w:eastAsia="Century Gothic"/>
          <w:color w:val="000000"/>
        </w:rPr>
        <w:t>2022.</w:t>
      </w:r>
    </w:p>
    <w:p w14:paraId="2409A26D" w14:textId="15C0895A" w:rsidR="00C31539" w:rsidRPr="0045762A" w:rsidRDefault="00F1759C" w:rsidP="003C2087">
      <w:pPr>
        <w:spacing w:beforeLines="120" w:before="288" w:after="240" w:line="280" w:lineRule="exact"/>
        <w:textAlignment w:val="baseline"/>
        <w:rPr>
          <w:rFonts w:eastAsia="Century Gothic"/>
          <w:color w:val="000000"/>
        </w:rPr>
      </w:pPr>
      <w:r>
        <w:rPr>
          <w:rFonts w:eastAsia="Century Gothic"/>
          <w:color w:val="000000"/>
        </w:rPr>
        <w:t>Yule P, ‘The Long Shadow: Australia’s Vietnam Veterans since the War’, NewSouth Publishing, Sydney, 2020.</w:t>
      </w:r>
    </w:p>
    <w:p w14:paraId="738A777B" w14:textId="77777777" w:rsidR="0024502F" w:rsidRPr="00C05E7B" w:rsidRDefault="0024502F">
      <w:pPr>
        <w:spacing w:before="0" w:after="160" w:line="259" w:lineRule="auto"/>
        <w:rPr>
          <w:b/>
          <w:iCs/>
        </w:rPr>
      </w:pPr>
      <w:bookmarkStart w:id="56" w:name="_Toc116382023"/>
      <w:r w:rsidRPr="00C05E7B">
        <w:rPr>
          <w:b/>
          <w:iCs/>
        </w:rPr>
        <w:br w:type="page"/>
      </w:r>
    </w:p>
    <w:p w14:paraId="2216A77E" w14:textId="6BDFA272" w:rsidR="00715E4A" w:rsidRPr="00C05E7B" w:rsidRDefault="0069180D" w:rsidP="004E4248">
      <w:pPr>
        <w:pStyle w:val="Heading2"/>
      </w:pPr>
      <w:bookmarkStart w:id="57" w:name="_Toc211334208"/>
      <w:bookmarkStart w:id="58" w:name="_Toc219735252"/>
      <w:bookmarkStart w:id="59" w:name="_Toc230360322"/>
      <w:bookmarkStart w:id="60" w:name="_Hlk124327367"/>
      <w:bookmarkEnd w:id="55"/>
      <w:r w:rsidRPr="00C05E7B">
        <w:lastRenderedPageBreak/>
        <w:t xml:space="preserve">Annex </w:t>
      </w:r>
      <w:r w:rsidR="002344EC" w:rsidRPr="00C05E7B">
        <w:t>D</w:t>
      </w:r>
      <w:r w:rsidRPr="00C05E7B">
        <w:t xml:space="preserve">: </w:t>
      </w:r>
      <w:r w:rsidR="00715E4A" w:rsidRPr="00C05E7B">
        <w:t>Institutional arrangements</w:t>
      </w:r>
      <w:bookmarkEnd w:id="57"/>
      <w:bookmarkEnd w:id="58"/>
      <w:bookmarkEnd w:id="59"/>
      <w:r w:rsidR="00715E4A" w:rsidRPr="00C05E7B">
        <w:t xml:space="preserve"> </w:t>
      </w:r>
      <w:bookmarkEnd w:id="56"/>
    </w:p>
    <w:p w14:paraId="5C43A608" w14:textId="0FDCF67E" w:rsidR="004736E6" w:rsidRPr="001349F4" w:rsidRDefault="004736E6" w:rsidP="0045762A">
      <w:pPr>
        <w:pStyle w:val="Bullet"/>
        <w:numPr>
          <w:ilvl w:val="0"/>
          <w:numId w:val="11"/>
        </w:numPr>
        <w:tabs>
          <w:tab w:val="clear" w:pos="425"/>
          <w:tab w:val="left" w:pos="720"/>
        </w:tabs>
        <w:spacing w:after="240"/>
      </w:pPr>
      <w:bookmarkStart w:id="61" w:name="_Hlk135040823"/>
      <w:bookmarkStart w:id="62" w:name="_Hlk135040846"/>
      <w:bookmarkStart w:id="63" w:name="_Hlk135040886"/>
      <w:r w:rsidRPr="001349F4">
        <w:t>The Australian Government is committed to promoting the use of the OECD Guidelines and implementing them effectively and consistently. Through business cooperation and support, the OECD Guidelines can positively influence business conduct and ultimately economic, environmental and social progress.</w:t>
      </w:r>
    </w:p>
    <w:p w14:paraId="2A4579FE" w14:textId="77777777" w:rsidR="004736E6" w:rsidRPr="001349F4" w:rsidRDefault="004736E6" w:rsidP="0045762A">
      <w:pPr>
        <w:pStyle w:val="Bullet"/>
        <w:numPr>
          <w:ilvl w:val="0"/>
          <w:numId w:val="11"/>
        </w:numPr>
        <w:tabs>
          <w:tab w:val="clear" w:pos="425"/>
          <w:tab w:val="left" w:pos="720"/>
        </w:tabs>
        <w:spacing w:after="240"/>
      </w:pPr>
      <w:bookmarkStart w:id="64" w:name="_Hlk135040830"/>
      <w:bookmarkEnd w:id="61"/>
      <w:r w:rsidRPr="001349F4">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4665CD21" w14:textId="6EA537E7" w:rsidR="004736E6" w:rsidRPr="001349F4" w:rsidRDefault="004736E6" w:rsidP="0045762A">
      <w:pPr>
        <w:pStyle w:val="Bullet"/>
        <w:numPr>
          <w:ilvl w:val="0"/>
          <w:numId w:val="11"/>
        </w:numPr>
        <w:tabs>
          <w:tab w:val="clear" w:pos="425"/>
          <w:tab w:val="left" w:pos="720"/>
        </w:tabs>
        <w:spacing w:after="240"/>
      </w:pPr>
      <w:bookmarkStart w:id="65" w:name="_Hlk135040837"/>
      <w:bookmarkEnd w:id="64"/>
      <w:r w:rsidRPr="001349F4">
        <w:t>The OECD Guidelines represent international standards of behaviour, which in some areas, may impose higher standards than Australian law. Importantly however, while Australia is an adhering country to the OECD Guidelines and the OECD Guidelines have been endorsed within the OECD international forum, they are not a substitute for, nor do they override, Australian or international law.</w:t>
      </w:r>
    </w:p>
    <w:bookmarkEnd w:id="65"/>
    <w:p w14:paraId="4A7B4C3F" w14:textId="2D5B18A2" w:rsidR="004736E6" w:rsidRPr="001349F4" w:rsidRDefault="004736E6" w:rsidP="0045762A">
      <w:pPr>
        <w:pStyle w:val="Bullet"/>
        <w:numPr>
          <w:ilvl w:val="0"/>
          <w:numId w:val="11"/>
        </w:numPr>
        <w:tabs>
          <w:tab w:val="clear" w:pos="425"/>
          <w:tab w:val="left" w:pos="720"/>
        </w:tabs>
        <w:spacing w:after="240"/>
        <w:rPr>
          <w:rStyle w:val="eop"/>
        </w:rPr>
      </w:pPr>
      <w:r w:rsidRPr="001349F4">
        <w:rPr>
          <w:rStyle w:val="normaltextrun"/>
          <w:color w:val="000000"/>
          <w:shd w:val="clear" w:color="auto" w:fill="FFFFFF"/>
        </w:rPr>
        <w:t>The OECD Guidelines can be seen as:</w:t>
      </w:r>
      <w:bookmarkStart w:id="66" w:name="_Hlk135040860"/>
    </w:p>
    <w:p w14:paraId="7728DDE2" w14:textId="77777777" w:rsidR="004736E6" w:rsidRPr="001349F4" w:rsidRDefault="004736E6" w:rsidP="0045762A">
      <w:pPr>
        <w:pStyle w:val="Dash"/>
        <w:spacing w:after="240" w:line="280" w:lineRule="exact"/>
        <w:jc w:val="both"/>
      </w:pPr>
      <w:r w:rsidRPr="001349F4">
        <w:t>A useful aid to business in developing their own code of conduct. They are not aimed at replacing or preventing enterprises from developing their own codes.</w:t>
      </w:r>
    </w:p>
    <w:p w14:paraId="48C27231" w14:textId="37FCA5A4" w:rsidR="004736E6" w:rsidRPr="008F09C0" w:rsidRDefault="004736E6" w:rsidP="0045762A">
      <w:pPr>
        <w:pStyle w:val="Dash"/>
        <w:spacing w:after="240" w:line="280" w:lineRule="exact"/>
        <w:jc w:val="both"/>
        <w:rPr>
          <w:rStyle w:val="normaltextrun"/>
        </w:rPr>
      </w:pPr>
      <w:bookmarkStart w:id="67" w:name="_Hlk135040871"/>
      <w:bookmarkEnd w:id="66"/>
      <w:r w:rsidRPr="001349F4">
        <w:t>Complementary to other business, national and international initiatives on corporate responsibility, including domestic and international law in specific areas such as human rights and bribery. For example, the human rights chapter in the OECD Guidelines as well as other key</w:t>
      </w:r>
      <w:r w:rsidR="00F516A3">
        <w:t> </w:t>
      </w:r>
      <w:r w:rsidRPr="001349F4">
        <w:t>concepts align with the</w:t>
      </w:r>
      <w:bookmarkEnd w:id="67"/>
      <w:r w:rsidRPr="001349F4">
        <w:t xml:space="preserve"> </w:t>
      </w:r>
      <w:bookmarkStart w:id="68" w:name="_Hlk135040880"/>
      <w:r w:rsidRPr="001349F4">
        <w:fldChar w:fldCharType="begin"/>
      </w:r>
      <w:r w:rsidRPr="001349F4">
        <w:instrText xml:space="preserve"> HYPERLINK "https://www.ohchr.org/sites/default/files/documents/publications/guidingprinciplesbusinesshr_en.pdf" </w:instrText>
      </w:r>
      <w:r w:rsidRPr="001349F4">
        <w:fldChar w:fldCharType="separate"/>
      </w:r>
      <w:r w:rsidRPr="001349F4">
        <w:rPr>
          <w:rStyle w:val="Hyperlink"/>
          <w:bCs/>
        </w:rPr>
        <w:t>U</w:t>
      </w:r>
      <w:r>
        <w:rPr>
          <w:rStyle w:val="Hyperlink"/>
          <w:bCs/>
        </w:rPr>
        <w:t xml:space="preserve">nited </w:t>
      </w:r>
      <w:r w:rsidRPr="001349F4">
        <w:rPr>
          <w:rStyle w:val="Hyperlink"/>
          <w:bCs/>
        </w:rPr>
        <w:t>N</w:t>
      </w:r>
      <w:r>
        <w:rPr>
          <w:rStyle w:val="Hyperlink"/>
          <w:bCs/>
        </w:rPr>
        <w:t xml:space="preserve">ations </w:t>
      </w:r>
      <w:r w:rsidRPr="001349F4">
        <w:rPr>
          <w:rStyle w:val="Hyperlink"/>
          <w:bCs/>
        </w:rPr>
        <w:t>G</w:t>
      </w:r>
      <w:r>
        <w:rPr>
          <w:rStyle w:val="Hyperlink"/>
          <w:bCs/>
        </w:rPr>
        <w:t xml:space="preserve">uiding Principles </w:t>
      </w:r>
      <w:r w:rsidR="00820D67" w:rsidRPr="007C5267">
        <w:rPr>
          <w:rStyle w:val="Hyperlink"/>
          <w:bCs/>
        </w:rPr>
        <w:t>on</w:t>
      </w:r>
      <w:r>
        <w:rPr>
          <w:rStyle w:val="Hyperlink"/>
          <w:bCs/>
        </w:rPr>
        <w:t xml:space="preserve"> Business and Human Rights</w:t>
      </w:r>
      <w:r w:rsidRPr="001349F4">
        <w:rPr>
          <w:rStyle w:val="Hyperlink"/>
          <w:bCs/>
        </w:rPr>
        <w:fldChar w:fldCharType="end"/>
      </w:r>
      <w:bookmarkStart w:id="69" w:name="_Hlk120608258"/>
      <w:bookmarkEnd w:id="68"/>
      <w:r w:rsidRPr="008F09C0">
        <w:rPr>
          <w:rStyle w:val="normaltextrun"/>
          <w:color w:val="000000"/>
          <w:shd w:val="clear" w:color="auto" w:fill="FFFFFF"/>
        </w:rPr>
        <w:t>.</w:t>
      </w:r>
      <w:bookmarkEnd w:id="69"/>
    </w:p>
    <w:p w14:paraId="4A0117A7" w14:textId="66B5DF99" w:rsidR="00715E4A" w:rsidRPr="00C05E7B" w:rsidRDefault="004736E6" w:rsidP="0045762A">
      <w:pPr>
        <w:pStyle w:val="Dash"/>
        <w:spacing w:after="240" w:line="280" w:lineRule="exact"/>
        <w:jc w:val="both"/>
      </w:pPr>
      <w:r w:rsidRPr="001349F4">
        <w:t>Providing an informal structure for resolving issues that may arise in relation to implementation of the OECD Guidelines in complaints.</w:t>
      </w:r>
      <w:bookmarkEnd w:id="62"/>
      <w:bookmarkEnd w:id="63"/>
    </w:p>
    <w:p w14:paraId="26F546F9" w14:textId="77777777" w:rsidR="00715E4A" w:rsidRPr="00C05E7B" w:rsidRDefault="00715E4A">
      <w:pPr>
        <w:spacing w:before="0" w:after="160" w:line="259" w:lineRule="auto"/>
      </w:pPr>
      <w:bookmarkStart w:id="70" w:name="_Toc116382024"/>
      <w:r w:rsidRPr="00C05E7B">
        <w:br w:type="page"/>
      </w:r>
    </w:p>
    <w:p w14:paraId="2AB0881D" w14:textId="01098846" w:rsidR="00715E4A" w:rsidRPr="00C05E7B" w:rsidRDefault="0069180D" w:rsidP="004E4248">
      <w:pPr>
        <w:pStyle w:val="Heading2"/>
      </w:pPr>
      <w:bookmarkStart w:id="71" w:name="_Toc211334209"/>
      <w:bookmarkStart w:id="72" w:name="_Toc219735253"/>
      <w:bookmarkStart w:id="73" w:name="_Toc230360323"/>
      <w:r w:rsidRPr="00C05E7B">
        <w:lastRenderedPageBreak/>
        <w:t xml:space="preserve">Annex </w:t>
      </w:r>
      <w:r w:rsidR="002344EC" w:rsidRPr="00C05E7B">
        <w:t>E</w:t>
      </w:r>
      <w:r w:rsidRPr="00C05E7B">
        <w:t xml:space="preserve">: </w:t>
      </w:r>
      <w:r w:rsidR="00715E4A" w:rsidRPr="00C05E7B">
        <w:t>Governance</w:t>
      </w:r>
      <w:bookmarkEnd w:id="70"/>
      <w:bookmarkEnd w:id="71"/>
      <w:bookmarkEnd w:id="72"/>
      <w:bookmarkEnd w:id="73"/>
      <w:r w:rsidR="00715E4A" w:rsidRPr="00C05E7B">
        <w:t xml:space="preserve"> </w:t>
      </w:r>
    </w:p>
    <w:p w14:paraId="306EEED4" w14:textId="11ACDEF3" w:rsidR="005109E0" w:rsidRPr="001349F4" w:rsidRDefault="005109E0" w:rsidP="0045762A">
      <w:pPr>
        <w:pStyle w:val="Bullet"/>
        <w:numPr>
          <w:ilvl w:val="0"/>
          <w:numId w:val="11"/>
        </w:numPr>
        <w:tabs>
          <w:tab w:val="clear" w:pos="425"/>
          <w:tab w:val="left" w:pos="720"/>
        </w:tabs>
        <w:spacing w:after="240"/>
      </w:pPr>
      <w:bookmarkStart w:id="74" w:name="_Hlk135040898"/>
      <w:bookmarkStart w:id="75" w:name="_Hlk135040957"/>
      <w:r w:rsidRPr="001349F4">
        <w:t xml:space="preserve">Governments adhering to the OECD Guidelines have flexibility in organising their NCPs, which are expected to meet core effectiveness criteria, by operating in a manner that is visible, accessible, transparent, accountable, impartial and equitable, predictable, and compatible with the OECD Guidelines. NCPs are also expected to seek the active support of social partners, other stakeholders and relevant government agencies. </w:t>
      </w:r>
    </w:p>
    <w:bookmarkEnd w:id="74"/>
    <w:p w14:paraId="2ACD17DA" w14:textId="77777777" w:rsidR="005109E0" w:rsidRPr="001349F4" w:rsidRDefault="005109E0" w:rsidP="0045762A">
      <w:pPr>
        <w:pStyle w:val="Bullet"/>
        <w:numPr>
          <w:ilvl w:val="0"/>
          <w:numId w:val="11"/>
        </w:numPr>
        <w:tabs>
          <w:tab w:val="clear" w:pos="425"/>
          <w:tab w:val="left" w:pos="720"/>
        </w:tabs>
        <w:spacing w:after="240"/>
      </w:pPr>
      <w:r w:rsidRPr="001349F4">
        <w:t xml:space="preserve">Accordingly, the OECD Guidelines stipulate that: </w:t>
      </w:r>
    </w:p>
    <w:p w14:paraId="1918E20F" w14:textId="77777777" w:rsidR="005109E0" w:rsidRPr="001349F4" w:rsidRDefault="005109E0" w:rsidP="0045762A">
      <w:pPr>
        <w:pStyle w:val="Dash"/>
        <w:spacing w:after="240" w:line="280" w:lineRule="exact"/>
        <w:jc w:val="both"/>
      </w:pPr>
      <w:bookmarkStart w:id="76" w:name="_Hlk135040907"/>
      <w:r w:rsidRPr="001349F4">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76"/>
      <w:r w:rsidRPr="001349F4">
        <w:t>.</w:t>
      </w:r>
    </w:p>
    <w:p w14:paraId="6AA52773" w14:textId="77777777" w:rsidR="005109E0" w:rsidRPr="001349F4" w:rsidRDefault="005109E0" w:rsidP="0045762A">
      <w:pPr>
        <w:pStyle w:val="Dash"/>
        <w:spacing w:after="240" w:line="280" w:lineRule="exact"/>
        <w:jc w:val="both"/>
      </w:pPr>
      <w:bookmarkStart w:id="77" w:name="_Hlk135040914"/>
      <w:r w:rsidRPr="001349F4">
        <w:t xml:space="preserve">NCPs can use different forms of organisation to meet the effectiveness criteria and maintain stakeholder confidence. </w:t>
      </w:r>
    </w:p>
    <w:p w14:paraId="5CE743FD" w14:textId="2F3B2358" w:rsidR="005109E0" w:rsidRPr="001349F4" w:rsidRDefault="005109E0" w:rsidP="0045762A">
      <w:pPr>
        <w:pStyle w:val="Dash"/>
        <w:spacing w:after="240" w:line="280" w:lineRule="exact"/>
        <w:jc w:val="both"/>
      </w:pPr>
      <w:bookmarkStart w:id="78" w:name="_Hlk135040920"/>
      <w:bookmarkEnd w:id="77"/>
      <w:r w:rsidRPr="001349F4">
        <w:t xml:space="preserve">Governments are encouraged to include representatives of the business community, worker organisations, civil society and other non-governmental organisations in advisory or oversight bodies to assist the NCP in its tasks and contribute to the effectiveness of the OECD Guidelines. </w:t>
      </w:r>
    </w:p>
    <w:p w14:paraId="7E4E74CE" w14:textId="726B5785" w:rsidR="005109E0" w:rsidRDefault="005109E0" w:rsidP="0045762A">
      <w:pPr>
        <w:pStyle w:val="Bullet"/>
        <w:numPr>
          <w:ilvl w:val="0"/>
          <w:numId w:val="11"/>
        </w:numPr>
        <w:tabs>
          <w:tab w:val="clear" w:pos="425"/>
          <w:tab w:val="left" w:pos="720"/>
        </w:tabs>
        <w:spacing w:after="240"/>
      </w:pPr>
      <w:bookmarkStart w:id="79" w:name="_Hlk135040935"/>
      <w:bookmarkEnd w:id="78"/>
      <w:r w:rsidRPr="001349F4">
        <w:t xml:space="preserve">The </w:t>
      </w:r>
      <w:hyperlink r:id="rId38" w:history="1">
        <w:r w:rsidRPr="001349F4">
          <w:rPr>
            <w:rStyle w:val="Hyperlink"/>
          </w:rPr>
          <w:t>AusNCP Board</w:t>
        </w:r>
      </w:hyperlink>
      <w:r w:rsidRPr="008F09C0">
        <w:rPr>
          <w:rStyle w:val="Hyperlink"/>
        </w:rPr>
        <w:t xml:space="preserve"> </w:t>
      </w:r>
      <w:r w:rsidRPr="001349F4">
        <w:t>includes representatives from Australian Government agencies, business, civil</w:t>
      </w:r>
      <w:r w:rsidR="00F516A3">
        <w:t> </w:t>
      </w:r>
      <w:r w:rsidRPr="001349F4">
        <w:t xml:space="preserve">society and unions. The AusNCP Board provides independent expert advice and assistance to the AusNCP and the </w:t>
      </w:r>
      <w:r>
        <w:t>I</w:t>
      </w:r>
      <w:r w:rsidRPr="001349F4">
        <w:t xml:space="preserve">ndependent </w:t>
      </w:r>
      <w:r>
        <w:t>E</w:t>
      </w:r>
      <w:r w:rsidRPr="001349F4">
        <w:t xml:space="preserve">xaminers on complaints handling. Board members use their networks, events and publications to promote responsible business conduct standards under the OECD Guidelines and the AusNCP services. The AusNCP Board is consulted on all AusNCP statements. </w:t>
      </w:r>
      <w:bookmarkEnd w:id="79"/>
    </w:p>
    <w:p w14:paraId="62F11817" w14:textId="5EC069C6" w:rsidR="00820D67" w:rsidRPr="00C05E7B" w:rsidRDefault="005109E0" w:rsidP="0045762A">
      <w:pPr>
        <w:pStyle w:val="Bullet"/>
        <w:numPr>
          <w:ilvl w:val="0"/>
          <w:numId w:val="11"/>
        </w:numPr>
        <w:tabs>
          <w:tab w:val="clear" w:pos="425"/>
          <w:tab w:val="left" w:pos="720"/>
        </w:tabs>
        <w:spacing w:after="240"/>
      </w:pPr>
      <w:bookmarkStart w:id="80" w:name="_Hlk135040951"/>
      <w:r w:rsidRPr="001349F4">
        <w:t>The AusNCP Board helps to ensure that the AusNCP meets the effectiveness criteria of the OECD Guidelines. AusNCP Board Members may be called on to conduct procedural reviews of AusNCP complaints and may be consulted on various operational and administrative matters as needed.</w:t>
      </w:r>
      <w:r w:rsidR="00820D67" w:rsidRPr="00C05E7B">
        <w:t xml:space="preserve"> </w:t>
      </w:r>
    </w:p>
    <w:bookmarkEnd w:id="60"/>
    <w:bookmarkEnd w:id="75"/>
    <w:bookmarkEnd w:id="80"/>
    <w:p w14:paraId="1B008285" w14:textId="77777777" w:rsidR="00B40FD8" w:rsidRPr="00C05E7B" w:rsidRDefault="00B40FD8" w:rsidP="00D409D4">
      <w:pPr>
        <w:spacing w:after="200" w:line="276" w:lineRule="auto"/>
      </w:pPr>
    </w:p>
    <w:p w14:paraId="56362277" w14:textId="1B2E5B49" w:rsidR="00715E4A" w:rsidRPr="00C05E7B" w:rsidRDefault="00715E4A" w:rsidP="00664EC1">
      <w:pPr>
        <w:spacing w:after="200" w:line="276" w:lineRule="auto"/>
        <w:ind w:firstLine="720"/>
      </w:pPr>
    </w:p>
    <w:sectPr w:rsidR="00715E4A" w:rsidRPr="00C05E7B" w:rsidSect="008F09C0">
      <w:headerReference w:type="even" r:id="rId39"/>
      <w:headerReference w:type="default" r:id="rId40"/>
      <w:footerReference w:type="even" r:id="rId41"/>
      <w:footerReference w:type="default" r:id="rId42"/>
      <w:headerReference w:type="first" r:id="rId43"/>
      <w:footerReference w:type="first" r:id="rId44"/>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A20C" w14:textId="77777777" w:rsidR="00F9492B" w:rsidRDefault="00F9492B">
      <w:pPr>
        <w:spacing w:before="0" w:after="0"/>
      </w:pPr>
      <w:r>
        <w:separator/>
      </w:r>
    </w:p>
  </w:endnote>
  <w:endnote w:type="continuationSeparator" w:id="0">
    <w:p w14:paraId="79EDE376" w14:textId="77777777" w:rsidR="00F9492B" w:rsidRDefault="00F949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0817" w14:textId="7983F74B" w:rsidR="00CA19C7" w:rsidRPr="00F73CEC" w:rsidRDefault="00CA19C7" w:rsidP="00CA19C7">
    <w:pPr>
      <w:pStyle w:val="FooterEven"/>
      <w:jc w:val="both"/>
    </w:pPr>
    <w:r>
      <w:tab/>
    </w:r>
    <w:r w:rsidRPr="00103F3C">
      <w:rPr>
        <w:position w:val="-8"/>
      </w:rPr>
      <w:drawing>
        <wp:inline distT="0" distB="0" distL="0" distR="0" wp14:anchorId="3E63A97A" wp14:editId="10698537">
          <wp:extent cx="1210963" cy="201295"/>
          <wp:effectExtent l="0" t="0" r="8255" b="8255"/>
          <wp:docPr id="1150223267" name="Picture 115022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25885D1B" w14:textId="77777777" w:rsidR="00CA19C7" w:rsidRDefault="00CA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7BB2" w14:textId="30AD989C" w:rsidR="005C7F1C" w:rsidRPr="00F73CEC" w:rsidRDefault="005C7F1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fldChar w:fldCharType="begin"/>
    </w:r>
    <w:r>
      <w:instrText xml:space="preserve"> STYLEREF  "Heading 1"  \* MERGEFORMAT </w:instrText>
    </w:r>
    <w:r>
      <w:fldChar w:fldCharType="end"/>
    </w:r>
    <w:r>
      <w:tab/>
    </w:r>
    <w:r w:rsidRPr="00103F3C">
      <w:rPr>
        <w:position w:val="-8"/>
      </w:rPr>
      <w:drawing>
        <wp:inline distT="0" distB="0" distL="0" distR="0" wp14:anchorId="56C674DF" wp14:editId="167E718C">
          <wp:extent cx="1210963" cy="201295"/>
          <wp:effectExtent l="0" t="0" r="8255" b="8255"/>
          <wp:docPr id="579729135" name="Picture 57972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B5DE" w14:textId="01A0CB75" w:rsidR="005C7F1C" w:rsidRPr="00F73CEC" w:rsidRDefault="005C7F1C" w:rsidP="00CA19C7">
    <w:pPr>
      <w:pStyle w:val="FooterEven"/>
      <w:jc w:val="both"/>
    </w:pPr>
    <w:r>
      <w:fldChar w:fldCharType="begin"/>
    </w:r>
    <w:r>
      <w:instrText>STYLEREF  "Heading 1"  \* MERGEFORMAT</w:instrText>
    </w:r>
    <w:r>
      <w:fldChar w:fldCharType="end"/>
    </w:r>
    <w:r>
      <w:tab/>
    </w:r>
    <w:r w:rsidRPr="00103F3C">
      <w:rPr>
        <w:position w:val="-8"/>
      </w:rPr>
      <w:drawing>
        <wp:inline distT="0" distB="0" distL="0" distR="0" wp14:anchorId="52D9357A" wp14:editId="71E56FF8">
          <wp:extent cx="1210963" cy="201295"/>
          <wp:effectExtent l="0" t="0" r="8255" b="8255"/>
          <wp:docPr id="179851641" name="Picture 17985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470BCD5B" w14:textId="77777777" w:rsidR="005C7F1C" w:rsidRDefault="005C7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A5F2" w14:textId="77777777" w:rsidR="005C7F1C" w:rsidRPr="00095D88" w:rsidRDefault="005C7F1C" w:rsidP="00095D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B145" w14:textId="1AE61025"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BE68C1">
      <w:fldChar w:fldCharType="begin"/>
    </w:r>
    <w:r w:rsidR="00BE68C1">
      <w:instrText xml:space="preserve"> STYLEREF  "Heading 1"  \* MERGEFORMAT </w:instrText>
    </w:r>
    <w:r w:rsidR="00BE68C1">
      <w:fldChar w:fldCharType="end"/>
    </w:r>
    <w:r>
      <w:tab/>
    </w:r>
    <w:r w:rsidRPr="00103F3C">
      <w:rPr>
        <w:position w:val="-8"/>
      </w:rPr>
      <w:drawing>
        <wp:inline distT="0" distB="0" distL="0" distR="0" wp14:anchorId="3B285065" wp14:editId="14A0FC20">
          <wp:extent cx="1210963" cy="201295"/>
          <wp:effectExtent l="0" t="0" r="8255" b="8255"/>
          <wp:docPr id="969466620" name="Picture 96946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A2D5" w14:textId="2345A70E" w:rsidR="005C7F1C" w:rsidRPr="00F73CEC" w:rsidRDefault="005C7F1C" w:rsidP="00CA19C7">
    <w:pPr>
      <w:pStyle w:val="FooterEven"/>
      <w:jc w:val="both"/>
    </w:pPr>
    <w:r>
      <w:rPr>
        <w:noProof w:val="0"/>
      </w:rPr>
      <w:fldChar w:fldCharType="begin"/>
    </w:r>
    <w:r>
      <w:rPr>
        <w:noProof w:val="0"/>
      </w:rPr>
      <w:instrText xml:space="preserve"> PAGE  \* Arabic  \* MERGEFORMAT </w:instrText>
    </w:r>
    <w:r>
      <w:rPr>
        <w:noProof w:val="0"/>
      </w:rPr>
      <w:fldChar w:fldCharType="separate"/>
    </w:r>
    <w:r>
      <w:t>1</w:t>
    </w:r>
    <w:r>
      <w:rPr>
        <w:noProof w:val="0"/>
      </w:rPr>
      <w:fldChar w:fldCharType="end"/>
    </w:r>
    <w:r>
      <w:t xml:space="preserve"> | </w:t>
    </w:r>
    <w:fldSimple w:instr="STYLEREF  &quot;Heading 1&quot;  \* MERGEFORMAT">
      <w:r w:rsidR="00D3406D">
        <w:t>AusNCP proceedings</w:t>
      </w:r>
    </w:fldSimple>
    <w:bookmarkStart w:id="81" w:name="_Toc111026801"/>
    <w:bookmarkStart w:id="82" w:name="_Hlk124933334"/>
    <w:r>
      <w:tab/>
    </w:r>
    <w:r w:rsidRPr="00103F3C">
      <w:rPr>
        <w:position w:val="-8"/>
      </w:rPr>
      <w:drawing>
        <wp:inline distT="0" distB="0" distL="0" distR="0" wp14:anchorId="32F0FB16" wp14:editId="61DD4997">
          <wp:extent cx="1210963" cy="201295"/>
          <wp:effectExtent l="0" t="0" r="8255" b="8255"/>
          <wp:docPr id="1093426389" name="Picture 109342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bookmarkEnd w:id="81"/>
  <w:bookmarkEnd w:id="82"/>
  <w:p w14:paraId="51AE9E05" w14:textId="77777777" w:rsidR="005C7F1C" w:rsidRDefault="005C7F1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69C6"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8B5F" w14:textId="77777777" w:rsidR="00F9492B" w:rsidRPr="00ED5A20" w:rsidRDefault="00F9492B" w:rsidP="000F6233">
      <w:pPr>
        <w:rPr>
          <w:color w:val="4D7861" w:themeColor="accent2"/>
        </w:rPr>
      </w:pPr>
      <w:r w:rsidRPr="00ED5A20">
        <w:rPr>
          <w:color w:val="4D7861" w:themeColor="accent2"/>
        </w:rPr>
        <w:separator/>
      </w:r>
    </w:p>
  </w:footnote>
  <w:footnote w:type="continuationSeparator" w:id="0">
    <w:p w14:paraId="4F35D0BC" w14:textId="77777777" w:rsidR="00F9492B" w:rsidRPr="00B737EB" w:rsidRDefault="00F9492B">
      <w:pPr>
        <w:spacing w:before="0" w:after="0"/>
        <w:rPr>
          <w:color w:val="2C384A" w:themeColor="accent1"/>
        </w:rPr>
      </w:pPr>
      <w:r w:rsidRPr="00B737EB">
        <w:rPr>
          <w:color w:val="2C384A" w:themeColor="accent1"/>
        </w:rPr>
        <w:continuationSeparator/>
      </w:r>
    </w:p>
  </w:footnote>
  <w:footnote w:id="1">
    <w:p w14:paraId="24DF7C52" w14:textId="0F3F11C2" w:rsidR="00657D85" w:rsidRPr="009A074F" w:rsidRDefault="00657D85" w:rsidP="00F60754">
      <w:pPr>
        <w:pStyle w:val="FootnoteText"/>
        <w:ind w:left="113" w:hanging="113"/>
        <w:rPr>
          <w:rFonts w:cs="Calibri Light"/>
        </w:rPr>
      </w:pPr>
      <w:r w:rsidRPr="009A074F">
        <w:rPr>
          <w:rStyle w:val="FootnoteReference"/>
          <w:rFonts w:cs="Calibri Light"/>
          <w:sz w:val="20"/>
        </w:rPr>
        <w:footnoteRef/>
      </w:r>
      <w:r w:rsidRPr="009A074F">
        <w:rPr>
          <w:rFonts w:cs="Calibri Light"/>
        </w:rPr>
        <w:t xml:space="preserve"> </w:t>
      </w:r>
      <w:r w:rsidRPr="009316C3">
        <w:rPr>
          <w:rFonts w:cs="Calibri Light"/>
        </w:rPr>
        <w:t>Organisation for Economic Co-operation and Development (</w:t>
      </w:r>
      <w:r w:rsidRPr="009316C3">
        <w:rPr>
          <w:rFonts w:cs="Calibri Light"/>
          <w:b/>
          <w:bCs/>
        </w:rPr>
        <w:t>OECD</w:t>
      </w:r>
      <w:r w:rsidRPr="009316C3">
        <w:rPr>
          <w:rFonts w:cs="Calibri Light"/>
        </w:rPr>
        <w:t xml:space="preserve">), </w:t>
      </w:r>
      <w:r w:rsidRPr="009316C3">
        <w:rPr>
          <w:rFonts w:cs="Calibri Light"/>
          <w:i/>
          <w:iCs/>
        </w:rPr>
        <w:t>OECD Guidelines for Multinational Enterprises on Responsible Business Conduct</w:t>
      </w:r>
      <w:r w:rsidRPr="009316C3">
        <w:rPr>
          <w:rFonts w:cs="Calibri Light"/>
        </w:rPr>
        <w:t>, OECD Publishing, 8 June 2023, doi:</w:t>
      </w:r>
      <w:hyperlink r:id="rId1" w:history="1">
        <w:r w:rsidRPr="009316C3">
          <w:rPr>
            <w:rStyle w:val="Hyperlink"/>
            <w:rFonts w:cs="Calibri Light"/>
          </w:rPr>
          <w:t>10.1787/81f92357-en</w:t>
        </w:r>
      </w:hyperlink>
      <w:r w:rsidRPr="009316C3">
        <w:rPr>
          <w:rFonts w:cs="Calibri Light"/>
        </w:rPr>
        <w:t xml:space="preserve"> (</w:t>
      </w:r>
      <w:r w:rsidRPr="009316C3">
        <w:rPr>
          <w:rFonts w:cs="Calibri Light"/>
          <w:b/>
          <w:bCs/>
        </w:rPr>
        <w:t>OECD Guidelines</w:t>
      </w:r>
      <w:r w:rsidRPr="009316C3">
        <w:rPr>
          <w:rFonts w:cs="Calibri Light"/>
        </w:rPr>
        <w:t>)</w:t>
      </w:r>
      <w:r>
        <w:rPr>
          <w:rFonts w:cs="Calibri Light"/>
        </w:rPr>
        <w:t xml:space="preserve">. </w:t>
      </w:r>
    </w:p>
  </w:footnote>
  <w:footnote w:id="2">
    <w:p w14:paraId="5FED45E2" w14:textId="04B8943B" w:rsidR="00CA7773" w:rsidRPr="009316C3" w:rsidRDefault="00CA7773" w:rsidP="00CA7773">
      <w:pPr>
        <w:pStyle w:val="FootnoteText"/>
        <w:ind w:left="113" w:hanging="113"/>
        <w:rPr>
          <w:rFonts w:cs="Calibri Light"/>
        </w:rPr>
      </w:pPr>
      <w:r w:rsidRPr="00F17A34">
        <w:rPr>
          <w:rStyle w:val="FootnoteReference"/>
          <w:rFonts w:cs="Calibri Light"/>
          <w:sz w:val="20"/>
        </w:rPr>
        <w:footnoteRef/>
      </w:r>
      <w:r w:rsidRPr="009316C3">
        <w:rPr>
          <w:rFonts w:cs="Calibri Light"/>
        </w:rPr>
        <w:t xml:space="preserve"> </w:t>
      </w:r>
      <w:r w:rsidR="00657D85">
        <w:rPr>
          <w:rFonts w:cs="Calibri Light"/>
        </w:rPr>
        <w:t>OECD Guidelines,</w:t>
      </w:r>
      <w:r w:rsidR="00495409" w:rsidRPr="009316C3">
        <w:rPr>
          <w:rFonts w:cs="Calibri Light"/>
        </w:rPr>
        <w:t xml:space="preserve"> </w:t>
      </w:r>
      <w:r w:rsidR="00495409" w:rsidRPr="009316C3">
        <w:rPr>
          <w:rFonts w:cs="Calibri Light"/>
          <w:i/>
          <w:iCs/>
        </w:rPr>
        <w:t>I. Commentary on the Procedures for NCPs</w:t>
      </w:r>
      <w:r w:rsidR="00495409" w:rsidRPr="009316C3">
        <w:rPr>
          <w:rFonts w:cs="Calibri Light"/>
        </w:rPr>
        <w:t>, p</w:t>
      </w:r>
      <w:r w:rsidR="00FC653C" w:rsidRPr="009316C3">
        <w:rPr>
          <w:rFonts w:cs="Calibri Light"/>
        </w:rPr>
        <w:t xml:space="preserve"> 69</w:t>
      </w:r>
      <w:r w:rsidR="0019064A">
        <w:rPr>
          <w:rFonts w:cs="Calibri Light"/>
        </w:rPr>
        <w:t>,</w:t>
      </w:r>
      <w:r w:rsidR="00FC653C" w:rsidRPr="009316C3">
        <w:rPr>
          <w:rFonts w:cs="Calibri Light"/>
        </w:rPr>
        <w:t xml:space="preserve"> </w:t>
      </w:r>
      <w:r w:rsidR="00657D85">
        <w:rPr>
          <w:rFonts w:cs="Calibri Light"/>
        </w:rPr>
        <w:t>para</w:t>
      </w:r>
      <w:r w:rsidR="00FC653C" w:rsidRPr="009316C3">
        <w:rPr>
          <w:rFonts w:cs="Calibri Light"/>
        </w:rPr>
        <w:t xml:space="preserve"> [30].</w:t>
      </w:r>
    </w:p>
  </w:footnote>
  <w:footnote w:id="3">
    <w:p w14:paraId="68502F7C" w14:textId="0519FD53" w:rsidR="0016321C" w:rsidRPr="009A074F" w:rsidRDefault="0016321C" w:rsidP="00E01FFB">
      <w:pPr>
        <w:pStyle w:val="FootnoteText"/>
        <w:ind w:left="113" w:hanging="113"/>
        <w:rPr>
          <w:rFonts w:cs="Calibri Light"/>
        </w:rPr>
      </w:pPr>
      <w:r w:rsidRPr="009A074F">
        <w:rPr>
          <w:rStyle w:val="FootnoteReference"/>
          <w:rFonts w:cs="Calibri Light"/>
          <w:sz w:val="20"/>
        </w:rPr>
        <w:footnoteRef/>
      </w:r>
      <w:r w:rsidRPr="009A074F">
        <w:rPr>
          <w:rFonts w:cs="Calibri Light"/>
        </w:rPr>
        <w:t xml:space="preserve"> </w:t>
      </w:r>
      <w:r w:rsidRPr="009316C3">
        <w:rPr>
          <w:rFonts w:cs="Calibri Light"/>
        </w:rPr>
        <w:t>Australian National Contact Point for Responsible Business Conduct (</w:t>
      </w:r>
      <w:r w:rsidRPr="009316C3">
        <w:rPr>
          <w:rFonts w:cs="Calibri Light"/>
          <w:b/>
          <w:bCs/>
        </w:rPr>
        <w:t>AusNCP</w:t>
      </w:r>
      <w:r w:rsidRPr="009316C3">
        <w:rPr>
          <w:rFonts w:cs="Calibri Light"/>
        </w:rPr>
        <w:t xml:space="preserve">), </w:t>
      </w:r>
      <w:hyperlink r:id="rId2" w:history="1">
        <w:r w:rsidRPr="00634D93">
          <w:rPr>
            <w:rStyle w:val="Hyperlink"/>
            <w:rFonts w:cs="Calibri Light"/>
          </w:rPr>
          <w:t>AusNCP complaint procedures</w:t>
        </w:r>
      </w:hyperlink>
      <w:r w:rsidRPr="009316C3">
        <w:rPr>
          <w:rFonts w:cs="Calibri Light"/>
        </w:rPr>
        <w:t>, April 2024</w:t>
      </w:r>
      <w:r w:rsidRPr="009A074F">
        <w:rPr>
          <w:rFonts w:cs="Calibri Light"/>
        </w:rPr>
        <w:t>,</w:t>
      </w:r>
      <w:r w:rsidRPr="009316C3">
        <w:rPr>
          <w:rFonts w:cs="Calibri Light"/>
        </w:rPr>
        <w:t xml:space="preserve"> p</w:t>
      </w:r>
      <w:r>
        <w:rPr>
          <w:rFonts w:cs="Calibri Light"/>
        </w:rPr>
        <w:t>ara</w:t>
      </w:r>
      <w:r w:rsidRPr="009316C3">
        <w:rPr>
          <w:rFonts w:cs="Calibri Light"/>
        </w:rPr>
        <w:t xml:space="preserve"> [</w:t>
      </w:r>
      <w:r>
        <w:rPr>
          <w:rFonts w:cs="Calibri Light"/>
        </w:rPr>
        <w:t>100</w:t>
      </w:r>
      <w:r w:rsidRPr="009316C3">
        <w:rPr>
          <w:rFonts w:cs="Calibri Light"/>
        </w:rPr>
        <w:t>]</w:t>
      </w:r>
      <w:r>
        <w:rPr>
          <w:rFonts w:cs="Calibri Light"/>
        </w:rPr>
        <w:t xml:space="preserve"> </w:t>
      </w:r>
      <w:r w:rsidRPr="009316C3">
        <w:rPr>
          <w:rFonts w:cs="Calibri Light"/>
        </w:rPr>
        <w:t>(</w:t>
      </w:r>
      <w:r w:rsidRPr="009316C3">
        <w:rPr>
          <w:rFonts w:cs="Calibri Light"/>
          <w:b/>
          <w:bCs/>
        </w:rPr>
        <w:t>AusNCP complaint procedures</w:t>
      </w:r>
      <w:r w:rsidRPr="009316C3">
        <w:rPr>
          <w:rFonts w:cs="Calibri Light"/>
        </w:rPr>
        <w:t>).</w:t>
      </w:r>
    </w:p>
  </w:footnote>
  <w:footnote w:id="4">
    <w:p w14:paraId="55FAD775" w14:textId="467EE26B" w:rsidR="004E3F89" w:rsidRPr="009316C3" w:rsidRDefault="004E3F89" w:rsidP="004E3F89">
      <w:pPr>
        <w:pStyle w:val="FootnoteText"/>
        <w:ind w:left="113" w:hanging="113"/>
        <w:rPr>
          <w:rFonts w:cs="Calibri Light"/>
          <w:b/>
          <w:bCs/>
        </w:rPr>
      </w:pPr>
      <w:r w:rsidRPr="00F17A34">
        <w:rPr>
          <w:rStyle w:val="FootnoteReference"/>
          <w:rFonts w:cs="Calibri Light"/>
          <w:sz w:val="20"/>
        </w:rPr>
        <w:footnoteRef/>
      </w:r>
      <w:r w:rsidRPr="009A074F">
        <w:rPr>
          <w:rFonts w:cs="Calibri Light"/>
        </w:rPr>
        <w:t xml:space="preserve"> </w:t>
      </w:r>
      <w:r w:rsidR="0016321C">
        <w:rPr>
          <w:rFonts w:cs="Calibri Light"/>
        </w:rPr>
        <w:t>AusNCP complaint procedures</w:t>
      </w:r>
      <w:r w:rsidRPr="009316C3">
        <w:rPr>
          <w:rFonts w:cs="Calibri Light"/>
        </w:rPr>
        <w:t xml:space="preserve">, </w:t>
      </w:r>
      <w:r w:rsidR="00083CE3" w:rsidRPr="009316C3">
        <w:rPr>
          <w:rFonts w:cs="Calibri Light"/>
        </w:rPr>
        <w:t>p</w:t>
      </w:r>
      <w:r w:rsidR="00634D93">
        <w:rPr>
          <w:rFonts w:cs="Calibri Light"/>
        </w:rPr>
        <w:t>ara</w:t>
      </w:r>
      <w:r w:rsidR="00083CE3" w:rsidRPr="009316C3">
        <w:rPr>
          <w:rFonts w:cs="Calibri Light"/>
        </w:rPr>
        <w:t xml:space="preserve"> [25]</w:t>
      </w:r>
      <w:r w:rsidR="003C42AD">
        <w:rPr>
          <w:rFonts w:cs="Calibri Light"/>
        </w:rPr>
        <w:t xml:space="preserve">. </w:t>
      </w:r>
    </w:p>
  </w:footnote>
  <w:footnote w:id="5">
    <w:p w14:paraId="41D27530" w14:textId="0EF2D6EA" w:rsidR="00AD5A99" w:rsidRPr="009A074F" w:rsidRDefault="00AD5A99" w:rsidP="0084288F">
      <w:pPr>
        <w:pStyle w:val="FootnoteText"/>
        <w:ind w:left="113" w:hanging="113"/>
        <w:rPr>
          <w:rFonts w:cs="Calibri Light"/>
        </w:rPr>
      </w:pPr>
      <w:r w:rsidRPr="009A074F">
        <w:rPr>
          <w:rStyle w:val="FootnoteReference"/>
          <w:rFonts w:cs="Calibri Light"/>
          <w:sz w:val="20"/>
        </w:rPr>
        <w:footnoteRef/>
      </w:r>
      <w:r w:rsidRPr="009A074F">
        <w:rPr>
          <w:rFonts w:cs="Calibri Light"/>
        </w:rPr>
        <w:t xml:space="preserve"> </w:t>
      </w:r>
      <w:r>
        <w:rPr>
          <w:rFonts w:cs="Calibri Light"/>
        </w:rPr>
        <w:t>For example,</w:t>
      </w:r>
      <w:r w:rsidRPr="009316C3">
        <w:rPr>
          <w:rFonts w:cs="Calibri Light"/>
        </w:rPr>
        <w:t xml:space="preserve"> </w:t>
      </w:r>
      <w:r>
        <w:rPr>
          <w:rFonts w:cs="Calibri Light"/>
          <w:lang w:val="en-US"/>
        </w:rPr>
        <w:t>i</w:t>
      </w:r>
      <w:r w:rsidRPr="009316C3">
        <w:rPr>
          <w:rFonts w:cs="Calibri Light"/>
          <w:lang w:val="en-US"/>
        </w:rPr>
        <w:t>n 2017</w:t>
      </w:r>
      <w:r>
        <w:rPr>
          <w:rFonts w:cs="Calibri Light"/>
          <w:lang w:val="en-US"/>
        </w:rPr>
        <w:t>,</w:t>
      </w:r>
      <w:r w:rsidRPr="009316C3">
        <w:rPr>
          <w:rFonts w:cs="Calibri Light"/>
          <w:lang w:val="en-US"/>
        </w:rPr>
        <w:t xml:space="preserve"> the US NCP addressed a specific instance related to alleged actions prior to the 1976 adoption of the </w:t>
      </w:r>
      <w:r w:rsidR="00C04400">
        <w:rPr>
          <w:rFonts w:cs="Calibri Light"/>
          <w:lang w:val="en-US"/>
        </w:rPr>
        <w:t xml:space="preserve">OECD </w:t>
      </w:r>
      <w:r w:rsidRPr="009316C3">
        <w:rPr>
          <w:rFonts w:cs="Calibri Light"/>
          <w:lang w:val="en-US"/>
        </w:rPr>
        <w:t xml:space="preserve">Guidelines. </w:t>
      </w:r>
      <w:r w:rsidR="00D559DE">
        <w:rPr>
          <w:rFonts w:cs="Calibri Light"/>
          <w:lang w:val="en-US"/>
        </w:rPr>
        <w:t>The</w:t>
      </w:r>
      <w:r w:rsidRPr="009316C3">
        <w:rPr>
          <w:rFonts w:cs="Calibri Light"/>
          <w:lang w:val="en-US"/>
        </w:rPr>
        <w:t xml:space="preserve"> US NCP noted </w:t>
      </w:r>
      <w:r w:rsidR="00C04400" w:rsidRPr="0084288F">
        <w:rPr>
          <w:rFonts w:cs="Calibri Light"/>
          <w:i/>
          <w:lang w:val="en-US"/>
        </w:rPr>
        <w:t>‘</w:t>
      </w:r>
      <w:r w:rsidRPr="0084288F">
        <w:rPr>
          <w:rFonts w:cs="Calibri Light"/>
          <w:i/>
          <w:lang w:val="en-US"/>
        </w:rPr>
        <w:t>[a]</w:t>
      </w:r>
      <w:r w:rsidRPr="00F46B32">
        <w:rPr>
          <w:rFonts w:cs="Calibri Light"/>
          <w:i/>
          <w:lang w:val="en-US"/>
        </w:rPr>
        <w:t>ctions taken prior to 1976 do</w:t>
      </w:r>
      <w:r w:rsidR="00361875">
        <w:rPr>
          <w:rFonts w:cs="Calibri Light"/>
          <w:i/>
          <w:lang w:val="en-US"/>
        </w:rPr>
        <w:t xml:space="preserve"> </w:t>
      </w:r>
      <w:r w:rsidR="00AF1090">
        <w:rPr>
          <w:rFonts w:cs="Calibri Light"/>
          <w:i/>
          <w:lang w:val="en-US"/>
        </w:rPr>
        <w:t>not</w:t>
      </w:r>
      <w:r w:rsidRPr="00F46B32">
        <w:rPr>
          <w:rFonts w:cs="Calibri Light"/>
          <w:i/>
          <w:lang w:val="en-US"/>
        </w:rPr>
        <w:t xml:space="preserve"> fall under the purview of the </w:t>
      </w:r>
      <w:r w:rsidR="009D6271" w:rsidRPr="00F46B32">
        <w:rPr>
          <w:rFonts w:cs="Calibri Light"/>
          <w:i/>
          <w:iCs/>
          <w:lang w:val="en-US"/>
        </w:rPr>
        <w:t xml:space="preserve">[OECD] </w:t>
      </w:r>
      <w:r w:rsidRPr="00F46B32">
        <w:rPr>
          <w:rFonts w:cs="Calibri Light"/>
          <w:i/>
          <w:lang w:val="en-US"/>
        </w:rPr>
        <w:t>Guidelines</w:t>
      </w:r>
      <w:r w:rsidR="009D6271" w:rsidRPr="00F46B32">
        <w:rPr>
          <w:rFonts w:cs="Calibri Light"/>
          <w:i/>
          <w:iCs/>
          <w:lang w:val="en-US"/>
        </w:rPr>
        <w:t>[,]</w:t>
      </w:r>
      <w:r w:rsidRPr="009316C3">
        <w:rPr>
          <w:rFonts w:cs="Calibri Light"/>
          <w:lang w:val="en-US"/>
        </w:rPr>
        <w:t xml:space="preserve"> </w:t>
      </w:r>
      <w:r w:rsidRPr="00F46B32">
        <w:rPr>
          <w:rFonts w:cs="Calibri Light"/>
          <w:i/>
          <w:lang w:val="en-US"/>
        </w:rPr>
        <w:t xml:space="preserve">which cannot be implemented </w:t>
      </w:r>
      <w:r w:rsidRPr="00F46B32">
        <w:rPr>
          <w:rFonts w:cs="Calibri Light"/>
          <w:i/>
          <w:iCs/>
          <w:lang w:val="en-US"/>
        </w:rPr>
        <w:t>retroactively</w:t>
      </w:r>
      <w:r w:rsidR="00C04400" w:rsidRPr="00F46B32">
        <w:rPr>
          <w:rFonts w:cs="Calibri Light"/>
          <w:i/>
          <w:iCs/>
          <w:lang w:val="en-US"/>
        </w:rPr>
        <w:t>’</w:t>
      </w:r>
      <w:r w:rsidRPr="009316C3">
        <w:rPr>
          <w:rFonts w:cs="Calibri Light"/>
          <w:lang w:val="en-US"/>
        </w:rPr>
        <w:t>.</w:t>
      </w:r>
      <w:r>
        <w:rPr>
          <w:rFonts w:cs="Calibri Light"/>
          <w:lang w:val="en-US"/>
        </w:rPr>
        <w:t xml:space="preserve"> US NCP, </w:t>
      </w:r>
      <w:hyperlink r:id="rId3" w:history="1">
        <w:r w:rsidRPr="00746C95">
          <w:rPr>
            <w:rStyle w:val="Hyperlink"/>
            <w:rFonts w:cs="Calibri Light"/>
            <w:i/>
            <w:iCs/>
            <w:lang w:val="en-US"/>
          </w:rPr>
          <w:t>Specific Instance Between an Individual Acting for Descendents of Oswald Weiss (submitters) and a U.S. Company for Conduct Linked to Former Czechoslovakia</w:t>
        </w:r>
      </w:hyperlink>
      <w:r>
        <w:rPr>
          <w:rFonts w:cs="Calibri Light"/>
          <w:lang w:val="en-US"/>
        </w:rPr>
        <w:t>, Final Statement, 20 September 2017, p 3.</w:t>
      </w:r>
    </w:p>
  </w:footnote>
  <w:footnote w:id="6">
    <w:p w14:paraId="183B52DF" w14:textId="205ECF75" w:rsidR="00A31340" w:rsidRPr="009316C3" w:rsidRDefault="00A31340" w:rsidP="00D16B5F">
      <w:pPr>
        <w:pStyle w:val="FootnoteText"/>
        <w:ind w:left="113" w:hanging="113"/>
        <w:rPr>
          <w:rFonts w:cs="Calibri Light"/>
        </w:rPr>
      </w:pPr>
      <w:r w:rsidRPr="009316C3">
        <w:rPr>
          <w:rStyle w:val="FootnoteReference"/>
          <w:rFonts w:cs="Calibri Light"/>
          <w:sz w:val="20"/>
        </w:rPr>
        <w:footnoteRef/>
      </w:r>
      <w:r w:rsidRPr="009316C3">
        <w:rPr>
          <w:rFonts w:cs="Calibri Light"/>
        </w:rPr>
        <w:t xml:space="preserve"> </w:t>
      </w:r>
      <w:r w:rsidR="002C0474">
        <w:rPr>
          <w:rFonts w:cs="Calibri Light"/>
        </w:rPr>
        <w:t>See,</w:t>
      </w:r>
      <w:r w:rsidRPr="009316C3">
        <w:rPr>
          <w:rFonts w:cs="Calibri Light"/>
        </w:rPr>
        <w:t xml:space="preserve"> e</w:t>
      </w:r>
      <w:r w:rsidR="00D16B5F" w:rsidRPr="009316C3">
        <w:rPr>
          <w:rFonts w:cs="Calibri Light"/>
        </w:rPr>
        <w:t>.</w:t>
      </w:r>
      <w:r w:rsidRPr="009316C3">
        <w:rPr>
          <w:rFonts w:cs="Calibri Light"/>
        </w:rPr>
        <w:t>g.</w:t>
      </w:r>
      <w:r w:rsidR="002C0474">
        <w:rPr>
          <w:rFonts w:cs="Calibri Light"/>
        </w:rPr>
        <w:t xml:space="preserve">, </w:t>
      </w:r>
      <w:r w:rsidR="000A7018" w:rsidRPr="005C5674">
        <w:rPr>
          <w:rFonts w:cs="Calibri Light"/>
        </w:rPr>
        <w:t xml:space="preserve">OECD, </w:t>
      </w:r>
      <w:hyperlink r:id="rId4" w:history="1">
        <w:r w:rsidR="000A7018" w:rsidRPr="005C5674">
          <w:rPr>
            <w:rStyle w:val="Hyperlink"/>
            <w:rFonts w:cs="Calibri Light"/>
            <w:i/>
            <w:iCs/>
          </w:rPr>
          <w:t>Guide for National Contact Points on the Initial Assessment of Specific Instances</w:t>
        </w:r>
      </w:hyperlink>
      <w:r w:rsidR="000A7018" w:rsidRPr="005C5674">
        <w:rPr>
          <w:rFonts w:cs="Calibri Light"/>
        </w:rPr>
        <w:t xml:space="preserve">, </w:t>
      </w:r>
      <w:r w:rsidR="008E20F6">
        <w:rPr>
          <w:rFonts w:cs="Calibri Light"/>
        </w:rPr>
        <w:t>OECD Publishing,</w:t>
      </w:r>
      <w:r w:rsidR="006641DE">
        <w:rPr>
          <w:rFonts w:cs="Calibri Light"/>
        </w:rPr>
        <w:t xml:space="preserve"> 31 January 2019, </w:t>
      </w:r>
      <w:hyperlink r:id="rId5" w:history="1">
        <w:r w:rsidR="006641DE" w:rsidRPr="009A074F">
          <w:rPr>
            <w:rStyle w:val="Hyperlink"/>
            <w:rFonts w:cs="Calibri Light"/>
          </w:rPr>
          <w:t>https://doi.org/10.1787/c8d7f80a-en</w:t>
        </w:r>
      </w:hyperlink>
      <w:r w:rsidR="006641DE" w:rsidRPr="009A074F">
        <w:rPr>
          <w:rFonts w:cs="Calibri Light"/>
        </w:rPr>
        <w:t>,</w:t>
      </w:r>
      <w:r w:rsidR="008E20F6">
        <w:rPr>
          <w:rFonts w:cs="Calibri Light"/>
        </w:rPr>
        <w:t xml:space="preserve"> </w:t>
      </w:r>
      <w:r w:rsidR="000A7018" w:rsidRPr="005C5674">
        <w:rPr>
          <w:rFonts w:cs="Calibri Light"/>
        </w:rPr>
        <w:t>p 1</w:t>
      </w:r>
      <w:r w:rsidR="000A7018">
        <w:rPr>
          <w:rFonts w:cs="Calibri Light"/>
        </w:rPr>
        <w:t>2</w:t>
      </w:r>
      <w:r w:rsidR="000A7018" w:rsidRPr="005C5674">
        <w:rPr>
          <w:rFonts w:cs="Calibri Light"/>
        </w:rPr>
        <w:t xml:space="preserve"> (</w:t>
      </w:r>
      <w:r w:rsidR="000A7018" w:rsidRPr="005C5674">
        <w:rPr>
          <w:rFonts w:cs="Calibri Light"/>
          <w:b/>
          <w:bCs/>
        </w:rPr>
        <w:t>OECD Initial Assessment Guide</w:t>
      </w:r>
      <w:r w:rsidR="000A7018" w:rsidRPr="005C5674">
        <w:rPr>
          <w:rFonts w:cs="Calibri Light"/>
        </w:rPr>
        <w:t>)</w:t>
      </w:r>
      <w:r w:rsidR="000A7018">
        <w:rPr>
          <w:rFonts w:cs="Calibri Light"/>
        </w:rPr>
        <w:t>;</w:t>
      </w:r>
      <w:r w:rsidR="00D361DA" w:rsidRPr="009316C3">
        <w:rPr>
          <w:rFonts w:cs="Calibri Light"/>
        </w:rPr>
        <w:t xml:space="preserve"> </w:t>
      </w:r>
      <w:r w:rsidR="000A7018">
        <w:rPr>
          <w:rFonts w:cs="Calibri Light"/>
        </w:rPr>
        <w:t>Netherlands NCP,</w:t>
      </w:r>
      <w:r w:rsidR="00C64C15">
        <w:rPr>
          <w:rFonts w:cs="Calibri Light"/>
        </w:rPr>
        <w:t xml:space="preserve"> </w:t>
      </w:r>
      <w:hyperlink r:id="rId6" w:history="1">
        <w:r w:rsidR="00C25AFC" w:rsidRPr="00C25AFC">
          <w:rPr>
            <w:rStyle w:val="Hyperlink"/>
            <w:rFonts w:cs="Calibri Light"/>
            <w:i/>
            <w:iCs/>
          </w:rPr>
          <w:t>Odoh family vs de Shell Petroleum Development Company of Nigeria Limited</w:t>
        </w:r>
      </w:hyperlink>
      <w:r w:rsidR="00C64C15">
        <w:rPr>
          <w:rFonts w:cs="Calibri Light"/>
        </w:rPr>
        <w:t xml:space="preserve">, Final Statement, </w:t>
      </w:r>
      <w:r w:rsidR="00183739">
        <w:rPr>
          <w:rFonts w:cs="Calibri Light"/>
        </w:rPr>
        <w:t xml:space="preserve">11 July 2024, </w:t>
      </w:r>
      <w:r w:rsidR="00C64C15">
        <w:rPr>
          <w:rFonts w:cs="Calibri Light"/>
        </w:rPr>
        <w:t>p 11</w:t>
      </w:r>
      <w:r w:rsidR="00183739">
        <w:rPr>
          <w:rFonts w:cs="Calibri Light"/>
        </w:rPr>
        <w:t>;</w:t>
      </w:r>
      <w:r w:rsidR="000A7018">
        <w:rPr>
          <w:rFonts w:cs="Calibri Light"/>
        </w:rPr>
        <w:t xml:space="preserve"> </w:t>
      </w:r>
      <w:r w:rsidR="00FD641D">
        <w:rPr>
          <w:rFonts w:cs="Calibri Light"/>
        </w:rPr>
        <w:t xml:space="preserve">AusNCP, </w:t>
      </w:r>
      <w:hyperlink r:id="rId7" w:history="1">
        <w:r w:rsidR="00D0397D" w:rsidRPr="00D0397D">
          <w:rPr>
            <w:rStyle w:val="Hyperlink"/>
            <w:rFonts w:cs="Calibri Light"/>
            <w:i/>
            <w:iCs/>
          </w:rPr>
          <w:t>Complaint submitted by Human Rights Law Centre (on behalf of affected individuals) against Rio Tinto</w:t>
        </w:r>
      </w:hyperlink>
      <w:r w:rsidR="00D6339A">
        <w:rPr>
          <w:rFonts w:cs="Calibri Light"/>
        </w:rPr>
        <w:t xml:space="preserve">, Initial Assessment, 15 September 2023, para [13.3]. </w:t>
      </w:r>
      <w:r w:rsidR="00D361DA">
        <w:rPr>
          <w:rFonts w:cs="Calibri Light"/>
          <w:i/>
        </w:rPr>
        <w:t xml:space="preserve"> </w:t>
      </w:r>
    </w:p>
  </w:footnote>
  <w:footnote w:id="7">
    <w:p w14:paraId="75333424" w14:textId="7DC0B621" w:rsidR="00C319A0" w:rsidRPr="009316C3" w:rsidRDefault="00C319A0" w:rsidP="008F09C0">
      <w:pPr>
        <w:pStyle w:val="FootnoteText"/>
        <w:ind w:left="113" w:hanging="113"/>
        <w:rPr>
          <w:rFonts w:cs="Calibri Light"/>
        </w:rPr>
      </w:pPr>
      <w:r w:rsidRPr="009316C3">
        <w:rPr>
          <w:rStyle w:val="FootnoteReference"/>
          <w:rFonts w:cs="Calibri Light"/>
          <w:sz w:val="20"/>
        </w:rPr>
        <w:footnoteRef/>
      </w:r>
      <w:r w:rsidRPr="009316C3">
        <w:rPr>
          <w:rFonts w:cs="Calibri Light"/>
        </w:rPr>
        <w:t xml:space="preserve"> </w:t>
      </w:r>
      <w:r w:rsidR="00A90831" w:rsidRPr="009316C3">
        <w:rPr>
          <w:rFonts w:cs="Calibri Light"/>
        </w:rPr>
        <w:t xml:space="preserve">OECD </w:t>
      </w:r>
      <w:r w:rsidR="00F26318" w:rsidRPr="009316C3">
        <w:rPr>
          <w:rFonts w:cs="Calibri Light"/>
        </w:rPr>
        <w:t xml:space="preserve">Guidelines, </w:t>
      </w:r>
      <w:r w:rsidR="00E42C88" w:rsidRPr="009316C3">
        <w:rPr>
          <w:rFonts w:cs="Calibri Light"/>
          <w:i/>
          <w:iCs/>
        </w:rPr>
        <w:t>I. National Contact Points for Responsible Business Conduct</w:t>
      </w:r>
      <w:r w:rsidR="00F26318" w:rsidRPr="009316C3">
        <w:rPr>
          <w:rFonts w:cs="Calibri Light"/>
        </w:rPr>
        <w:t xml:space="preserve">, </w:t>
      </w:r>
      <w:r w:rsidR="00E42C88" w:rsidRPr="009316C3">
        <w:rPr>
          <w:rFonts w:cs="Calibri Light"/>
        </w:rPr>
        <w:t xml:space="preserve">p 60 </w:t>
      </w:r>
      <w:r w:rsidR="00035DA9">
        <w:rPr>
          <w:rFonts w:cs="Calibri Light"/>
        </w:rPr>
        <w:t>para</w:t>
      </w:r>
      <w:r w:rsidR="00E42C88" w:rsidRPr="009316C3">
        <w:rPr>
          <w:rFonts w:cs="Calibri Light"/>
        </w:rPr>
        <w:t xml:space="preserve"> </w:t>
      </w:r>
      <w:r w:rsidR="00F26318" w:rsidRPr="009316C3">
        <w:rPr>
          <w:rFonts w:cs="Calibri Light"/>
        </w:rPr>
        <w:t>[</w:t>
      </w:r>
      <w:r w:rsidR="00E42C88" w:rsidRPr="009316C3">
        <w:rPr>
          <w:rFonts w:cs="Calibri Light"/>
        </w:rPr>
        <w:t>C.4.</w:t>
      </w:r>
      <w:r w:rsidR="00F26318" w:rsidRPr="009316C3">
        <w:rPr>
          <w:rFonts w:cs="Calibri Light"/>
        </w:rPr>
        <w:t>]</w:t>
      </w:r>
      <w:r w:rsidR="00A90831" w:rsidRPr="009316C3">
        <w:rPr>
          <w:rFonts w:cs="Calibri Light"/>
        </w:rPr>
        <w:t>.</w:t>
      </w:r>
      <w:r w:rsidR="001F2F5C">
        <w:rPr>
          <w:rFonts w:cs="Calibri Light"/>
        </w:rPr>
        <w:t xml:space="preserve"> Emphasis added. </w:t>
      </w:r>
    </w:p>
  </w:footnote>
  <w:footnote w:id="8">
    <w:p w14:paraId="19B0DA80" w14:textId="750F29D9" w:rsidR="00202E3D" w:rsidRPr="009316C3" w:rsidRDefault="00202E3D"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0163D2" w:rsidRPr="009316C3">
        <w:rPr>
          <w:rFonts w:cs="Calibri Light"/>
        </w:rPr>
        <w:t xml:space="preserve">OECD </w:t>
      </w:r>
      <w:r w:rsidR="00B87F7A" w:rsidRPr="009316C3">
        <w:rPr>
          <w:rFonts w:cs="Calibri Light"/>
        </w:rPr>
        <w:t>Guidelines</w:t>
      </w:r>
      <w:r w:rsidRPr="009316C3">
        <w:rPr>
          <w:rFonts w:cs="Calibri Light"/>
        </w:rPr>
        <w:t xml:space="preserve">, </w:t>
      </w:r>
      <w:r w:rsidR="00B16D7D" w:rsidRPr="009316C3">
        <w:rPr>
          <w:rFonts w:cs="Calibri Light"/>
          <w:i/>
          <w:iCs/>
        </w:rPr>
        <w:t>I. Commentary on the</w:t>
      </w:r>
      <w:r w:rsidR="00B16D7D" w:rsidRPr="009316C3">
        <w:rPr>
          <w:rFonts w:cs="Calibri Light"/>
          <w:i/>
        </w:rPr>
        <w:t xml:space="preserve"> Procedures</w:t>
      </w:r>
      <w:r w:rsidR="00B16D7D" w:rsidRPr="009316C3">
        <w:rPr>
          <w:rFonts w:cs="Calibri Light"/>
          <w:i/>
          <w:iCs/>
        </w:rPr>
        <w:t xml:space="preserve"> for NCPs</w:t>
      </w:r>
      <w:r w:rsidRPr="009316C3">
        <w:rPr>
          <w:rFonts w:cs="Calibri Light"/>
        </w:rPr>
        <w:t xml:space="preserve">, </w:t>
      </w:r>
      <w:r w:rsidR="00940E83" w:rsidRPr="009316C3">
        <w:rPr>
          <w:rFonts w:cs="Calibri Light"/>
        </w:rPr>
        <w:t>p</w:t>
      </w:r>
      <w:r w:rsidR="00202883" w:rsidRPr="009316C3">
        <w:rPr>
          <w:rFonts w:cs="Calibri Light"/>
        </w:rPr>
        <w:t>p 64-66</w:t>
      </w:r>
      <w:r w:rsidR="00F21842" w:rsidRPr="009316C3">
        <w:rPr>
          <w:rFonts w:cs="Calibri Light"/>
        </w:rPr>
        <w:t>.</w:t>
      </w:r>
    </w:p>
  </w:footnote>
  <w:footnote w:id="9">
    <w:p w14:paraId="58126226" w14:textId="578F8398" w:rsidR="009D0431" w:rsidRPr="009316C3" w:rsidRDefault="009D0431"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6C19EC" w:rsidRPr="009316C3">
        <w:rPr>
          <w:rFonts w:cs="Calibri Light"/>
        </w:rPr>
        <w:t xml:space="preserve">OECD Guidelines, </w:t>
      </w:r>
      <w:r w:rsidR="006C19EC" w:rsidRPr="009316C3">
        <w:rPr>
          <w:rFonts w:cs="Calibri Light"/>
          <w:i/>
          <w:iCs/>
        </w:rPr>
        <w:t xml:space="preserve">I. </w:t>
      </w:r>
      <w:r w:rsidR="006C19EC" w:rsidRPr="009316C3">
        <w:rPr>
          <w:rFonts w:cs="Calibri Light"/>
          <w:i/>
        </w:rPr>
        <w:t xml:space="preserve">Commentary on the Procedures </w:t>
      </w:r>
      <w:r w:rsidR="006C19EC" w:rsidRPr="009316C3">
        <w:rPr>
          <w:rFonts w:cs="Calibri Light"/>
          <w:i/>
          <w:iCs/>
        </w:rPr>
        <w:t>for NCPs</w:t>
      </w:r>
      <w:r w:rsidR="006C19EC" w:rsidRPr="009316C3">
        <w:rPr>
          <w:rFonts w:cs="Calibri Light"/>
        </w:rPr>
        <w:t>, p</w:t>
      </w:r>
      <w:r w:rsidR="00DD1EE8">
        <w:rPr>
          <w:rFonts w:cs="Calibri Light"/>
        </w:rPr>
        <w:t>p 65-</w:t>
      </w:r>
      <w:r w:rsidR="006C19EC" w:rsidRPr="009316C3">
        <w:rPr>
          <w:rFonts w:cs="Calibri Light"/>
        </w:rPr>
        <w:t>66</w:t>
      </w:r>
      <w:r w:rsidRPr="009316C3">
        <w:rPr>
          <w:rFonts w:cs="Calibri Light"/>
        </w:rPr>
        <w:t>.</w:t>
      </w:r>
      <w:r w:rsidR="00D07C22">
        <w:rPr>
          <w:rFonts w:cs="Calibri Light"/>
        </w:rPr>
        <w:t xml:space="preserve"> Emphasis added.</w:t>
      </w:r>
    </w:p>
  </w:footnote>
  <w:footnote w:id="10">
    <w:p w14:paraId="4080DBD6" w14:textId="14003273" w:rsidR="00C319A0" w:rsidRPr="009316C3" w:rsidRDefault="00C319A0"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C450B8" w:rsidRPr="009316C3">
        <w:rPr>
          <w:rFonts w:cs="Calibri Light"/>
        </w:rPr>
        <w:t xml:space="preserve">OECD Guidelines, </w:t>
      </w:r>
      <w:r w:rsidR="00C450B8" w:rsidRPr="009316C3">
        <w:rPr>
          <w:rFonts w:cs="Calibri Light"/>
          <w:i/>
          <w:iCs/>
        </w:rPr>
        <w:t>I. Commentary on the</w:t>
      </w:r>
      <w:r w:rsidR="00C450B8" w:rsidRPr="009316C3">
        <w:rPr>
          <w:rFonts w:cs="Calibri Light"/>
          <w:i/>
        </w:rPr>
        <w:t xml:space="preserve"> Procedures </w:t>
      </w:r>
      <w:r w:rsidR="00C450B8" w:rsidRPr="009316C3">
        <w:rPr>
          <w:rFonts w:cs="Calibri Light"/>
          <w:i/>
          <w:iCs/>
        </w:rPr>
        <w:t>for NCPs</w:t>
      </w:r>
      <w:r w:rsidR="00C450B8" w:rsidRPr="009316C3">
        <w:rPr>
          <w:rFonts w:cs="Calibri Light"/>
        </w:rPr>
        <w:t xml:space="preserve">, p </w:t>
      </w:r>
      <w:r w:rsidR="00763478" w:rsidRPr="009316C3">
        <w:rPr>
          <w:rFonts w:cs="Calibri Light"/>
        </w:rPr>
        <w:t>72</w:t>
      </w:r>
      <w:r w:rsidR="008E0559">
        <w:rPr>
          <w:rFonts w:cs="Calibri Light"/>
        </w:rPr>
        <w:t>,</w:t>
      </w:r>
      <w:r w:rsidR="00763478" w:rsidRPr="009316C3">
        <w:rPr>
          <w:rFonts w:cs="Calibri Light"/>
        </w:rPr>
        <w:t xml:space="preserve"> </w:t>
      </w:r>
      <w:r w:rsidR="00035DA9">
        <w:rPr>
          <w:rFonts w:cs="Calibri Light"/>
        </w:rPr>
        <w:t xml:space="preserve">para </w:t>
      </w:r>
      <w:r w:rsidR="00763478" w:rsidRPr="009316C3">
        <w:rPr>
          <w:rFonts w:cs="Calibri Light"/>
        </w:rPr>
        <w:t>[47]</w:t>
      </w:r>
      <w:r w:rsidR="00C450B8" w:rsidRPr="009316C3">
        <w:rPr>
          <w:rFonts w:cs="Calibri Light"/>
        </w:rPr>
        <w:t>.</w:t>
      </w:r>
      <w:r w:rsidR="00E84741">
        <w:rPr>
          <w:rFonts w:cs="Calibri Light"/>
        </w:rPr>
        <w:t xml:space="preserve"> Emphasis added.</w:t>
      </w:r>
    </w:p>
  </w:footnote>
  <w:footnote w:id="11">
    <w:p w14:paraId="4D39F2D0" w14:textId="1AFDC1CE" w:rsidR="00BD0C0C" w:rsidRPr="009316C3" w:rsidRDefault="00BD0C0C" w:rsidP="00F60754">
      <w:pPr>
        <w:pStyle w:val="FootnoteText"/>
        <w:ind w:left="170" w:hanging="170"/>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cs="Calibri Light"/>
        </w:rPr>
        <w:t>AusNCP complaint procedures</w:t>
      </w:r>
      <w:r w:rsidRPr="009316C3">
        <w:rPr>
          <w:rFonts w:cs="Calibri Light"/>
        </w:rPr>
        <w:t xml:space="preserve">, </w:t>
      </w:r>
      <w:r w:rsidR="004374F3" w:rsidRPr="009316C3">
        <w:rPr>
          <w:rFonts w:cs="Calibri Light"/>
        </w:rPr>
        <w:t>paras</w:t>
      </w:r>
      <w:r w:rsidRPr="009316C3">
        <w:rPr>
          <w:rFonts w:cs="Calibri Light"/>
        </w:rPr>
        <w:t xml:space="preserve"> </w:t>
      </w:r>
      <w:r w:rsidR="00035DA9">
        <w:rPr>
          <w:rFonts w:cs="Calibri Light"/>
        </w:rPr>
        <w:t>[</w:t>
      </w:r>
      <w:r w:rsidRPr="009316C3">
        <w:rPr>
          <w:rFonts w:cs="Calibri Light"/>
        </w:rPr>
        <w:t>91</w:t>
      </w:r>
      <w:r w:rsidR="00035DA9">
        <w:rPr>
          <w:rFonts w:cs="Calibri Light"/>
        </w:rPr>
        <w:t>]</w:t>
      </w:r>
      <w:r w:rsidRPr="009316C3">
        <w:rPr>
          <w:rFonts w:cs="Calibri Light"/>
        </w:rPr>
        <w:t>-</w:t>
      </w:r>
      <w:r w:rsidR="00035DA9">
        <w:rPr>
          <w:rFonts w:cs="Calibri Light"/>
        </w:rPr>
        <w:t>[</w:t>
      </w:r>
      <w:r w:rsidRPr="009316C3">
        <w:rPr>
          <w:rFonts w:cs="Calibri Light"/>
        </w:rPr>
        <w:t>96</w:t>
      </w:r>
      <w:r w:rsidR="00035DA9">
        <w:rPr>
          <w:rFonts w:cs="Calibri Light"/>
        </w:rPr>
        <w:t>]</w:t>
      </w:r>
      <w:r w:rsidRPr="009316C3">
        <w:rPr>
          <w:rFonts w:cs="Calibri Light"/>
        </w:rPr>
        <w:t xml:space="preserve"> and </w:t>
      </w:r>
      <w:r w:rsidRPr="00F60754">
        <w:rPr>
          <w:rFonts w:cs="Calibri Light"/>
        </w:rPr>
        <w:t>Glossary</w:t>
      </w:r>
      <w:r w:rsidRPr="009316C3">
        <w:rPr>
          <w:rFonts w:cs="Calibri Light"/>
        </w:rPr>
        <w:t xml:space="preserve"> </w:t>
      </w:r>
      <w:r w:rsidR="00035DA9">
        <w:rPr>
          <w:rFonts w:cs="Calibri Light"/>
        </w:rPr>
        <w:t xml:space="preserve">definition of ‘good faith’, p </w:t>
      </w:r>
      <w:r w:rsidR="00B85C1F">
        <w:rPr>
          <w:rFonts w:cs="Calibri Light"/>
        </w:rPr>
        <w:t>19.</w:t>
      </w:r>
    </w:p>
  </w:footnote>
  <w:footnote w:id="12">
    <w:p w14:paraId="7D765DB5" w14:textId="2D9BE44C" w:rsidR="002C0588" w:rsidRPr="009316C3" w:rsidRDefault="002C0588"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cs="Calibri Light"/>
        </w:rPr>
        <w:t>AusNCP complaint procedures</w:t>
      </w:r>
      <w:r w:rsidRPr="009316C3">
        <w:rPr>
          <w:rFonts w:cs="Calibri Light"/>
        </w:rPr>
        <w:t xml:space="preserve">, para </w:t>
      </w:r>
      <w:r w:rsidR="00B85C1F">
        <w:rPr>
          <w:rFonts w:cs="Calibri Light"/>
        </w:rPr>
        <w:t>[</w:t>
      </w:r>
      <w:r w:rsidRPr="009316C3">
        <w:rPr>
          <w:rFonts w:cs="Calibri Light"/>
        </w:rPr>
        <w:t>57</w:t>
      </w:r>
      <w:r w:rsidR="00B85C1F">
        <w:rPr>
          <w:rFonts w:cs="Calibri Light"/>
        </w:rPr>
        <w:t>]</w:t>
      </w:r>
      <w:r w:rsidRPr="009316C3">
        <w:rPr>
          <w:rFonts w:cs="Calibri Light"/>
        </w:rPr>
        <w:t>.</w:t>
      </w:r>
    </w:p>
  </w:footnote>
  <w:footnote w:id="13">
    <w:p w14:paraId="4D21E757" w14:textId="577A747E" w:rsidR="00BD0C0C" w:rsidRPr="009316C3" w:rsidRDefault="00BD0C0C"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cs="Calibri Light"/>
        </w:rPr>
        <w:t>AusNCP complaint procedures</w:t>
      </w:r>
      <w:r w:rsidRPr="009316C3">
        <w:rPr>
          <w:rFonts w:cs="Calibri Light"/>
        </w:rPr>
        <w:t xml:space="preserve">, para </w:t>
      </w:r>
      <w:r w:rsidR="00A43A65">
        <w:rPr>
          <w:rFonts w:cs="Calibri Light"/>
        </w:rPr>
        <w:t>[</w:t>
      </w:r>
      <w:r w:rsidRPr="009316C3">
        <w:rPr>
          <w:rFonts w:cs="Calibri Light"/>
        </w:rPr>
        <w:t>91</w:t>
      </w:r>
      <w:r w:rsidR="00A43A65">
        <w:rPr>
          <w:rFonts w:cs="Calibri Light"/>
        </w:rPr>
        <w:t>]</w:t>
      </w:r>
      <w:r w:rsidRPr="009316C3">
        <w:rPr>
          <w:rFonts w:cs="Calibri Light"/>
        </w:rPr>
        <w:t>.</w:t>
      </w:r>
      <w:r w:rsidR="00E84741">
        <w:rPr>
          <w:rFonts w:cs="Calibri Light"/>
        </w:rPr>
        <w:t xml:space="preserve"> Emphasis added.</w:t>
      </w:r>
    </w:p>
  </w:footnote>
  <w:footnote w:id="14">
    <w:p w14:paraId="273F885F" w14:textId="206BF123" w:rsidR="00B00037" w:rsidRPr="009316C3" w:rsidRDefault="00B00037" w:rsidP="00D60F73">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A43A65">
        <w:rPr>
          <w:rFonts w:cs="Calibri Light"/>
        </w:rPr>
        <w:t>See,</w:t>
      </w:r>
      <w:r w:rsidRPr="009316C3">
        <w:rPr>
          <w:rFonts w:cs="Calibri Light"/>
        </w:rPr>
        <w:t xml:space="preserve"> e</w:t>
      </w:r>
      <w:r w:rsidR="0077378D" w:rsidRPr="009316C3">
        <w:rPr>
          <w:rFonts w:cs="Calibri Light"/>
        </w:rPr>
        <w:t>.</w:t>
      </w:r>
      <w:r w:rsidRPr="009316C3">
        <w:rPr>
          <w:rFonts w:cs="Calibri Light"/>
        </w:rPr>
        <w:t>g.</w:t>
      </w:r>
      <w:r w:rsidR="00A43A65">
        <w:rPr>
          <w:rFonts w:cs="Calibri Light"/>
        </w:rPr>
        <w:t>,</w:t>
      </w:r>
      <w:r w:rsidRPr="009316C3">
        <w:rPr>
          <w:rFonts w:cs="Calibri Light"/>
        </w:rPr>
        <w:t xml:space="preserve"> </w:t>
      </w:r>
      <w:r w:rsidR="0077378D" w:rsidRPr="009316C3">
        <w:rPr>
          <w:rFonts w:cs="Calibri Light"/>
        </w:rPr>
        <w:t xml:space="preserve">OECD </w:t>
      </w:r>
      <w:r w:rsidRPr="009316C3">
        <w:rPr>
          <w:rFonts w:cs="Calibri Light"/>
        </w:rPr>
        <w:t xml:space="preserve">Guidelines, </w:t>
      </w:r>
      <w:r w:rsidR="00B71077" w:rsidRPr="009316C3">
        <w:rPr>
          <w:rFonts w:cs="Calibri Light"/>
          <w:i/>
        </w:rPr>
        <w:t>Procedures</w:t>
      </w:r>
      <w:r w:rsidRPr="009316C3">
        <w:rPr>
          <w:rFonts w:cs="Calibri Light"/>
        </w:rPr>
        <w:t xml:space="preserve">, </w:t>
      </w:r>
      <w:r w:rsidR="00B71077" w:rsidRPr="009316C3">
        <w:rPr>
          <w:rFonts w:cs="Calibri Light"/>
        </w:rPr>
        <w:t>p 60</w:t>
      </w:r>
      <w:r w:rsidRPr="009316C3">
        <w:rPr>
          <w:rFonts w:cs="Calibri Light"/>
        </w:rPr>
        <w:t xml:space="preserve"> </w:t>
      </w:r>
      <w:r w:rsidR="00611C74">
        <w:rPr>
          <w:rFonts w:cs="Calibri Light"/>
        </w:rPr>
        <w:t xml:space="preserve">para </w:t>
      </w:r>
      <w:r w:rsidRPr="009316C3">
        <w:rPr>
          <w:rFonts w:cs="Calibri Light"/>
        </w:rPr>
        <w:t>[</w:t>
      </w:r>
      <w:r w:rsidR="00B71077" w:rsidRPr="009316C3">
        <w:rPr>
          <w:rFonts w:cs="Calibri Light"/>
        </w:rPr>
        <w:t>C.</w:t>
      </w:r>
      <w:r w:rsidRPr="009316C3">
        <w:rPr>
          <w:rFonts w:cs="Calibri Light"/>
        </w:rPr>
        <w:t>6</w:t>
      </w:r>
      <w:r w:rsidR="00B71077" w:rsidRPr="009316C3">
        <w:rPr>
          <w:rFonts w:cs="Calibri Light"/>
        </w:rPr>
        <w:t>.</w:t>
      </w:r>
      <w:r w:rsidRPr="009316C3">
        <w:rPr>
          <w:rFonts w:cs="Calibri Light"/>
        </w:rPr>
        <w:t>]</w:t>
      </w:r>
      <w:r w:rsidR="00C319A0" w:rsidRPr="009316C3">
        <w:rPr>
          <w:rFonts w:cs="Calibri Light"/>
        </w:rPr>
        <w:t xml:space="preserve"> and </w:t>
      </w:r>
      <w:r w:rsidR="00C163BF" w:rsidRPr="009316C3">
        <w:rPr>
          <w:rFonts w:cs="Calibri Light"/>
        </w:rPr>
        <w:t>p 72</w:t>
      </w:r>
      <w:r w:rsidR="00F37BE9" w:rsidRPr="009316C3">
        <w:rPr>
          <w:rFonts w:cs="Calibri Light"/>
        </w:rPr>
        <w:t xml:space="preserve"> </w:t>
      </w:r>
      <w:r w:rsidR="00611C74">
        <w:rPr>
          <w:rFonts w:cs="Calibri Light"/>
        </w:rPr>
        <w:t>paras</w:t>
      </w:r>
      <w:r w:rsidR="00F37BE9" w:rsidRPr="009316C3">
        <w:rPr>
          <w:rFonts w:cs="Calibri Light"/>
        </w:rPr>
        <w:t xml:space="preserve"> </w:t>
      </w:r>
      <w:r w:rsidR="00C163BF" w:rsidRPr="009316C3">
        <w:rPr>
          <w:rFonts w:cs="Calibri Light"/>
        </w:rPr>
        <w:t>[</w:t>
      </w:r>
      <w:r w:rsidR="00C319A0" w:rsidRPr="009316C3">
        <w:rPr>
          <w:rFonts w:cs="Calibri Light"/>
        </w:rPr>
        <w:t>48-49</w:t>
      </w:r>
      <w:r w:rsidR="00C163BF" w:rsidRPr="009316C3">
        <w:rPr>
          <w:rFonts w:cs="Calibri Light"/>
        </w:rPr>
        <w:t>]</w:t>
      </w:r>
      <w:r w:rsidR="00C319A0" w:rsidRPr="009316C3">
        <w:rPr>
          <w:rFonts w:cs="Calibri Light"/>
        </w:rPr>
        <w:t>;</w:t>
      </w:r>
      <w:r w:rsidRPr="009316C3">
        <w:rPr>
          <w:rFonts w:cs="Calibri Light"/>
        </w:rPr>
        <w:t xml:space="preserve"> </w:t>
      </w:r>
      <w:r w:rsidR="00F94D69" w:rsidRPr="009316C3">
        <w:rPr>
          <w:rFonts w:cs="Calibri Light"/>
        </w:rPr>
        <w:t>AusNCP complaint procedures</w:t>
      </w:r>
      <w:r w:rsidRPr="009316C3">
        <w:rPr>
          <w:rFonts w:cs="Calibri Light"/>
        </w:rPr>
        <w:t xml:space="preserve">, </w:t>
      </w:r>
      <w:r w:rsidR="002C0588" w:rsidRPr="009316C3">
        <w:rPr>
          <w:rFonts w:cs="Calibri Light"/>
        </w:rPr>
        <w:t xml:space="preserve">paras </w:t>
      </w:r>
      <w:r w:rsidR="00A43A65">
        <w:rPr>
          <w:rFonts w:cs="Calibri Light"/>
        </w:rPr>
        <w:t>[</w:t>
      </w:r>
      <w:r w:rsidR="002C0588" w:rsidRPr="009316C3">
        <w:rPr>
          <w:rFonts w:cs="Calibri Light"/>
        </w:rPr>
        <w:t>42</w:t>
      </w:r>
      <w:r w:rsidR="00A43A65">
        <w:rPr>
          <w:rFonts w:cs="Calibri Light"/>
        </w:rPr>
        <w:t>]</w:t>
      </w:r>
      <w:r w:rsidR="002C0588" w:rsidRPr="009316C3">
        <w:rPr>
          <w:rFonts w:cs="Calibri Light"/>
        </w:rPr>
        <w:t xml:space="preserve"> </w:t>
      </w:r>
      <w:r w:rsidR="0077378D" w:rsidRPr="009316C3">
        <w:rPr>
          <w:rFonts w:cs="Calibri Light"/>
        </w:rPr>
        <w:t>and</w:t>
      </w:r>
      <w:r w:rsidR="002C0588" w:rsidRPr="009316C3">
        <w:rPr>
          <w:rFonts w:cs="Calibri Light"/>
        </w:rPr>
        <w:t xml:space="preserve"> </w:t>
      </w:r>
      <w:r w:rsidR="00A43A65">
        <w:rPr>
          <w:rFonts w:cs="Calibri Light"/>
        </w:rPr>
        <w:t>[</w:t>
      </w:r>
      <w:r w:rsidR="002C0588" w:rsidRPr="009316C3">
        <w:rPr>
          <w:rFonts w:cs="Calibri Light"/>
        </w:rPr>
        <w:t>92</w:t>
      </w:r>
      <w:r w:rsidR="00A43A65">
        <w:rPr>
          <w:rFonts w:cs="Calibri Light"/>
        </w:rPr>
        <w:t>]</w:t>
      </w:r>
      <w:r w:rsidR="002C0588" w:rsidRPr="009316C3">
        <w:rPr>
          <w:rFonts w:cs="Calibri Light"/>
        </w:rPr>
        <w:t>-</w:t>
      </w:r>
      <w:r w:rsidR="00A43A65">
        <w:rPr>
          <w:rFonts w:cs="Calibri Light"/>
        </w:rPr>
        <w:t>[</w:t>
      </w:r>
      <w:r w:rsidR="002C0588" w:rsidRPr="009316C3">
        <w:rPr>
          <w:rFonts w:cs="Calibri Light"/>
        </w:rPr>
        <w:t>94</w:t>
      </w:r>
      <w:r w:rsidR="00A43A65">
        <w:rPr>
          <w:rFonts w:cs="Calibri Light"/>
        </w:rPr>
        <w:t>]</w:t>
      </w:r>
      <w:r w:rsidR="002C0588" w:rsidRPr="009316C3">
        <w:rPr>
          <w:rFonts w:cs="Calibri Light"/>
        </w:rPr>
        <w:t>.</w:t>
      </w:r>
    </w:p>
  </w:footnote>
  <w:footnote w:id="15">
    <w:p w14:paraId="1B4C2DCD" w14:textId="5871C17C" w:rsidR="005168CE" w:rsidRPr="009316C3" w:rsidRDefault="005168CE" w:rsidP="00515C3F">
      <w:pPr>
        <w:pStyle w:val="FootnoteText"/>
        <w:ind w:left="142" w:hanging="142"/>
        <w:rPr>
          <w:rFonts w:cs="Calibri Light"/>
          <w:i/>
        </w:rPr>
      </w:pPr>
      <w:r w:rsidRPr="009316C3">
        <w:rPr>
          <w:rStyle w:val="FootnoteReference"/>
          <w:rFonts w:cs="Calibri Light"/>
          <w:sz w:val="20"/>
        </w:rPr>
        <w:footnoteRef/>
      </w:r>
      <w:r w:rsidRPr="009316C3">
        <w:rPr>
          <w:rFonts w:cs="Calibri Light"/>
        </w:rPr>
        <w:t xml:space="preserve"> </w:t>
      </w:r>
      <w:r w:rsidR="0077378D" w:rsidRPr="009316C3">
        <w:rPr>
          <w:rFonts w:cs="Calibri Light"/>
        </w:rPr>
        <w:t xml:space="preserve">OECD </w:t>
      </w:r>
      <w:r w:rsidRPr="009316C3">
        <w:rPr>
          <w:rFonts w:cs="Calibri Light"/>
        </w:rPr>
        <w:t xml:space="preserve">Guidelines, </w:t>
      </w:r>
      <w:r w:rsidR="009A19D6" w:rsidRPr="009316C3">
        <w:rPr>
          <w:rFonts w:cs="Calibri Light"/>
          <w:i/>
          <w:iCs/>
        </w:rPr>
        <w:t>I. Commentary on the</w:t>
      </w:r>
      <w:r w:rsidR="009A19D6" w:rsidRPr="009316C3">
        <w:rPr>
          <w:rFonts w:cs="Calibri Light"/>
          <w:i/>
        </w:rPr>
        <w:t xml:space="preserve"> Procedures </w:t>
      </w:r>
      <w:r w:rsidR="009A19D6" w:rsidRPr="009316C3">
        <w:rPr>
          <w:rFonts w:cs="Calibri Light"/>
          <w:i/>
          <w:iCs/>
        </w:rPr>
        <w:t>for NCPs</w:t>
      </w:r>
      <w:r w:rsidR="0077378D" w:rsidRPr="009316C3">
        <w:rPr>
          <w:rFonts w:cs="Calibri Light"/>
        </w:rPr>
        <w:t>,</w:t>
      </w:r>
      <w:r w:rsidR="00F37BE9" w:rsidRPr="009316C3">
        <w:rPr>
          <w:rFonts w:cs="Calibri Light"/>
        </w:rPr>
        <w:t xml:space="preserve"> </w:t>
      </w:r>
      <w:r w:rsidR="00C163BF" w:rsidRPr="009316C3">
        <w:rPr>
          <w:rFonts w:cs="Calibri Light"/>
        </w:rPr>
        <w:t>p 72</w:t>
      </w:r>
      <w:r w:rsidR="00F37BE9" w:rsidRPr="009316C3">
        <w:rPr>
          <w:rFonts w:cs="Calibri Light"/>
        </w:rPr>
        <w:t xml:space="preserve"> </w:t>
      </w:r>
      <w:r w:rsidR="007A51C7">
        <w:rPr>
          <w:rFonts w:cs="Calibri Light"/>
        </w:rPr>
        <w:t>para</w:t>
      </w:r>
      <w:r w:rsidR="00F37BE9" w:rsidRPr="009316C3">
        <w:rPr>
          <w:rFonts w:cs="Calibri Light"/>
        </w:rPr>
        <w:t xml:space="preserve"> </w:t>
      </w:r>
      <w:r w:rsidR="00C163BF" w:rsidRPr="009316C3">
        <w:rPr>
          <w:rFonts w:cs="Calibri Light"/>
        </w:rPr>
        <w:t>[</w:t>
      </w:r>
      <w:r w:rsidRPr="009316C3">
        <w:rPr>
          <w:rFonts w:cs="Calibri Light"/>
        </w:rPr>
        <w:t>48</w:t>
      </w:r>
      <w:r w:rsidR="00C163BF" w:rsidRPr="009316C3">
        <w:rPr>
          <w:rFonts w:cs="Calibri Light"/>
        </w:rPr>
        <w:t>]</w:t>
      </w:r>
      <w:r w:rsidRPr="009316C3">
        <w:rPr>
          <w:rFonts w:cs="Calibri Light"/>
        </w:rPr>
        <w:t>.</w:t>
      </w:r>
    </w:p>
  </w:footnote>
  <w:footnote w:id="16">
    <w:p w14:paraId="022DA673" w14:textId="77777777" w:rsidR="00ED39C6" w:rsidRPr="009A074F" w:rsidRDefault="00ED39C6" w:rsidP="00D60F73">
      <w:pPr>
        <w:pStyle w:val="FootnoteText"/>
        <w:ind w:left="181" w:hanging="181"/>
        <w:rPr>
          <w:rFonts w:cs="Calibri Light"/>
        </w:rPr>
      </w:pPr>
      <w:r w:rsidRPr="009A074F">
        <w:rPr>
          <w:rStyle w:val="FootnoteReference"/>
          <w:rFonts w:cs="Calibri Light"/>
          <w:sz w:val="20"/>
        </w:rPr>
        <w:footnoteRef/>
      </w:r>
      <w:r w:rsidRPr="009A074F">
        <w:rPr>
          <w:rFonts w:cs="Calibri Light"/>
        </w:rPr>
        <w:t xml:space="preserve"> ‘</w:t>
      </w:r>
      <w:r w:rsidRPr="009A074F">
        <w:rPr>
          <w:rFonts w:cs="Calibri Light"/>
          <w:i/>
        </w:rPr>
        <w:t>NCPs will ensure impartiality in the resolution of specific instances, including by actively seeking to prevent and address potential or perceived conflicts of interests of any person playing a role on behalf of the NCP’</w:t>
      </w:r>
      <w:r w:rsidRPr="009A074F">
        <w:rPr>
          <w:rFonts w:cs="Calibri Light"/>
        </w:rPr>
        <w:t xml:space="preserve">: </w:t>
      </w:r>
      <w:r>
        <w:rPr>
          <w:rFonts w:cs="Calibri Light"/>
        </w:rPr>
        <w:t>OECD</w:t>
      </w:r>
      <w:r w:rsidRPr="009A074F">
        <w:rPr>
          <w:rFonts w:cs="Calibri Light"/>
        </w:rPr>
        <w:t xml:space="preserve"> Guidelines, </w:t>
      </w:r>
      <w:r w:rsidRPr="00651BD6">
        <w:rPr>
          <w:rFonts w:cs="Calibri Light"/>
          <w:i/>
          <w:iCs/>
        </w:rPr>
        <w:t>I. Commentary on the</w:t>
      </w:r>
      <w:r w:rsidRPr="009A074F">
        <w:rPr>
          <w:rFonts w:cs="Calibri Light"/>
          <w:i/>
        </w:rPr>
        <w:t xml:space="preserve"> Procedures </w:t>
      </w:r>
      <w:r w:rsidRPr="00651BD6">
        <w:rPr>
          <w:rFonts w:cs="Calibri Light"/>
          <w:i/>
          <w:iCs/>
        </w:rPr>
        <w:t>for NCPs</w:t>
      </w:r>
      <w:r w:rsidRPr="00D8564A">
        <w:rPr>
          <w:rFonts w:cs="Calibri Light"/>
        </w:rPr>
        <w:t xml:space="preserve">, </w:t>
      </w:r>
      <w:r>
        <w:rPr>
          <w:rFonts w:cs="Calibri Light"/>
        </w:rPr>
        <w:t>p 65 [</w:t>
      </w:r>
      <w:r w:rsidRPr="009A074F">
        <w:rPr>
          <w:rFonts w:cs="Calibri Light"/>
        </w:rPr>
        <w:t>10(e</w:t>
      </w:r>
      <w:r w:rsidRPr="00D8564A">
        <w:rPr>
          <w:rFonts w:cs="Calibri Light"/>
        </w:rPr>
        <w:t>)</w:t>
      </w:r>
      <w:r>
        <w:rPr>
          <w:rFonts w:cs="Calibri Light"/>
        </w:rPr>
        <w:t>]</w:t>
      </w:r>
      <w:r w:rsidRPr="00D8564A">
        <w:rPr>
          <w:rFonts w:cs="Calibri Light"/>
        </w:rPr>
        <w:t>.</w:t>
      </w:r>
    </w:p>
  </w:footnote>
  <w:footnote w:id="17">
    <w:p w14:paraId="08598A27" w14:textId="7E280C14" w:rsidR="00ED39C6" w:rsidRPr="009A074F" w:rsidRDefault="00ED39C6" w:rsidP="00B8787C">
      <w:pPr>
        <w:pStyle w:val="FootnoteText"/>
        <w:ind w:left="176" w:hanging="176"/>
        <w:rPr>
          <w:rFonts w:cs="Calibri Light"/>
        </w:rPr>
      </w:pPr>
      <w:r w:rsidRPr="009A074F">
        <w:rPr>
          <w:rStyle w:val="FootnoteReference"/>
          <w:rFonts w:cs="Calibri Light"/>
          <w:sz w:val="20"/>
        </w:rPr>
        <w:footnoteRef/>
      </w:r>
      <w:r w:rsidRPr="009A074F">
        <w:rPr>
          <w:rFonts w:cs="Calibri Light"/>
        </w:rPr>
        <w:t xml:space="preserve"> AusNCP Independent Examiners ‘manage complaints brought to </w:t>
      </w:r>
      <w:r w:rsidR="00D60F73">
        <w:rPr>
          <w:rFonts w:cs="Calibri Light"/>
        </w:rPr>
        <w:t xml:space="preserve">[the] </w:t>
      </w:r>
      <w:r w:rsidRPr="009A074F">
        <w:rPr>
          <w:rFonts w:cs="Calibri Light"/>
        </w:rPr>
        <w:t xml:space="preserve">AusNCP …[and] exercise their judgement impartially and without bias; independent of the interests of others’: AusNCP </w:t>
      </w:r>
      <w:r w:rsidRPr="00F94D69">
        <w:rPr>
          <w:rFonts w:cs="Calibri Light"/>
        </w:rPr>
        <w:t>complaint procedures</w:t>
      </w:r>
      <w:r w:rsidRPr="009A074F">
        <w:rPr>
          <w:rFonts w:cs="Calibri Light"/>
        </w:rPr>
        <w:t xml:space="preserve">, </w:t>
      </w:r>
      <w:r w:rsidRPr="009A074F">
        <w:rPr>
          <w:rFonts w:cs="Calibri Light"/>
          <w:i/>
        </w:rPr>
        <w:t>Glossary</w:t>
      </w:r>
      <w:r w:rsidRPr="009A074F">
        <w:rPr>
          <w:rFonts w:cs="Calibri Light"/>
        </w:rPr>
        <w:t xml:space="preserve">, </w:t>
      </w:r>
      <w:r w:rsidRPr="00D8564A">
        <w:rPr>
          <w:rFonts w:cs="Calibri Light"/>
        </w:rPr>
        <w:t>p</w:t>
      </w:r>
      <w:r>
        <w:rPr>
          <w:rFonts w:cs="Calibri Light"/>
        </w:rPr>
        <w:t xml:space="preserve"> </w:t>
      </w:r>
      <w:r w:rsidRPr="00D8564A">
        <w:rPr>
          <w:rFonts w:cs="Calibri Light"/>
        </w:rPr>
        <w:t>19</w:t>
      </w:r>
      <w:r>
        <w:rPr>
          <w:rFonts w:cs="Calibri Light"/>
        </w:rPr>
        <w:t>.</w:t>
      </w:r>
    </w:p>
  </w:footnote>
  <w:footnote w:id="18">
    <w:p w14:paraId="5F1D9F4C" w14:textId="54F09A92" w:rsidR="00B5729A" w:rsidRPr="009A074F" w:rsidRDefault="00B5729A">
      <w:pPr>
        <w:pStyle w:val="FootnoteText"/>
        <w:rPr>
          <w:rFonts w:cs="Calibri Light"/>
        </w:rPr>
      </w:pPr>
      <w:r w:rsidRPr="009A074F">
        <w:rPr>
          <w:rStyle w:val="FootnoteReference"/>
          <w:rFonts w:cs="Calibri Light"/>
          <w:sz w:val="20"/>
        </w:rPr>
        <w:footnoteRef/>
      </w:r>
      <w:r w:rsidRPr="009A074F">
        <w:rPr>
          <w:rFonts w:cs="Calibri Light"/>
        </w:rPr>
        <w:t xml:space="preserve"> </w:t>
      </w:r>
      <w:r w:rsidR="00E8034A" w:rsidRPr="009316C3">
        <w:rPr>
          <w:rFonts w:cs="Calibri Light"/>
        </w:rPr>
        <w:t>AusNCP complaint procedures, para</w:t>
      </w:r>
      <w:r w:rsidR="00E8034A">
        <w:rPr>
          <w:rFonts w:cs="Calibri Light"/>
        </w:rPr>
        <w:t>s</w:t>
      </w:r>
      <w:r w:rsidR="00E8034A" w:rsidRPr="009316C3">
        <w:rPr>
          <w:rFonts w:cs="Calibri Light"/>
        </w:rPr>
        <w:t xml:space="preserve"> </w:t>
      </w:r>
      <w:r w:rsidR="00E8034A">
        <w:rPr>
          <w:rFonts w:cs="Calibri Light"/>
        </w:rPr>
        <w:t>[24]-[26]</w:t>
      </w:r>
      <w:r w:rsidR="0021343E">
        <w:rPr>
          <w:rFonts w:cs="Calibri Light"/>
        </w:rPr>
        <w:t xml:space="preserve">. </w:t>
      </w:r>
    </w:p>
  </w:footnote>
  <w:footnote w:id="19">
    <w:p w14:paraId="1598D6AF" w14:textId="76064126" w:rsidR="00777340" w:rsidRPr="009A074F" w:rsidRDefault="00777340">
      <w:pPr>
        <w:pStyle w:val="FootnoteText"/>
        <w:rPr>
          <w:rFonts w:cs="Calibri Light"/>
        </w:rPr>
      </w:pPr>
      <w:r w:rsidRPr="009A074F">
        <w:rPr>
          <w:rStyle w:val="FootnoteReference"/>
          <w:rFonts w:cs="Calibri Light"/>
          <w:sz w:val="20"/>
        </w:rPr>
        <w:footnoteRef/>
      </w:r>
      <w:r w:rsidRPr="009A074F">
        <w:rPr>
          <w:rFonts w:cs="Calibri Light"/>
        </w:rPr>
        <w:t xml:space="preserve"> The </w:t>
      </w:r>
      <w:r w:rsidR="004720E2" w:rsidRPr="009A074F">
        <w:rPr>
          <w:rFonts w:cs="Calibri Light"/>
        </w:rPr>
        <w:t xml:space="preserve">Independent </w:t>
      </w:r>
      <w:r w:rsidRPr="009A074F">
        <w:rPr>
          <w:rFonts w:cs="Calibri Light"/>
        </w:rPr>
        <w:t xml:space="preserve">Examiner explained the relevant AusNCP complaint procedures </w:t>
      </w:r>
      <w:r w:rsidR="008D7354" w:rsidRPr="009A074F">
        <w:rPr>
          <w:rFonts w:cs="Calibri Light"/>
        </w:rPr>
        <w:t>(</w:t>
      </w:r>
      <w:r w:rsidRPr="009A074F">
        <w:rPr>
          <w:rFonts w:cs="Calibri Light"/>
        </w:rPr>
        <w:t xml:space="preserve">paras [49], [99] </w:t>
      </w:r>
      <w:r w:rsidR="008D7354" w:rsidRPr="009A074F">
        <w:rPr>
          <w:rFonts w:cs="Calibri Light"/>
        </w:rPr>
        <w:t>and</w:t>
      </w:r>
      <w:r w:rsidRPr="009A074F">
        <w:rPr>
          <w:rFonts w:cs="Calibri Light"/>
        </w:rPr>
        <w:t xml:space="preserve"> [100]</w:t>
      </w:r>
      <w:r w:rsidR="008D7354" w:rsidRPr="009A074F">
        <w:rPr>
          <w:rFonts w:cs="Calibri Light"/>
        </w:rPr>
        <w:t>)</w:t>
      </w:r>
      <w:r w:rsidRPr="009A074F">
        <w:rPr>
          <w:rFonts w:cs="Calibri Light"/>
        </w:rPr>
        <w:t>.</w:t>
      </w:r>
    </w:p>
  </w:footnote>
  <w:footnote w:id="20">
    <w:p w14:paraId="60427D3A" w14:textId="63814A35" w:rsidR="00806571" w:rsidRPr="009316C3" w:rsidRDefault="00806571" w:rsidP="00307F1C">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cs="Calibri Light"/>
        </w:rPr>
        <w:t>AusNCP complaint procedures</w:t>
      </w:r>
      <w:r w:rsidRPr="009316C3">
        <w:rPr>
          <w:rFonts w:cs="Calibri Light"/>
        </w:rPr>
        <w:t>, para</w:t>
      </w:r>
      <w:r w:rsidR="007F3AD0" w:rsidRPr="009316C3">
        <w:rPr>
          <w:rFonts w:cs="Calibri Light"/>
        </w:rPr>
        <w:t xml:space="preserve"> </w:t>
      </w:r>
      <w:r w:rsidR="007A51C7">
        <w:rPr>
          <w:rFonts w:cs="Calibri Light"/>
        </w:rPr>
        <w:t>[</w:t>
      </w:r>
      <w:r w:rsidR="00C03ACD" w:rsidRPr="009316C3">
        <w:rPr>
          <w:rFonts w:cs="Calibri Light"/>
        </w:rPr>
        <w:t>6</w:t>
      </w:r>
      <w:r w:rsidR="00C03ACD">
        <w:rPr>
          <w:rFonts w:cs="Calibri Light"/>
        </w:rPr>
        <w:t>6</w:t>
      </w:r>
      <w:r w:rsidR="007A51C7">
        <w:rPr>
          <w:rFonts w:cs="Calibri Light"/>
        </w:rPr>
        <w:t>]</w:t>
      </w:r>
      <w:r w:rsidR="007F3AD0" w:rsidRPr="009316C3">
        <w:rPr>
          <w:rFonts w:cs="Calibri Light"/>
        </w:rPr>
        <w:t xml:space="preserve">. </w:t>
      </w:r>
    </w:p>
  </w:footnote>
  <w:footnote w:id="21">
    <w:p w14:paraId="2EAF06EA" w14:textId="0A75EBDB" w:rsidR="00806571" w:rsidRPr="009316C3" w:rsidRDefault="00806571"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CF502E" w:rsidRPr="009316C3">
        <w:rPr>
          <w:rFonts w:cs="Calibri Light"/>
        </w:rPr>
        <w:t xml:space="preserve">OECD </w:t>
      </w:r>
      <w:r w:rsidR="00D67AA8" w:rsidRPr="009316C3">
        <w:rPr>
          <w:rFonts w:cs="Calibri Light"/>
        </w:rPr>
        <w:t xml:space="preserve">Guidelines, </w:t>
      </w:r>
      <w:r w:rsidR="00CF502E" w:rsidRPr="009316C3">
        <w:rPr>
          <w:rFonts w:cs="Calibri Light"/>
          <w:i/>
          <w:iCs/>
        </w:rPr>
        <w:t>I. Commentary on the</w:t>
      </w:r>
      <w:r w:rsidR="00CF502E" w:rsidRPr="009316C3">
        <w:rPr>
          <w:rFonts w:cs="Calibri Light"/>
          <w:i/>
        </w:rPr>
        <w:t xml:space="preserve"> Procedures </w:t>
      </w:r>
      <w:r w:rsidR="00CF502E" w:rsidRPr="009316C3">
        <w:rPr>
          <w:rFonts w:cs="Calibri Light"/>
          <w:i/>
          <w:iCs/>
        </w:rPr>
        <w:t>for NCPs</w:t>
      </w:r>
      <w:r w:rsidR="00D67AA8" w:rsidRPr="009316C3">
        <w:rPr>
          <w:rFonts w:cs="Calibri Light"/>
        </w:rPr>
        <w:t xml:space="preserve">, </w:t>
      </w:r>
      <w:r w:rsidR="00CF502E" w:rsidRPr="009316C3">
        <w:rPr>
          <w:rFonts w:cs="Calibri Light"/>
        </w:rPr>
        <w:t>p 69</w:t>
      </w:r>
      <w:r w:rsidR="00006CEA">
        <w:rPr>
          <w:rFonts w:cs="Calibri Light"/>
        </w:rPr>
        <w:t>,</w:t>
      </w:r>
      <w:r w:rsidR="00CF502E" w:rsidRPr="009316C3">
        <w:rPr>
          <w:rFonts w:cs="Calibri Light"/>
        </w:rPr>
        <w:t xml:space="preserve"> </w:t>
      </w:r>
      <w:r w:rsidR="007A51C7">
        <w:rPr>
          <w:rFonts w:cs="Calibri Light"/>
        </w:rPr>
        <w:t xml:space="preserve">paras </w:t>
      </w:r>
      <w:r w:rsidR="00ED5CFB" w:rsidRPr="009316C3">
        <w:rPr>
          <w:rFonts w:cs="Calibri Light"/>
        </w:rPr>
        <w:t>[</w:t>
      </w:r>
      <w:r w:rsidR="00D67AA8" w:rsidRPr="009316C3">
        <w:rPr>
          <w:rFonts w:cs="Calibri Light"/>
        </w:rPr>
        <w:t>29</w:t>
      </w:r>
      <w:r w:rsidR="00ED5CFB" w:rsidRPr="009316C3">
        <w:rPr>
          <w:rFonts w:cs="Calibri Light"/>
        </w:rPr>
        <w:t>]</w:t>
      </w:r>
      <w:r w:rsidR="00D67AA8" w:rsidRPr="009316C3">
        <w:rPr>
          <w:rFonts w:cs="Calibri Light"/>
        </w:rPr>
        <w:t>-</w:t>
      </w:r>
      <w:r w:rsidR="00ED5CFB" w:rsidRPr="009316C3">
        <w:rPr>
          <w:rFonts w:cs="Calibri Light"/>
        </w:rPr>
        <w:t>[</w:t>
      </w:r>
      <w:r w:rsidR="00D67AA8" w:rsidRPr="009316C3">
        <w:rPr>
          <w:rFonts w:cs="Calibri Light"/>
        </w:rPr>
        <w:t>31</w:t>
      </w:r>
      <w:r w:rsidR="00ED5CFB" w:rsidRPr="009316C3">
        <w:rPr>
          <w:rFonts w:cs="Calibri Light"/>
        </w:rPr>
        <w:t>]</w:t>
      </w:r>
      <w:r w:rsidR="00D67AA8" w:rsidRPr="009316C3">
        <w:rPr>
          <w:rFonts w:cs="Calibri Light"/>
        </w:rPr>
        <w:t>.</w:t>
      </w:r>
    </w:p>
  </w:footnote>
  <w:footnote w:id="22">
    <w:p w14:paraId="732539B9" w14:textId="2101F13D" w:rsidR="00767D3C" w:rsidRPr="009A074F" w:rsidRDefault="00767D3C" w:rsidP="007741DF">
      <w:pPr>
        <w:pStyle w:val="FootnoteText"/>
        <w:ind w:left="181" w:hanging="181"/>
        <w:rPr>
          <w:rFonts w:cs="Calibri Light"/>
        </w:rPr>
      </w:pPr>
      <w:r w:rsidRPr="009A074F">
        <w:rPr>
          <w:rStyle w:val="FootnoteReference"/>
          <w:rFonts w:cs="Calibri Light"/>
          <w:sz w:val="20"/>
        </w:rPr>
        <w:footnoteRef/>
      </w:r>
      <w:r w:rsidRPr="009A074F">
        <w:rPr>
          <w:rFonts w:cs="Calibri Light"/>
        </w:rPr>
        <w:t xml:space="preserve"> Except in the case of the US NCP, where changes to the </w:t>
      </w:r>
      <w:r w:rsidR="00F44B7E" w:rsidRPr="009A074F">
        <w:rPr>
          <w:rFonts w:cs="Calibri Light"/>
        </w:rPr>
        <w:t xml:space="preserve">draft </w:t>
      </w:r>
      <w:r w:rsidRPr="009A074F">
        <w:rPr>
          <w:rFonts w:cs="Calibri Light"/>
        </w:rPr>
        <w:t>Statement were made at the Independent</w:t>
      </w:r>
      <w:r w:rsidR="00C711F3">
        <w:rPr>
          <w:rFonts w:cs="Calibri Light"/>
        </w:rPr>
        <w:t> </w:t>
      </w:r>
      <w:r w:rsidRPr="009A074F">
        <w:rPr>
          <w:rFonts w:cs="Calibri Light"/>
        </w:rPr>
        <w:t>Examiner’s discretion after this time</w:t>
      </w:r>
      <w:r w:rsidR="00F44B7E" w:rsidRPr="009A074F">
        <w:rPr>
          <w:rFonts w:cs="Calibri Light"/>
        </w:rPr>
        <w:t xml:space="preserve"> </w:t>
      </w:r>
      <w:r w:rsidR="00F44B7E" w:rsidRPr="009A074F" w:rsidDel="00A07A42">
        <w:rPr>
          <w:rFonts w:cs="Calibri Light"/>
        </w:rPr>
        <w:t>(</w:t>
      </w:r>
      <w:r w:rsidR="00D519BC" w:rsidRPr="009A074F">
        <w:rPr>
          <w:rFonts w:cs="Calibri Light"/>
        </w:rPr>
        <w:t xml:space="preserve">following </w:t>
      </w:r>
      <w:r w:rsidR="00F44B7E" w:rsidRPr="009A074F" w:rsidDel="00A07A42">
        <w:rPr>
          <w:rFonts w:cs="Calibri Light"/>
        </w:rPr>
        <w:t>receipt of</w:t>
      </w:r>
      <w:r w:rsidR="00F44B7E" w:rsidRPr="009A074F">
        <w:rPr>
          <w:rFonts w:cs="Calibri Light"/>
        </w:rPr>
        <w:t xml:space="preserve"> the US NCP’s comments</w:t>
      </w:r>
      <w:r w:rsidR="00F44B7E" w:rsidRPr="009A074F" w:rsidDel="00A07A42">
        <w:rPr>
          <w:rFonts w:cs="Calibri Light"/>
        </w:rPr>
        <w:t>)</w:t>
      </w:r>
      <w:r w:rsidRPr="009A074F">
        <w:rPr>
          <w:rFonts w:cs="Calibri Light"/>
        </w:rPr>
        <w:t>.</w:t>
      </w:r>
    </w:p>
  </w:footnote>
  <w:footnote w:id="23">
    <w:p w14:paraId="40183B3A" w14:textId="5E91AC81" w:rsidR="000101AA" w:rsidRPr="009316C3" w:rsidRDefault="000101AA" w:rsidP="007741DF">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cs="Calibri Light"/>
        </w:rPr>
        <w:t>AusNCP complaint procedures</w:t>
      </w:r>
      <w:r w:rsidRPr="009316C3">
        <w:rPr>
          <w:rFonts w:cs="Calibri Light"/>
        </w:rPr>
        <w:t xml:space="preserve">, para </w:t>
      </w:r>
      <w:r w:rsidR="00F244DE">
        <w:rPr>
          <w:rFonts w:cs="Calibri Light"/>
        </w:rPr>
        <w:t>[</w:t>
      </w:r>
      <w:r w:rsidRPr="009316C3">
        <w:rPr>
          <w:rFonts w:cs="Calibri Light"/>
        </w:rPr>
        <w:t>67</w:t>
      </w:r>
      <w:r w:rsidR="00F244DE">
        <w:rPr>
          <w:rFonts w:cs="Calibri Light"/>
        </w:rPr>
        <w:t>]</w:t>
      </w:r>
      <w:r w:rsidR="007D79A6" w:rsidRPr="009316C3">
        <w:rPr>
          <w:rFonts w:cs="Calibri Light"/>
        </w:rPr>
        <w:t xml:space="preserve">: </w:t>
      </w:r>
      <w:r w:rsidRPr="00522002">
        <w:rPr>
          <w:rFonts w:cs="Calibri Light"/>
          <w:i/>
        </w:rPr>
        <w:t xml:space="preserve">‘A draft </w:t>
      </w:r>
      <w:r w:rsidR="005135AC" w:rsidRPr="00522002">
        <w:rPr>
          <w:rFonts w:cs="Calibri Light"/>
          <w:i/>
        </w:rPr>
        <w:t>[F]</w:t>
      </w:r>
      <w:r w:rsidRPr="00522002">
        <w:rPr>
          <w:rFonts w:cs="Calibri Light"/>
          <w:i/>
        </w:rPr>
        <w:t xml:space="preserve">inal </w:t>
      </w:r>
      <w:r w:rsidR="005135AC" w:rsidRPr="00522002">
        <w:rPr>
          <w:rFonts w:cs="Calibri Light"/>
          <w:i/>
        </w:rPr>
        <w:t>[S]</w:t>
      </w:r>
      <w:r w:rsidRPr="00522002">
        <w:rPr>
          <w:rFonts w:cs="Calibri Light"/>
          <w:i/>
        </w:rPr>
        <w:t xml:space="preserve">tatement will ... be provided to both parties for comment. The </w:t>
      </w:r>
      <w:r w:rsidR="000917DD" w:rsidRPr="00522002">
        <w:rPr>
          <w:rFonts w:cs="Calibri Light"/>
          <w:i/>
        </w:rPr>
        <w:t>[Independent</w:t>
      </w:r>
      <w:r w:rsidR="00F550B6" w:rsidRPr="00522002">
        <w:rPr>
          <w:rFonts w:cs="Calibri Light"/>
          <w:i/>
        </w:rPr>
        <w:t>]</w:t>
      </w:r>
      <w:r w:rsidR="000917DD" w:rsidRPr="00522002">
        <w:rPr>
          <w:rFonts w:cs="Calibri Light"/>
          <w:i/>
        </w:rPr>
        <w:t xml:space="preserve"> [E</w:t>
      </w:r>
      <w:r w:rsidR="00993121" w:rsidRPr="00522002">
        <w:rPr>
          <w:rFonts w:cs="Calibri Light"/>
          <w:i/>
        </w:rPr>
        <w:t>]</w:t>
      </w:r>
      <w:r w:rsidRPr="00522002">
        <w:rPr>
          <w:rFonts w:cs="Calibri Light"/>
          <w:i/>
        </w:rPr>
        <w:t>xaminer may make changes at their discretion’</w:t>
      </w:r>
      <w:r w:rsidRPr="009316C3">
        <w:rPr>
          <w:rFonts w:cs="Calibri Light"/>
        </w:rPr>
        <w:t>.</w:t>
      </w:r>
      <w:r w:rsidR="00625484">
        <w:rPr>
          <w:rFonts w:cs="Calibri Light"/>
        </w:rPr>
        <w:t xml:space="preserve"> </w:t>
      </w:r>
    </w:p>
  </w:footnote>
  <w:footnote w:id="24">
    <w:p w14:paraId="30818D4B" w14:textId="08424007" w:rsidR="00583A20" w:rsidRPr="009316C3" w:rsidRDefault="00583A20" w:rsidP="007741DF">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4221F8">
        <w:rPr>
          <w:rFonts w:cs="Calibri Light"/>
        </w:rPr>
        <w:t xml:space="preserve">Orellana M, Special Rapporteur, </w:t>
      </w:r>
      <w:hyperlink r:id="rId8" w:history="1">
        <w:r w:rsidR="004221F8" w:rsidRPr="003F7A2E">
          <w:rPr>
            <w:rStyle w:val="Hyperlink"/>
            <w:rFonts w:cs="Calibri Light"/>
            <w:i/>
            <w:iCs/>
          </w:rPr>
          <w:t>Report of the Special Rapporteur on the implications for human rights of the environmentally sound management and disposal of hazardous substances and wastes</w:t>
        </w:r>
      </w:hyperlink>
      <w:r w:rsidR="00A868E5">
        <w:rPr>
          <w:rFonts w:cs="Calibri Light"/>
        </w:rPr>
        <w:t>, UN Doc A/80/174, United Nations, 16 July 2025</w:t>
      </w:r>
      <w:r w:rsidRPr="009316C3">
        <w:rPr>
          <w:rFonts w:cs="Calibri Light"/>
        </w:rPr>
        <w:t>.</w:t>
      </w:r>
    </w:p>
  </w:footnote>
  <w:footnote w:id="25">
    <w:p w14:paraId="7EFE329B" w14:textId="6650BA5D" w:rsidR="00262D46" w:rsidRPr="009316C3" w:rsidRDefault="00262D46" w:rsidP="00353BA2">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F710C6">
        <w:rPr>
          <w:rFonts w:cs="Calibri Light"/>
        </w:rPr>
        <w:t xml:space="preserve">Department of Veterans’ Affairs, </w:t>
      </w:r>
      <w:hyperlink r:id="rId9" w:history="1">
        <w:r w:rsidR="00F710C6" w:rsidRPr="00F710C6">
          <w:rPr>
            <w:rStyle w:val="Hyperlink"/>
            <w:rFonts w:cs="Calibri Light"/>
            <w:i/>
            <w:iCs/>
          </w:rPr>
          <w:t>Agent Orange and other chemicals in the Vietnam War</w:t>
        </w:r>
      </w:hyperlink>
      <w:r w:rsidR="00F710C6">
        <w:rPr>
          <w:rFonts w:cs="Calibri Light"/>
        </w:rPr>
        <w:t xml:space="preserve">, </w:t>
      </w:r>
      <w:r w:rsidR="0040396F">
        <w:rPr>
          <w:rFonts w:cs="Calibri Light"/>
        </w:rPr>
        <w:t xml:space="preserve">Australian Government, </w:t>
      </w:r>
      <w:r w:rsidR="00572009">
        <w:rPr>
          <w:rFonts w:cs="Calibri Light"/>
        </w:rPr>
        <w:t xml:space="preserve">6 August 2025, accessed 2 April 2026; </w:t>
      </w:r>
      <w:r w:rsidR="00EA4A5C">
        <w:rPr>
          <w:rFonts w:cs="Calibri Light"/>
        </w:rPr>
        <w:t>Evatt</w:t>
      </w:r>
      <w:r w:rsidR="003F7A2E">
        <w:rPr>
          <w:rFonts w:cs="Calibri Light"/>
        </w:rPr>
        <w:t xml:space="preserve"> P</w:t>
      </w:r>
      <w:r w:rsidR="00F44B7E">
        <w:rPr>
          <w:rFonts w:cs="Calibri Light"/>
        </w:rPr>
        <w:t xml:space="preserve"> 1985</w:t>
      </w:r>
      <w:r w:rsidR="00E345FE">
        <w:rPr>
          <w:rFonts w:cs="Calibri Light"/>
        </w:rPr>
        <w:t xml:space="preserve">, </w:t>
      </w:r>
      <w:hyperlink r:id="rId10" w:history="1">
        <w:r w:rsidR="00D2556E" w:rsidRPr="00D2556E">
          <w:rPr>
            <w:rStyle w:val="Hyperlink"/>
            <w:rFonts w:cs="Calibri Light"/>
            <w:i/>
            <w:iCs/>
          </w:rPr>
          <w:t>Royal Commission on the use and effects of chemical agents on Australian personnel in Vietnam</w:t>
        </w:r>
      </w:hyperlink>
      <w:r w:rsidR="00D2556E">
        <w:rPr>
          <w:rFonts w:cs="Calibri Light"/>
        </w:rPr>
        <w:t>,</w:t>
      </w:r>
      <w:r w:rsidR="00AB4ED7">
        <w:rPr>
          <w:rFonts w:cs="Calibri Light"/>
        </w:rPr>
        <w:t xml:space="preserve"> Final Report,</w:t>
      </w:r>
      <w:r w:rsidR="00671925">
        <w:rPr>
          <w:rFonts w:cs="Calibri Light"/>
        </w:rPr>
        <w:t xml:space="preserve"> Australian Government,</w:t>
      </w:r>
      <w:r w:rsidR="00AB4ED7">
        <w:rPr>
          <w:rFonts w:cs="Calibri Light"/>
        </w:rPr>
        <w:t xml:space="preserve"> July 1985, accessed </w:t>
      </w:r>
      <w:r w:rsidR="00E41AC0">
        <w:rPr>
          <w:rFonts w:cs="Calibri Light"/>
        </w:rPr>
        <w:t>27 May 202</w:t>
      </w:r>
      <w:r w:rsidR="00CC436E">
        <w:rPr>
          <w:rFonts w:cs="Calibri Light"/>
        </w:rPr>
        <w:t xml:space="preserve">5, pp </w:t>
      </w:r>
      <w:r w:rsidR="00224685">
        <w:rPr>
          <w:rFonts w:cs="Calibri Light"/>
        </w:rPr>
        <w:t>I-</w:t>
      </w:r>
      <w:r w:rsidR="00CC436E">
        <w:rPr>
          <w:rFonts w:cs="Calibri Light"/>
        </w:rPr>
        <w:t xml:space="preserve">24 and </w:t>
      </w:r>
      <w:r w:rsidR="00224685">
        <w:rPr>
          <w:rFonts w:cs="Calibri Light"/>
        </w:rPr>
        <w:t>I-</w:t>
      </w:r>
      <w:r w:rsidR="00CC436E">
        <w:rPr>
          <w:rFonts w:cs="Calibri Light"/>
        </w:rPr>
        <w:t>28.</w:t>
      </w:r>
      <w:r w:rsidR="00D2556E">
        <w:rPr>
          <w:rFonts w:cs="Calibri Light"/>
        </w:rPr>
        <w:t xml:space="preserve"> </w:t>
      </w:r>
    </w:p>
  </w:footnote>
  <w:footnote w:id="26">
    <w:p w14:paraId="459BB55E" w14:textId="38ADA02A" w:rsidR="00A3517F" w:rsidRPr="009316C3" w:rsidRDefault="00A3517F" w:rsidP="00353BA2">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02333B" w:rsidRPr="009316C3">
        <w:rPr>
          <w:rFonts w:cs="Calibri Light"/>
        </w:rPr>
        <w:fldChar w:fldCharType="begin"/>
      </w:r>
      <w:r w:rsidR="00E55741" w:rsidRPr="009316C3">
        <w:rPr>
          <w:rFonts w:cs="Calibri Light"/>
        </w:rPr>
        <w:instrText xml:space="preserve"> ADDIN EN.CITE &lt;EndNote&gt;&lt;Cite&gt;&lt;Author&gt;In re &amp;quot;Agent Orange&amp;quot; Prod. Liability Litigation&lt;/Author&gt;&lt;Year&gt;2008&lt;/Year&gt;&lt;RecNum&gt;13798&lt;/RecNum&gt;&lt;DisplayText&gt;&lt;style face="italic"&gt;In re &amp;quot;Agent Orange&amp;quot; Prod. Liability Litigation&lt;/style&gt; (2008)&lt;/DisplayText&gt;&lt;record&gt;&lt;rec-number&gt;13798&lt;/rec-number&gt;&lt;foreign-keys&gt;&lt;key app="EN" db-id="a0sp9ezptped50e00ropxrznw5fstp9ppz55" timestamp="1748393590" guid="f916baff-7bcd-4a3f-b9a9-670e69366b8d"&gt;13798&lt;/key&gt;&lt;/foreign-keys&gt;&lt;ref-type name="Case"&gt;7&lt;/ref-type&gt;&lt;contributors&gt;&lt;authors&gt;&lt;author&gt;In re &amp;quot;Agent Orange&amp;quot; Prod. Liability Litigation,&lt;/author&gt;&lt;/authors&gt;&lt;/contributors&gt;&lt;titles&gt;&lt;title&gt;Twinam &amp;amp; others -v- Dow Chemical Company &amp;amp; others&lt;/title&gt;&lt;short-title&gt;In re &amp;quot;Agent Orange&amp;quot; Prod. Liability Litigation&lt;/short-title&gt;&lt;/titles&gt;&lt;num-vols&gt;517 F.3d 76 (2d Cir. 2008)&lt;/num-vols&gt;&lt;dates&gt;&lt;year&gt;2008&lt;/year&gt;&lt;pub-dates&gt;&lt;date&gt;21 February 2008&lt;/date&gt;&lt;/pub-dates&gt;&lt;/dates&gt;&lt;pub-location&gt;USA&lt;/pub-location&gt;&lt;publisher&gt;United States Court of Appeals for the Second Circuit&lt;/publisher&gt;&lt;urls&gt;&lt;related-urls&gt;&lt;url&gt;https://ww3.ca2.uscourts.gov/decisions/isysquery/52818459-054c-4e2c-82c8-9358d5a969f9/9/doc/05-1760-cv%20w%20Errata.pdf#xml=https://ww3.ca2.uscourts.gov/decisions/isysquery/52818459-054c-4e2c-82c8-9358d5a969f9/9/hilite/&lt;/url&gt;&lt;/related-urls&gt;&lt;/urls&gt;&lt;access-date&gt;27 May 2025&lt;/access-date&gt;&lt;/record&gt;&lt;/Cite&gt;&lt;/EndNote&gt;</w:instrText>
      </w:r>
      <w:r w:rsidR="0002333B" w:rsidRPr="009316C3">
        <w:rPr>
          <w:rFonts w:cs="Calibri Light"/>
        </w:rPr>
        <w:fldChar w:fldCharType="separate"/>
      </w:r>
      <w:r w:rsidR="00BE766A" w:rsidRPr="009A074F">
        <w:rPr>
          <w:rFonts w:cs="Calibri Light"/>
        </w:rPr>
        <w:t>In re "Agent Orange" Prod. Liability Litigation</w:t>
      </w:r>
      <w:r w:rsidR="00917D61">
        <w:rPr>
          <w:rFonts w:cs="Calibri Light"/>
          <w:iCs/>
        </w:rPr>
        <w:t xml:space="preserve">, </w:t>
      </w:r>
      <w:r w:rsidR="00E4599E">
        <w:rPr>
          <w:rFonts w:cs="Calibri Light"/>
          <w:iCs/>
        </w:rPr>
        <w:t xml:space="preserve">517 F.3d 76, </w:t>
      </w:r>
      <w:r w:rsidR="006172C6">
        <w:rPr>
          <w:rFonts w:cs="Calibri Light"/>
          <w:iCs/>
        </w:rPr>
        <w:t>(2</w:t>
      </w:r>
      <w:r w:rsidR="006172C6" w:rsidRPr="00F60754">
        <w:rPr>
          <w:rFonts w:cs="Calibri Light"/>
          <w:iCs/>
          <w:vertAlign w:val="superscript"/>
        </w:rPr>
        <w:t>nd</w:t>
      </w:r>
      <w:r w:rsidR="006172C6">
        <w:rPr>
          <w:rFonts w:cs="Calibri Light"/>
          <w:iCs/>
        </w:rPr>
        <w:t xml:space="preserve"> Cir</w:t>
      </w:r>
      <w:r w:rsidR="00E4599E">
        <w:rPr>
          <w:rFonts w:cs="Calibri Light"/>
          <w:iCs/>
        </w:rPr>
        <w:t xml:space="preserve">. </w:t>
      </w:r>
      <w:r w:rsidR="001A0B98">
        <w:rPr>
          <w:rFonts w:cs="Calibri Light"/>
          <w:iCs/>
        </w:rPr>
        <w:t>2008</w:t>
      </w:r>
      <w:r w:rsidR="00CC32FA">
        <w:rPr>
          <w:rFonts w:cs="Calibri Light"/>
          <w:iCs/>
        </w:rPr>
        <w:t>)</w:t>
      </w:r>
      <w:r w:rsidR="002D491C">
        <w:rPr>
          <w:rFonts w:cs="Calibri Light"/>
          <w:iCs/>
        </w:rPr>
        <w:t xml:space="preserve">, </w:t>
      </w:r>
      <w:r w:rsidR="0002333B" w:rsidRPr="009316C3">
        <w:rPr>
          <w:rFonts w:cs="Calibri Light"/>
        </w:rPr>
        <w:fldChar w:fldCharType="end"/>
      </w:r>
      <w:r w:rsidR="00835D40">
        <w:rPr>
          <w:rFonts w:cs="Calibri Light"/>
        </w:rPr>
        <w:t>pp 23-28</w:t>
      </w:r>
      <w:r w:rsidR="0002333B" w:rsidRPr="009316C3">
        <w:rPr>
          <w:rFonts w:eastAsia="Century Gothic" w:cs="Calibri Light"/>
          <w:color w:val="000000"/>
        </w:rPr>
        <w:t>; Young</w:t>
      </w:r>
      <w:r w:rsidR="009563F3">
        <w:rPr>
          <w:rFonts w:eastAsia="Century Gothic" w:cs="Calibri Light"/>
          <w:color w:val="000000"/>
        </w:rPr>
        <w:t xml:space="preserve"> AL</w:t>
      </w:r>
      <w:r w:rsidR="00F3067C">
        <w:rPr>
          <w:rFonts w:eastAsia="Century Gothic" w:cs="Calibri Light"/>
          <w:color w:val="000000"/>
        </w:rPr>
        <w:t xml:space="preserve">, </w:t>
      </w:r>
      <w:r w:rsidR="009E0784" w:rsidRPr="009A074F">
        <w:rPr>
          <w:rFonts w:eastAsia="Century Gothic" w:cs="Calibri Light"/>
        </w:rPr>
        <w:t>The History, Use, Disposition and Environmental Fate of Agent Orange</w:t>
      </w:r>
      <w:r w:rsidR="00F3067C">
        <w:rPr>
          <w:rFonts w:eastAsia="Century Gothic" w:cs="Calibri Light"/>
          <w:color w:val="000000"/>
        </w:rPr>
        <w:t>,</w:t>
      </w:r>
      <w:r w:rsidR="0002333B" w:rsidRPr="009316C3">
        <w:rPr>
          <w:rFonts w:eastAsia="Century Gothic" w:cs="Calibri Light"/>
          <w:color w:val="000000"/>
        </w:rPr>
        <w:t xml:space="preserve"> </w:t>
      </w:r>
      <w:r w:rsidR="00B2794D">
        <w:rPr>
          <w:rFonts w:eastAsia="Century Gothic" w:cs="Calibri Light"/>
          <w:color w:val="000000"/>
        </w:rPr>
        <w:t xml:space="preserve">Springer Link Publishing, </w:t>
      </w:r>
      <w:r w:rsidR="0002333B" w:rsidRPr="009316C3">
        <w:rPr>
          <w:rFonts w:eastAsia="Century Gothic" w:cs="Calibri Light"/>
          <w:color w:val="000000"/>
        </w:rPr>
        <w:t xml:space="preserve">2009, </w:t>
      </w:r>
      <w:r w:rsidR="00F3067C">
        <w:rPr>
          <w:rFonts w:eastAsia="Century Gothic" w:cs="Calibri Light"/>
          <w:color w:val="000000"/>
        </w:rPr>
        <w:t xml:space="preserve">pp </w:t>
      </w:r>
      <w:r w:rsidR="0002333B" w:rsidRPr="009316C3">
        <w:rPr>
          <w:rFonts w:eastAsia="Century Gothic" w:cs="Calibri Light"/>
          <w:color w:val="000000"/>
        </w:rPr>
        <w:t xml:space="preserve">1-2 &amp; </w:t>
      </w:r>
      <w:r w:rsidR="008E4220">
        <w:rPr>
          <w:rFonts w:eastAsia="Century Gothic" w:cs="Calibri Light"/>
          <w:color w:val="000000"/>
        </w:rPr>
        <w:t>23-45</w:t>
      </w:r>
      <w:r w:rsidRPr="009316C3">
        <w:rPr>
          <w:rFonts w:eastAsia="Century Gothic" w:cs="Calibri Light"/>
          <w:color w:val="000000"/>
        </w:rPr>
        <w:t>.</w:t>
      </w:r>
    </w:p>
  </w:footnote>
  <w:footnote w:id="27">
    <w:p w14:paraId="096FAEA4" w14:textId="0476216E" w:rsidR="009501CF" w:rsidRPr="009316C3" w:rsidRDefault="009501CF" w:rsidP="007741DF">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B5155C" w:rsidRPr="009316C3">
        <w:rPr>
          <w:rFonts w:eastAsia="Century Gothic" w:cs="Calibri Light"/>
          <w:color w:val="000000"/>
        </w:rPr>
        <w:t>Young 2009, p</w:t>
      </w:r>
      <w:r w:rsidR="008E4220">
        <w:rPr>
          <w:rFonts w:eastAsia="Century Gothic" w:cs="Calibri Light"/>
          <w:color w:val="000000"/>
        </w:rPr>
        <w:t xml:space="preserve"> </w:t>
      </w:r>
      <w:r w:rsidR="00B5155C" w:rsidRPr="009316C3">
        <w:rPr>
          <w:rFonts w:eastAsia="Century Gothic" w:cs="Calibri Light"/>
          <w:color w:val="000000"/>
        </w:rPr>
        <w:t xml:space="preserve">173; Young </w:t>
      </w:r>
      <w:r w:rsidR="008E4220">
        <w:rPr>
          <w:rFonts w:eastAsia="Century Gothic" w:cs="Calibri Light"/>
          <w:color w:val="000000"/>
        </w:rPr>
        <w:t xml:space="preserve">AL, </w:t>
      </w:r>
      <w:r w:rsidR="009E0784" w:rsidRPr="009A074F">
        <w:rPr>
          <w:rFonts w:eastAsia="Century Gothic" w:cs="Calibri Light"/>
        </w:rPr>
        <w:t>Agent Orange: The Failure of Science, Policy and Common Sense</w:t>
      </w:r>
      <w:r w:rsidR="00B5155C" w:rsidRPr="009316C3">
        <w:rPr>
          <w:rFonts w:eastAsia="Century Gothic" w:cs="Calibri Light"/>
          <w:color w:val="000000"/>
        </w:rPr>
        <w:t>,</w:t>
      </w:r>
      <w:r w:rsidR="00B2794D">
        <w:rPr>
          <w:rFonts w:eastAsia="Century Gothic" w:cs="Calibri Light"/>
          <w:color w:val="000000"/>
        </w:rPr>
        <w:t xml:space="preserve"> Springer Link Publishing,</w:t>
      </w:r>
      <w:r w:rsidR="00B5155C" w:rsidRPr="009316C3">
        <w:rPr>
          <w:rFonts w:eastAsia="Century Gothic" w:cs="Calibri Light"/>
          <w:color w:val="000000"/>
        </w:rPr>
        <w:t xml:space="preserve"> </w:t>
      </w:r>
      <w:r w:rsidR="0033249F">
        <w:rPr>
          <w:rFonts w:eastAsia="Century Gothic" w:cs="Calibri Light"/>
          <w:color w:val="000000"/>
        </w:rPr>
        <w:t>p 196</w:t>
      </w:r>
      <w:r w:rsidR="00B5155C" w:rsidRPr="009316C3">
        <w:rPr>
          <w:rFonts w:eastAsia="Century Gothic" w:cs="Calibri Light"/>
          <w:color w:val="000000"/>
        </w:rPr>
        <w:t>.</w:t>
      </w:r>
    </w:p>
  </w:footnote>
  <w:footnote w:id="28">
    <w:p w14:paraId="4582F3B2" w14:textId="59D7E32B" w:rsidR="009501CF" w:rsidRPr="009316C3" w:rsidRDefault="009501CF" w:rsidP="007741DF">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9E0784" w:rsidRPr="009A074F">
        <w:rPr>
          <w:rFonts w:cs="Calibri Light"/>
        </w:rPr>
        <w:t>Vietnam Association for Victims of Agent Orange/Dioxin v. Dow Chemical Co.</w:t>
      </w:r>
      <w:r w:rsidR="004E25AE">
        <w:rPr>
          <w:rFonts w:cs="Calibri Light"/>
        </w:rPr>
        <w:t xml:space="preserve">, </w:t>
      </w:r>
      <w:r w:rsidR="007B14ED">
        <w:rPr>
          <w:rFonts w:cs="Calibri Light"/>
        </w:rPr>
        <w:t>(2</w:t>
      </w:r>
      <w:r w:rsidR="007B14ED" w:rsidRPr="00F60754">
        <w:rPr>
          <w:rFonts w:cs="Calibri Light"/>
          <w:vertAlign w:val="superscript"/>
        </w:rPr>
        <w:t>nd</w:t>
      </w:r>
      <w:r w:rsidR="007B14ED">
        <w:rPr>
          <w:rFonts w:cs="Calibri Light"/>
        </w:rPr>
        <w:t xml:space="preserve"> Cir</w:t>
      </w:r>
      <w:r w:rsidR="00293280">
        <w:rPr>
          <w:rFonts w:cs="Calibri Light"/>
        </w:rPr>
        <w:t>,</w:t>
      </w:r>
      <w:r w:rsidR="00420B1C">
        <w:rPr>
          <w:rFonts w:cs="Calibri Light"/>
        </w:rPr>
        <w:t xml:space="preserve"> 05-1953-cv,</w:t>
      </w:r>
      <w:r w:rsidR="00DE3606">
        <w:rPr>
          <w:rFonts w:cs="Calibri Light"/>
        </w:rPr>
        <w:t xml:space="preserve"> February 22 2008)</w:t>
      </w:r>
      <w:r w:rsidR="00293280">
        <w:rPr>
          <w:rFonts w:cs="Calibri Light"/>
        </w:rPr>
        <w:t xml:space="preserve"> p</w:t>
      </w:r>
      <w:r w:rsidR="00764C53">
        <w:rPr>
          <w:rFonts w:cs="Calibri Light"/>
        </w:rPr>
        <w:t xml:space="preserve"> 13</w:t>
      </w:r>
      <w:r w:rsidR="0086739F">
        <w:rPr>
          <w:rFonts w:cs="Calibri Light"/>
        </w:rPr>
        <w:t xml:space="preserve"> (</w:t>
      </w:r>
      <w:r w:rsidR="0086739F" w:rsidRPr="001020A7">
        <w:rPr>
          <w:rFonts w:cs="Calibri Light"/>
          <w:b/>
          <w:bCs/>
          <w:i/>
          <w:iCs/>
        </w:rPr>
        <w:t>Vietnam Association v. Dow Chemical Co.</w:t>
      </w:r>
      <w:r w:rsidR="0086739F">
        <w:rPr>
          <w:rFonts w:cs="Calibri Light"/>
        </w:rPr>
        <w:t>)</w:t>
      </w:r>
      <w:r w:rsidR="005965DA">
        <w:rPr>
          <w:rFonts w:cs="Calibri Light"/>
        </w:rPr>
        <w:t xml:space="preserve">; </w:t>
      </w:r>
      <w:r w:rsidR="00B5155C" w:rsidRPr="009316C3">
        <w:rPr>
          <w:rFonts w:eastAsia="Century Gothic" w:cs="Calibri Light"/>
          <w:i/>
          <w:color w:val="000000"/>
        </w:rPr>
        <w:t>In Re "agent Orange" Product Liability Litigation</w:t>
      </w:r>
      <w:r w:rsidR="00CA67E7">
        <w:rPr>
          <w:rFonts w:eastAsia="Century Gothic" w:cs="Calibri Light"/>
          <w:iCs/>
          <w:color w:val="000000"/>
        </w:rPr>
        <w:t>,</w:t>
      </w:r>
      <w:r w:rsidR="00BE766A">
        <w:rPr>
          <w:rFonts w:eastAsia="Century Gothic" w:cs="Calibri Light"/>
          <w:iCs/>
          <w:color w:val="000000"/>
        </w:rPr>
        <w:t xml:space="preserve"> 818 F.2d 145 (2</w:t>
      </w:r>
      <w:r w:rsidR="00BE766A" w:rsidRPr="001020A7">
        <w:rPr>
          <w:rFonts w:eastAsia="Century Gothic" w:cs="Calibri Light"/>
          <w:iCs/>
          <w:color w:val="000000"/>
          <w:vertAlign w:val="superscript"/>
        </w:rPr>
        <w:t>nd</w:t>
      </w:r>
      <w:r w:rsidR="00BE766A">
        <w:rPr>
          <w:rFonts w:eastAsia="Century Gothic" w:cs="Calibri Light"/>
          <w:iCs/>
          <w:color w:val="000000"/>
        </w:rPr>
        <w:t xml:space="preserve"> Cir. 1987)</w:t>
      </w:r>
      <w:r w:rsidR="00B5155C" w:rsidRPr="009316C3">
        <w:rPr>
          <w:rFonts w:eastAsia="Century Gothic" w:cs="Calibri Light"/>
          <w:color w:val="000000"/>
        </w:rPr>
        <w:t>; Eccles</w:t>
      </w:r>
      <w:r w:rsidR="0041050B">
        <w:rPr>
          <w:rFonts w:eastAsia="Century Gothic" w:cs="Calibri Light"/>
          <w:color w:val="000000"/>
        </w:rPr>
        <w:t xml:space="preserve"> M, </w:t>
      </w:r>
      <w:hyperlink r:id="rId11" w:history="1">
        <w:r w:rsidR="0041050B" w:rsidRPr="003B6DDD">
          <w:rPr>
            <w:rStyle w:val="Hyperlink"/>
            <w:rFonts w:eastAsia="Century Gothic" w:cs="Calibri Light"/>
            <w:i/>
            <w:iCs/>
          </w:rPr>
          <w:t>Paris court rejects appeal against chemicals giant over Vietnam War use of Agent Orange</w:t>
        </w:r>
      </w:hyperlink>
      <w:r w:rsidR="0041050B">
        <w:rPr>
          <w:rFonts w:eastAsia="Century Gothic" w:cs="Calibri Light"/>
          <w:color w:val="000000"/>
        </w:rPr>
        <w:t xml:space="preserve">, POLITICO, 22 August </w:t>
      </w:r>
      <w:r w:rsidR="00B5155C" w:rsidRPr="009316C3">
        <w:rPr>
          <w:rFonts w:eastAsia="Century Gothic" w:cs="Calibri Light"/>
          <w:color w:val="000000"/>
        </w:rPr>
        <w:t>2024</w:t>
      </w:r>
      <w:r w:rsidR="0041050B">
        <w:rPr>
          <w:rFonts w:eastAsia="Century Gothic" w:cs="Calibri Light"/>
          <w:color w:val="000000"/>
        </w:rPr>
        <w:t xml:space="preserve">, accessed </w:t>
      </w:r>
      <w:r w:rsidR="00E91136">
        <w:rPr>
          <w:rFonts w:eastAsia="Century Gothic" w:cs="Calibri Light"/>
          <w:color w:val="000000"/>
        </w:rPr>
        <w:t>27 May 2025</w:t>
      </w:r>
      <w:r w:rsidR="00B5155C" w:rsidRPr="009316C3">
        <w:rPr>
          <w:rFonts w:eastAsia="Century Gothic" w:cs="Calibri Light"/>
          <w:color w:val="000000"/>
        </w:rPr>
        <w:t>.</w:t>
      </w:r>
    </w:p>
  </w:footnote>
  <w:footnote w:id="29">
    <w:p w14:paraId="58CCD799" w14:textId="696C858A" w:rsidR="009501CF" w:rsidRPr="009316C3" w:rsidRDefault="009501CF" w:rsidP="007741DF">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844B1F">
        <w:rPr>
          <w:rFonts w:cs="Calibri Light"/>
        </w:rPr>
        <w:t xml:space="preserve">See, </w:t>
      </w:r>
      <w:r w:rsidR="00B5155C" w:rsidRPr="009A074F">
        <w:rPr>
          <w:rFonts w:eastAsia="Century Gothic" w:cs="Calibri Light"/>
          <w:color w:val="000000"/>
        </w:rPr>
        <w:t>e</w:t>
      </w:r>
      <w:r w:rsidR="007741DF">
        <w:rPr>
          <w:rFonts w:eastAsia="Century Gothic" w:cs="Calibri Light"/>
          <w:color w:val="000000"/>
        </w:rPr>
        <w:t>.</w:t>
      </w:r>
      <w:r w:rsidR="00B5155C" w:rsidRPr="009A074F">
        <w:rPr>
          <w:rFonts w:eastAsia="Century Gothic" w:cs="Calibri Light"/>
          <w:color w:val="000000"/>
        </w:rPr>
        <w:t>g</w:t>
      </w:r>
      <w:r w:rsidR="00B5155C" w:rsidRPr="009316C3">
        <w:rPr>
          <w:rFonts w:eastAsia="Century Gothic" w:cs="Calibri Light"/>
          <w:color w:val="000000"/>
        </w:rPr>
        <w:t>.</w:t>
      </w:r>
      <w:r w:rsidR="00844B1F">
        <w:rPr>
          <w:rFonts w:eastAsia="Century Gothic" w:cs="Calibri Light"/>
          <w:color w:val="000000"/>
        </w:rPr>
        <w:t>,</w:t>
      </w:r>
      <w:r w:rsidR="00B5155C" w:rsidRPr="009316C3">
        <w:rPr>
          <w:rFonts w:eastAsia="Century Gothic" w:cs="Calibri Light"/>
          <w:color w:val="000000"/>
        </w:rPr>
        <w:t xml:space="preserve"> Yule</w:t>
      </w:r>
      <w:r w:rsidR="007B7790">
        <w:rPr>
          <w:rFonts w:eastAsia="Century Gothic" w:cs="Calibri Light"/>
          <w:color w:val="000000"/>
        </w:rPr>
        <w:t xml:space="preserve"> </w:t>
      </w:r>
      <w:r w:rsidR="00844B1F">
        <w:rPr>
          <w:rFonts w:eastAsia="Century Gothic" w:cs="Calibri Light"/>
          <w:color w:val="000000"/>
        </w:rPr>
        <w:t xml:space="preserve">P, </w:t>
      </w:r>
      <w:r w:rsidR="009E0784" w:rsidRPr="009A074F">
        <w:rPr>
          <w:rFonts w:eastAsia="Century Gothic" w:cs="Calibri Light"/>
        </w:rPr>
        <w:t>The Long Shadow: Australia’s Vietnam Veterans since the War</w:t>
      </w:r>
      <w:r w:rsidR="00844B1F">
        <w:rPr>
          <w:rFonts w:eastAsia="Century Gothic" w:cs="Calibri Light"/>
          <w:color w:val="000000"/>
        </w:rPr>
        <w:t>, NewSouth Publishing, November</w:t>
      </w:r>
      <w:r w:rsidR="00B5155C" w:rsidRPr="009316C3">
        <w:rPr>
          <w:rFonts w:eastAsia="Century Gothic" w:cs="Calibri Light"/>
          <w:color w:val="000000"/>
        </w:rPr>
        <w:t xml:space="preserve"> 2020; </w:t>
      </w:r>
      <w:r w:rsidR="00671925">
        <w:rPr>
          <w:rFonts w:cs="Calibri Light"/>
        </w:rPr>
        <w:t>Evatt</w:t>
      </w:r>
      <w:r w:rsidR="00F44B7E">
        <w:rPr>
          <w:rFonts w:cs="Calibri Light"/>
        </w:rPr>
        <w:t xml:space="preserve"> </w:t>
      </w:r>
      <w:r w:rsidR="00B5155C" w:rsidRPr="009316C3">
        <w:rPr>
          <w:rFonts w:eastAsia="Century Gothic" w:cs="Calibri Light"/>
          <w:color w:val="000000"/>
        </w:rPr>
        <w:t>1985, pp IV-233 to IV-327.</w:t>
      </w:r>
    </w:p>
  </w:footnote>
  <w:footnote w:id="30">
    <w:p w14:paraId="0A1EB377" w14:textId="5F55A33B"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4E6F85" w:rsidRPr="009316C3">
        <w:rPr>
          <w:rFonts w:eastAsia="Century Gothic" w:cs="Calibri Light"/>
          <w:color w:val="000000"/>
        </w:rPr>
        <w:t xml:space="preserve">Young 2022, </w:t>
      </w:r>
      <w:r w:rsidR="00CD758C">
        <w:rPr>
          <w:rFonts w:eastAsia="Century Gothic" w:cs="Calibri Light"/>
          <w:color w:val="000000"/>
        </w:rPr>
        <w:t>p 196</w:t>
      </w:r>
      <w:r w:rsidR="004E6F85" w:rsidRPr="009316C3">
        <w:rPr>
          <w:rFonts w:eastAsia="Century Gothic" w:cs="Calibri Light"/>
          <w:color w:val="000000"/>
        </w:rPr>
        <w:t>.</w:t>
      </w:r>
    </w:p>
  </w:footnote>
  <w:footnote w:id="31">
    <w:p w14:paraId="32A93ED7" w14:textId="55C7F2B4"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671925">
        <w:rPr>
          <w:rFonts w:cs="Calibri Light"/>
        </w:rPr>
        <w:t>Evatt</w:t>
      </w:r>
      <w:r w:rsidR="00F44B7E">
        <w:rPr>
          <w:rFonts w:cs="Calibri Light"/>
        </w:rPr>
        <w:t xml:space="preserve"> 1985</w:t>
      </w:r>
      <w:r w:rsidR="004E6F85" w:rsidRPr="009316C3">
        <w:rPr>
          <w:rFonts w:eastAsia="Century Gothic" w:cs="Calibri Light"/>
          <w:color w:val="000000"/>
        </w:rPr>
        <w:t>, p I-38.</w:t>
      </w:r>
    </w:p>
  </w:footnote>
  <w:footnote w:id="32">
    <w:p w14:paraId="667961D0" w14:textId="370FB559"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671925">
        <w:rPr>
          <w:rFonts w:cs="Calibri Light"/>
        </w:rPr>
        <w:t>Evatt</w:t>
      </w:r>
      <w:r w:rsidR="003F7A2E">
        <w:rPr>
          <w:rFonts w:cs="Calibri Light"/>
        </w:rPr>
        <w:t xml:space="preserve"> </w:t>
      </w:r>
      <w:r w:rsidR="00F44B7E">
        <w:rPr>
          <w:rFonts w:cs="Calibri Light"/>
        </w:rPr>
        <w:t>1985</w:t>
      </w:r>
      <w:r w:rsidR="004E6F85" w:rsidRPr="009316C3">
        <w:rPr>
          <w:rFonts w:eastAsia="Century Gothic" w:cs="Calibri Light"/>
          <w:color w:val="000000"/>
        </w:rPr>
        <w:t xml:space="preserve">, p I-30; Young 2022, </w:t>
      </w:r>
      <w:r w:rsidR="00CD758C">
        <w:rPr>
          <w:rFonts w:eastAsia="Century Gothic" w:cs="Calibri Light"/>
          <w:color w:val="000000"/>
        </w:rPr>
        <w:t>p 196</w:t>
      </w:r>
      <w:r w:rsidR="004E6F85" w:rsidRPr="009316C3">
        <w:rPr>
          <w:rFonts w:eastAsia="Century Gothic" w:cs="Calibri Light"/>
          <w:color w:val="000000"/>
        </w:rPr>
        <w:t>.</w:t>
      </w:r>
    </w:p>
  </w:footnote>
  <w:footnote w:id="33">
    <w:p w14:paraId="7988DBD5" w14:textId="6E39C2D9"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4E6F85" w:rsidRPr="009316C3">
        <w:rPr>
          <w:rFonts w:eastAsia="Century Gothic" w:cs="Calibri Light"/>
          <w:color w:val="000000"/>
        </w:rPr>
        <w:t>Normile</w:t>
      </w:r>
      <w:r w:rsidR="00DC256C">
        <w:rPr>
          <w:rFonts w:eastAsia="Century Gothic" w:cs="Calibri Light"/>
          <w:color w:val="000000"/>
        </w:rPr>
        <w:t xml:space="preserve"> D</w:t>
      </w:r>
      <w:r w:rsidR="00F25E58">
        <w:rPr>
          <w:rFonts w:eastAsia="Century Gothic" w:cs="Calibri Light"/>
          <w:color w:val="000000"/>
        </w:rPr>
        <w:t xml:space="preserve">, </w:t>
      </w:r>
      <w:hyperlink r:id="rId12" w:history="1">
        <w:r w:rsidR="00F25E58" w:rsidRPr="005640B3">
          <w:rPr>
            <w:rStyle w:val="Hyperlink"/>
            <w:rFonts w:eastAsia="Century Gothic" w:cs="Calibri Light"/>
            <w:i/>
            <w:iCs/>
          </w:rPr>
          <w:t>The fog of war</w:t>
        </w:r>
      </w:hyperlink>
      <w:r w:rsidR="00F25E58">
        <w:rPr>
          <w:rFonts w:eastAsia="Century Gothic" w:cs="Calibri Light"/>
          <w:color w:val="000000"/>
        </w:rPr>
        <w:t>, Science, vol 388, no 6745, 25 April</w:t>
      </w:r>
      <w:r w:rsidR="004E6F85" w:rsidRPr="009316C3">
        <w:rPr>
          <w:rFonts w:eastAsia="Century Gothic" w:cs="Calibri Light"/>
          <w:color w:val="000000"/>
        </w:rPr>
        <w:t xml:space="preserve"> 2025, </w:t>
      </w:r>
      <w:r w:rsidR="00F25E58">
        <w:rPr>
          <w:rFonts w:eastAsia="Century Gothic" w:cs="Calibri Light"/>
          <w:color w:val="000000"/>
        </w:rPr>
        <w:t xml:space="preserve">p </w:t>
      </w:r>
      <w:r w:rsidR="004E6F85" w:rsidRPr="009316C3">
        <w:rPr>
          <w:rFonts w:eastAsia="Century Gothic" w:cs="Calibri Light"/>
          <w:color w:val="000000"/>
        </w:rPr>
        <w:t xml:space="preserve">351; Young 2022, </w:t>
      </w:r>
      <w:r w:rsidR="00CD758C">
        <w:rPr>
          <w:rFonts w:eastAsia="Century Gothic" w:cs="Calibri Light"/>
          <w:color w:val="000000"/>
        </w:rPr>
        <w:t>p 196</w:t>
      </w:r>
      <w:r w:rsidR="004E6F85" w:rsidRPr="009316C3">
        <w:rPr>
          <w:rFonts w:eastAsia="Century Gothic" w:cs="Calibri Light"/>
          <w:color w:val="000000"/>
        </w:rPr>
        <w:t>.</w:t>
      </w:r>
    </w:p>
  </w:footnote>
  <w:footnote w:id="34">
    <w:p w14:paraId="1B2BD238" w14:textId="64A30FFE"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671925">
        <w:rPr>
          <w:rFonts w:cs="Calibri Light"/>
        </w:rPr>
        <w:t>Evatt</w:t>
      </w:r>
      <w:r w:rsidR="003F7A2E">
        <w:rPr>
          <w:rFonts w:cs="Calibri Light"/>
        </w:rPr>
        <w:t xml:space="preserve"> </w:t>
      </w:r>
      <w:r w:rsidR="00F44B7E">
        <w:rPr>
          <w:rFonts w:cs="Calibri Light"/>
        </w:rPr>
        <w:t>1985</w:t>
      </w:r>
      <w:r w:rsidR="004E6F85" w:rsidRPr="009316C3">
        <w:rPr>
          <w:rFonts w:eastAsia="Century Gothic" w:cs="Calibri Light"/>
          <w:color w:val="000000"/>
        </w:rPr>
        <w:t>, p</w:t>
      </w:r>
      <w:r w:rsidR="00CD758C">
        <w:rPr>
          <w:rFonts w:eastAsia="Century Gothic" w:cs="Calibri Light"/>
          <w:color w:val="000000"/>
        </w:rPr>
        <w:t xml:space="preserve"> I-</w:t>
      </w:r>
      <w:r w:rsidR="004E6F85" w:rsidRPr="009316C3">
        <w:rPr>
          <w:rFonts w:eastAsia="Century Gothic" w:cs="Calibri Light"/>
          <w:color w:val="000000"/>
        </w:rPr>
        <w:t xml:space="preserve">30; Normile 2025, </w:t>
      </w:r>
      <w:r w:rsidR="005640B3">
        <w:rPr>
          <w:rFonts w:eastAsia="Century Gothic" w:cs="Calibri Light"/>
          <w:color w:val="000000"/>
        </w:rPr>
        <w:t xml:space="preserve">p </w:t>
      </w:r>
      <w:r w:rsidR="004E6F85" w:rsidRPr="009316C3">
        <w:rPr>
          <w:rFonts w:eastAsia="Century Gothic" w:cs="Calibri Light"/>
          <w:color w:val="000000"/>
        </w:rPr>
        <w:t>351; Young 2009, pp 165-166.</w:t>
      </w:r>
    </w:p>
  </w:footnote>
  <w:footnote w:id="35">
    <w:p w14:paraId="30A92C17" w14:textId="321FBB32"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4E6F85" w:rsidRPr="009316C3">
        <w:rPr>
          <w:rFonts w:eastAsia="Century Gothic" w:cs="Calibri Light"/>
          <w:color w:val="000000"/>
        </w:rPr>
        <w:t>Young 20</w:t>
      </w:r>
      <w:r w:rsidR="00FF769C" w:rsidRPr="009316C3">
        <w:rPr>
          <w:rFonts w:eastAsia="Century Gothic" w:cs="Calibri Light"/>
          <w:color w:val="000000"/>
        </w:rPr>
        <w:t>2</w:t>
      </w:r>
      <w:r w:rsidR="004E6F85" w:rsidRPr="009316C3">
        <w:rPr>
          <w:rFonts w:eastAsia="Century Gothic" w:cs="Calibri Light"/>
          <w:color w:val="000000"/>
        </w:rPr>
        <w:t xml:space="preserve">2, </w:t>
      </w:r>
      <w:r w:rsidR="00CD758C">
        <w:rPr>
          <w:rFonts w:eastAsia="Century Gothic" w:cs="Calibri Light"/>
          <w:color w:val="000000"/>
        </w:rPr>
        <w:t>p 196</w:t>
      </w:r>
      <w:r w:rsidR="004E6F85" w:rsidRPr="009316C3">
        <w:rPr>
          <w:rFonts w:eastAsia="Century Gothic" w:cs="Calibri Light"/>
          <w:color w:val="000000"/>
        </w:rPr>
        <w:t xml:space="preserve">; </w:t>
      </w:r>
      <w:r w:rsidR="00F44B7E">
        <w:rPr>
          <w:rFonts w:cs="Calibri Light"/>
        </w:rPr>
        <w:t>AUS Gov 1985</w:t>
      </w:r>
      <w:r w:rsidR="004E6F85" w:rsidRPr="009316C3">
        <w:rPr>
          <w:rFonts w:eastAsia="Century Gothic" w:cs="Calibri Light"/>
          <w:color w:val="000000"/>
        </w:rPr>
        <w:t>, pp I-30 &amp; I-39.</w:t>
      </w:r>
    </w:p>
  </w:footnote>
  <w:footnote w:id="36">
    <w:p w14:paraId="5A97682F" w14:textId="740E7B74"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CF4FF1" w:rsidRPr="009316C3">
        <w:rPr>
          <w:rFonts w:eastAsia="Century Gothic" w:cs="Calibri Light"/>
          <w:i/>
          <w:color w:val="000000"/>
        </w:rPr>
        <w:t>Vietnam Association v</w:t>
      </w:r>
      <w:r w:rsidR="0086739F">
        <w:rPr>
          <w:rFonts w:eastAsia="Century Gothic" w:cs="Calibri Light"/>
          <w:i/>
          <w:color w:val="000000"/>
        </w:rPr>
        <w:t>.</w:t>
      </w:r>
      <w:r w:rsidR="0086739F" w:rsidRPr="009316C3">
        <w:rPr>
          <w:rFonts w:eastAsia="Century Gothic" w:cs="Calibri Light"/>
          <w:i/>
          <w:color w:val="000000"/>
        </w:rPr>
        <w:t xml:space="preserve"> </w:t>
      </w:r>
      <w:r w:rsidR="00CF4FF1" w:rsidRPr="009316C3">
        <w:rPr>
          <w:rFonts w:eastAsia="Century Gothic" w:cs="Calibri Light"/>
          <w:i/>
          <w:color w:val="000000"/>
        </w:rPr>
        <w:t xml:space="preserve">Dow Chemical </w:t>
      </w:r>
      <w:r w:rsidR="00B4340F">
        <w:rPr>
          <w:rFonts w:eastAsia="Century Gothic" w:cs="Calibri Light"/>
          <w:i/>
          <w:color w:val="000000"/>
        </w:rPr>
        <w:t>Co.</w:t>
      </w:r>
      <w:r w:rsidR="00CF4FF1" w:rsidRPr="009316C3">
        <w:rPr>
          <w:rFonts w:eastAsia="Century Gothic" w:cs="Calibri Light"/>
          <w:color w:val="000000"/>
        </w:rPr>
        <w:t>, p</w:t>
      </w:r>
      <w:r w:rsidR="00CF4FF1">
        <w:rPr>
          <w:rFonts w:eastAsia="Century Gothic" w:cs="Calibri Light"/>
          <w:color w:val="000000"/>
        </w:rPr>
        <w:t xml:space="preserve"> </w:t>
      </w:r>
      <w:r w:rsidR="00CF4FF1" w:rsidRPr="009316C3">
        <w:rPr>
          <w:rFonts w:eastAsia="Century Gothic" w:cs="Calibri Light"/>
          <w:color w:val="000000"/>
        </w:rPr>
        <w:t>14</w:t>
      </w:r>
      <w:r w:rsidR="00CF4FF1">
        <w:rPr>
          <w:rFonts w:eastAsia="Century Gothic" w:cs="Calibri Light"/>
          <w:color w:val="000000"/>
        </w:rPr>
        <w:t xml:space="preserve">; </w:t>
      </w:r>
      <w:r w:rsidR="0086739F">
        <w:rPr>
          <w:rFonts w:cs="Calibri Light"/>
        </w:rPr>
        <w:t>Evatt</w:t>
      </w:r>
      <w:r w:rsidR="00F44B7E">
        <w:rPr>
          <w:rFonts w:cs="Calibri Light"/>
        </w:rPr>
        <w:t xml:space="preserve"> 1985</w:t>
      </w:r>
      <w:r w:rsidR="004E6F85" w:rsidRPr="009316C3">
        <w:rPr>
          <w:rFonts w:eastAsia="Century Gothic" w:cs="Calibri Light"/>
          <w:color w:val="000000"/>
        </w:rPr>
        <w:t>, pp I-30 to I-31.</w:t>
      </w:r>
    </w:p>
  </w:footnote>
  <w:footnote w:id="37">
    <w:p w14:paraId="63A45C9D" w14:textId="179BAA16" w:rsidR="009501CF" w:rsidRPr="009316C3" w:rsidRDefault="009501CF"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630E7A">
        <w:rPr>
          <w:rFonts w:cs="Calibri Light"/>
        </w:rPr>
        <w:t xml:space="preserve">Bayer, </w:t>
      </w:r>
      <w:hyperlink r:id="rId13" w:history="1">
        <w:r w:rsidR="00630E7A" w:rsidRPr="00630E7A">
          <w:rPr>
            <w:rStyle w:val="Hyperlink"/>
            <w:rFonts w:cs="Calibri Light"/>
            <w:i/>
            <w:iCs/>
          </w:rPr>
          <w:t>Bayer closes Monsanto acquisition</w:t>
        </w:r>
      </w:hyperlink>
      <w:r w:rsidR="00630E7A">
        <w:rPr>
          <w:rFonts w:cs="Calibri Light"/>
        </w:rPr>
        <w:t>, Bayer, 7 June 2018, accessed 5 November 2025.</w:t>
      </w:r>
    </w:p>
  </w:footnote>
  <w:footnote w:id="38">
    <w:p w14:paraId="169E0AB7" w14:textId="0E14ED69" w:rsidR="004E6F85" w:rsidRPr="009316C3" w:rsidRDefault="004E6F85" w:rsidP="00084DF7">
      <w:pPr>
        <w:pStyle w:val="FootnoteText"/>
        <w:ind w:left="142" w:hanging="142"/>
        <w:rPr>
          <w:rFonts w:cs="Calibri Light"/>
        </w:rPr>
      </w:pPr>
      <w:r w:rsidRPr="009316C3">
        <w:rPr>
          <w:rStyle w:val="FootnoteReference"/>
          <w:rFonts w:cs="Calibri Light"/>
          <w:sz w:val="20"/>
        </w:rPr>
        <w:footnoteRef/>
      </w:r>
      <w:r w:rsidRPr="009316C3">
        <w:rPr>
          <w:rFonts w:eastAsia="Century Gothic" w:cs="Calibri Light"/>
          <w:color w:val="000000"/>
        </w:rPr>
        <w:t xml:space="preserve"> Australia, Germany, the Netherlands</w:t>
      </w:r>
      <w:r w:rsidR="003C2087">
        <w:rPr>
          <w:rFonts w:eastAsia="Century Gothic" w:cs="Calibri Light"/>
          <w:color w:val="000000"/>
        </w:rPr>
        <w:t xml:space="preserve">, and </w:t>
      </w:r>
      <w:r w:rsidR="003C2087" w:rsidRPr="009316C3">
        <w:rPr>
          <w:rFonts w:eastAsia="Century Gothic" w:cs="Calibri Light"/>
          <w:color w:val="000000"/>
        </w:rPr>
        <w:t>the US</w:t>
      </w:r>
      <w:r w:rsidR="00B22207" w:rsidRPr="009316C3">
        <w:rPr>
          <w:rFonts w:eastAsia="Century Gothic" w:cs="Calibri Light"/>
          <w:color w:val="000000"/>
        </w:rPr>
        <w:t xml:space="preserve"> are</w:t>
      </w:r>
      <w:r w:rsidR="0041365E" w:rsidRPr="009316C3">
        <w:rPr>
          <w:rFonts w:eastAsia="Century Gothic" w:cs="Calibri Light"/>
          <w:color w:val="000000"/>
        </w:rPr>
        <w:t xml:space="preserve"> all</w:t>
      </w:r>
      <w:r w:rsidR="00B22207" w:rsidRPr="009316C3">
        <w:rPr>
          <w:rFonts w:eastAsia="Century Gothic" w:cs="Calibri Light"/>
          <w:color w:val="000000"/>
        </w:rPr>
        <w:t xml:space="preserve"> ‘Adherents’ to the OECD Guidelines</w:t>
      </w:r>
      <w:r w:rsidRPr="009316C3">
        <w:rPr>
          <w:rFonts w:eastAsia="Century Gothic" w:cs="Calibri Light"/>
          <w:color w:val="000000"/>
        </w:rPr>
        <w:t>.</w:t>
      </w:r>
    </w:p>
  </w:footnote>
  <w:footnote w:id="39">
    <w:p w14:paraId="14F22955" w14:textId="1333BA7D" w:rsidR="004E6F85" w:rsidRPr="009316C3" w:rsidRDefault="004E6F85"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41365E" w:rsidRPr="009316C3">
        <w:rPr>
          <w:rFonts w:cs="Calibri Light"/>
        </w:rPr>
        <w:t xml:space="preserve">OECD </w:t>
      </w:r>
      <w:r w:rsidR="0041365E" w:rsidRPr="009316C3">
        <w:rPr>
          <w:rFonts w:eastAsia="Century Gothic" w:cs="Calibri Light"/>
          <w:color w:val="000000"/>
        </w:rPr>
        <w:t xml:space="preserve">Guidelines, </w:t>
      </w:r>
      <w:r w:rsidR="0041365E" w:rsidRPr="009316C3">
        <w:rPr>
          <w:rFonts w:eastAsia="Century Gothic" w:cs="Calibri Light"/>
          <w:i/>
          <w:iCs/>
          <w:color w:val="000000"/>
        </w:rPr>
        <w:t>I. Commentary on the</w:t>
      </w:r>
      <w:r w:rsidR="0041365E" w:rsidRPr="009316C3">
        <w:rPr>
          <w:rFonts w:eastAsia="Century Gothic" w:cs="Calibri Light"/>
          <w:i/>
          <w:color w:val="000000"/>
        </w:rPr>
        <w:t xml:space="preserve"> Procedures </w:t>
      </w:r>
      <w:r w:rsidR="0041365E" w:rsidRPr="009316C3">
        <w:rPr>
          <w:rFonts w:eastAsia="Century Gothic" w:cs="Calibri Light"/>
          <w:i/>
          <w:iCs/>
          <w:color w:val="000000"/>
        </w:rPr>
        <w:t>for NCPs</w:t>
      </w:r>
      <w:r w:rsidR="0041365E" w:rsidRPr="009316C3">
        <w:rPr>
          <w:rFonts w:eastAsia="Century Gothic" w:cs="Calibri Light"/>
          <w:color w:val="000000"/>
        </w:rPr>
        <w:t>, p</w:t>
      </w:r>
      <w:r w:rsidR="000248C6">
        <w:rPr>
          <w:rFonts w:eastAsia="Century Gothic" w:cs="Calibri Light"/>
          <w:color w:val="000000"/>
        </w:rPr>
        <w:t>p</w:t>
      </w:r>
      <w:r w:rsidR="0041365E" w:rsidRPr="009316C3">
        <w:rPr>
          <w:rFonts w:eastAsia="Century Gothic" w:cs="Calibri Light"/>
          <w:color w:val="000000"/>
        </w:rPr>
        <w:t xml:space="preserve"> 6</w:t>
      </w:r>
      <w:r w:rsidR="000248C6">
        <w:rPr>
          <w:rFonts w:eastAsia="Century Gothic" w:cs="Calibri Light"/>
          <w:color w:val="000000"/>
        </w:rPr>
        <w:t>7</w:t>
      </w:r>
      <w:r w:rsidR="00DD69DB">
        <w:rPr>
          <w:rFonts w:eastAsia="Century Gothic" w:cs="Calibri Light"/>
          <w:color w:val="000000"/>
        </w:rPr>
        <w:t>, 69</w:t>
      </w:r>
      <w:r w:rsidRPr="009316C3">
        <w:rPr>
          <w:rFonts w:eastAsia="Century Gothic" w:cs="Calibri Light"/>
          <w:color w:val="000000"/>
        </w:rPr>
        <w:t xml:space="preserve"> </w:t>
      </w:r>
      <w:r w:rsidR="00DB29D7">
        <w:rPr>
          <w:rFonts w:eastAsia="Century Gothic" w:cs="Calibri Light"/>
          <w:color w:val="000000"/>
        </w:rPr>
        <w:t>para</w:t>
      </w:r>
      <w:r w:rsidR="00560350">
        <w:rPr>
          <w:rFonts w:eastAsia="Century Gothic" w:cs="Calibri Light"/>
          <w:color w:val="000000"/>
        </w:rPr>
        <w:t>s</w:t>
      </w:r>
      <w:r w:rsidRPr="009316C3">
        <w:rPr>
          <w:rFonts w:eastAsia="Century Gothic" w:cs="Calibri Light"/>
          <w:color w:val="000000"/>
        </w:rPr>
        <w:t xml:space="preserve"> </w:t>
      </w:r>
      <w:r w:rsidR="0041365E" w:rsidRPr="009316C3">
        <w:rPr>
          <w:rFonts w:eastAsia="Century Gothic" w:cs="Calibri Light"/>
          <w:color w:val="000000"/>
        </w:rPr>
        <w:t>[</w:t>
      </w:r>
      <w:r w:rsidRPr="009316C3">
        <w:rPr>
          <w:rFonts w:eastAsia="Century Gothic" w:cs="Calibri Light"/>
          <w:color w:val="000000"/>
        </w:rPr>
        <w:t>20</w:t>
      </w:r>
      <w:r w:rsidR="0041365E" w:rsidRPr="009316C3">
        <w:rPr>
          <w:rFonts w:eastAsia="Century Gothic" w:cs="Calibri Light"/>
          <w:color w:val="000000"/>
        </w:rPr>
        <w:t>]</w:t>
      </w:r>
      <w:r w:rsidR="00560350">
        <w:rPr>
          <w:rFonts w:eastAsia="Century Gothic" w:cs="Calibri Light"/>
          <w:color w:val="000000"/>
        </w:rPr>
        <w:t xml:space="preserve">, </w:t>
      </w:r>
      <w:r w:rsidR="000248C6">
        <w:rPr>
          <w:rFonts w:eastAsia="Century Gothic" w:cs="Calibri Light"/>
          <w:color w:val="000000"/>
        </w:rPr>
        <w:t>[29]-[31</w:t>
      </w:r>
      <w:r w:rsidR="0041365E" w:rsidRPr="009316C3">
        <w:rPr>
          <w:rFonts w:eastAsia="Century Gothic" w:cs="Calibri Light"/>
          <w:color w:val="000000"/>
        </w:rPr>
        <w:t>]</w:t>
      </w:r>
      <w:r w:rsidRPr="009316C3">
        <w:rPr>
          <w:rFonts w:eastAsia="Century Gothic" w:cs="Calibri Light"/>
          <w:color w:val="000000"/>
        </w:rPr>
        <w:t>.</w:t>
      </w:r>
    </w:p>
  </w:footnote>
  <w:footnote w:id="40">
    <w:p w14:paraId="29286757" w14:textId="5E5AA973" w:rsidR="004E6F85" w:rsidRPr="009316C3" w:rsidRDefault="004E6F85"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eastAsia="Century Gothic" w:cs="Calibri Light"/>
          <w:color w:val="000000"/>
        </w:rPr>
        <w:t xml:space="preserve">AusNCP </w:t>
      </w:r>
      <w:r w:rsidR="00F94D69" w:rsidRPr="009316C3">
        <w:rPr>
          <w:rFonts w:eastAsia="Century Gothic" w:cs="Calibri Light"/>
          <w:iCs/>
          <w:color w:val="000000"/>
        </w:rPr>
        <w:t>complaint procedures</w:t>
      </w:r>
      <w:r w:rsidRPr="009316C3">
        <w:rPr>
          <w:rFonts w:eastAsia="Century Gothic" w:cs="Calibri Light"/>
          <w:color w:val="000000"/>
        </w:rPr>
        <w:t xml:space="preserve">, para </w:t>
      </w:r>
      <w:r w:rsidR="00DB29D7">
        <w:rPr>
          <w:rFonts w:eastAsia="Century Gothic" w:cs="Calibri Light"/>
          <w:color w:val="000000"/>
        </w:rPr>
        <w:t>[</w:t>
      </w:r>
      <w:r w:rsidRPr="009316C3">
        <w:rPr>
          <w:rFonts w:eastAsia="Century Gothic" w:cs="Calibri Light"/>
          <w:color w:val="000000"/>
        </w:rPr>
        <w:t>24</w:t>
      </w:r>
      <w:r w:rsidR="00DB29D7">
        <w:rPr>
          <w:rFonts w:eastAsia="Century Gothic" w:cs="Calibri Light"/>
          <w:color w:val="000000"/>
        </w:rPr>
        <w:t>]</w:t>
      </w:r>
      <w:r w:rsidRPr="009316C3">
        <w:rPr>
          <w:rFonts w:eastAsia="Century Gothic" w:cs="Calibri Light"/>
          <w:color w:val="000000"/>
        </w:rPr>
        <w:t>.</w:t>
      </w:r>
    </w:p>
  </w:footnote>
  <w:footnote w:id="41">
    <w:p w14:paraId="0E1136B2" w14:textId="7B4C5BF5" w:rsidR="004E6F85" w:rsidRPr="009316C3" w:rsidRDefault="004E6F85"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00F94D69" w:rsidRPr="009316C3">
        <w:rPr>
          <w:rFonts w:eastAsia="Century Gothic" w:cs="Calibri Light"/>
          <w:color w:val="000000"/>
        </w:rPr>
        <w:t xml:space="preserve">AusNCP </w:t>
      </w:r>
      <w:r w:rsidR="00F94D69" w:rsidRPr="009316C3">
        <w:rPr>
          <w:rFonts w:eastAsia="Century Gothic" w:cs="Calibri Light"/>
          <w:iCs/>
          <w:color w:val="000000"/>
        </w:rPr>
        <w:t>complaint procedures</w:t>
      </w:r>
      <w:r w:rsidRPr="009316C3">
        <w:rPr>
          <w:rFonts w:eastAsia="Century Gothic" w:cs="Calibri Light"/>
          <w:color w:val="000000"/>
        </w:rPr>
        <w:t xml:space="preserve">, para </w:t>
      </w:r>
      <w:r w:rsidR="00DB29D7">
        <w:rPr>
          <w:rFonts w:eastAsia="Century Gothic" w:cs="Calibri Light"/>
          <w:color w:val="000000"/>
        </w:rPr>
        <w:t>[</w:t>
      </w:r>
      <w:r w:rsidRPr="009316C3">
        <w:rPr>
          <w:rFonts w:eastAsia="Century Gothic" w:cs="Calibri Light"/>
          <w:color w:val="000000"/>
        </w:rPr>
        <w:t>9</w:t>
      </w:r>
      <w:r w:rsidR="00DB29D7">
        <w:rPr>
          <w:rFonts w:eastAsia="Century Gothic" w:cs="Calibri Light"/>
          <w:color w:val="000000"/>
        </w:rPr>
        <w:t>]</w:t>
      </w:r>
      <w:r w:rsidRPr="009316C3">
        <w:rPr>
          <w:rFonts w:eastAsia="Century Gothic" w:cs="Calibri Light"/>
          <w:color w:val="000000"/>
        </w:rPr>
        <w:t>.</w:t>
      </w:r>
    </w:p>
  </w:footnote>
  <w:footnote w:id="42">
    <w:p w14:paraId="5B58518B" w14:textId="231860AF" w:rsidR="002B645E" w:rsidRPr="009A074F" w:rsidRDefault="002B645E" w:rsidP="00BA57DF">
      <w:pPr>
        <w:pStyle w:val="FootnoteText"/>
        <w:ind w:left="181" w:hanging="181"/>
        <w:rPr>
          <w:rFonts w:cs="Calibri Light"/>
        </w:rPr>
      </w:pPr>
      <w:r w:rsidRPr="009A074F">
        <w:rPr>
          <w:rStyle w:val="FootnoteReference"/>
          <w:rFonts w:cs="Calibri Light"/>
          <w:sz w:val="20"/>
        </w:rPr>
        <w:footnoteRef/>
      </w:r>
      <w:r w:rsidRPr="009A074F">
        <w:rPr>
          <w:rFonts w:cs="Calibri Light"/>
        </w:rPr>
        <w:t xml:space="preserve"> The paragraph numbers in these communications relate to an earlier draft version of the statement provided to the parties for comment. Those paragraph numbers may not correspond to the main body of the Final</w:t>
      </w:r>
      <w:r w:rsidR="00030540">
        <w:rPr>
          <w:rFonts w:cs="Calibri Light"/>
        </w:rPr>
        <w:t> </w:t>
      </w:r>
      <w:r w:rsidRPr="009A074F">
        <w:rPr>
          <w:rFonts w:cs="Calibri Light"/>
        </w:rPr>
        <w:t>Statement.</w:t>
      </w:r>
    </w:p>
  </w:footnote>
  <w:footnote w:id="43">
    <w:p w14:paraId="026F8261" w14:textId="52CC9049" w:rsidR="00384643" w:rsidRPr="009316C3" w:rsidRDefault="00384643" w:rsidP="00A805EC">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See Young, A., 2009. The History, Use, Disposition and Environmental Fate of Agent Orange. New York (USA): Springer New York, ch. 2 (“A History of the Development and Procurement of Tactical Herbicides”).</w:t>
      </w:r>
    </w:p>
  </w:footnote>
  <w:footnote w:id="44">
    <w:p w14:paraId="3AFFD008" w14:textId="022BF792" w:rsidR="00384643" w:rsidRPr="009316C3" w:rsidRDefault="00384643" w:rsidP="00A805EC">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See </w:t>
      </w:r>
      <w:r w:rsidR="00BD2E90" w:rsidRPr="009316C3">
        <w:rPr>
          <w:rFonts w:cs="Calibri Light"/>
          <w:i/>
        </w:rPr>
        <w:t>In re “Agent Orange” Product Liability Litigation</w:t>
      </w:r>
      <w:r w:rsidRPr="009316C3">
        <w:rPr>
          <w:rFonts w:cs="Calibri Light"/>
        </w:rPr>
        <w:t>, 517 F.3d 76, 90-91 (2d Cir. 2008) (rejecting contention that Agent Orange was simply a combination of “off-the-shelf, commercially available herbicides,” as, among other things, Agent Orange required 2,4,5-T at purity levels greater than 90%, far exceeding that of commercial products); Young 2009, p. 1 (“The belief that commercially available herbicides were simply purchased from US chemical companies and deployed directly to Vietnam was incorrect and contrary to historical records. ‘Tactical herbicides’ were herbicides and formulations developed specifically by the United</w:t>
      </w:r>
      <w:r w:rsidR="003C2087">
        <w:rPr>
          <w:rFonts w:cs="Calibri Light"/>
        </w:rPr>
        <w:t> </w:t>
      </w:r>
      <w:r w:rsidRPr="009316C3">
        <w:rPr>
          <w:rFonts w:cs="Calibri Light"/>
        </w:rPr>
        <w:t xml:space="preserve">States Department of </w:t>
      </w:r>
      <w:proofErr w:type="spellStart"/>
      <w:r w:rsidRPr="009316C3">
        <w:rPr>
          <w:rFonts w:cs="Calibri Light"/>
        </w:rPr>
        <w:t>Defense</w:t>
      </w:r>
      <w:proofErr w:type="spellEnd"/>
      <w:r w:rsidRPr="009316C3">
        <w:rPr>
          <w:rFonts w:cs="Calibri Light"/>
        </w:rPr>
        <w:t xml:space="preserve"> (DOD) to be used in combat operations”).</w:t>
      </w:r>
    </w:p>
  </w:footnote>
  <w:footnote w:id="45">
    <w:p w14:paraId="052556A1" w14:textId="13B35A3D" w:rsidR="00384643" w:rsidRPr="009316C3" w:rsidRDefault="00384643"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Yule 2020, ch 11; AUS Gov 1985, pp IV-233 to IV-327; and National Academy of Science, Veterans and Agent Orange Update 11 (2018), pp. 30-44. As the NAS committee notes in its discussion of exposure, “After decades of research, the challenge of estimating the magnitude of potential risk posed by exposure to the COIs remains intractable” (p. 44).</w:t>
      </w:r>
    </w:p>
  </w:footnote>
  <w:footnote w:id="46">
    <w:p w14:paraId="588296D9" w14:textId="07862128" w:rsidR="00384643" w:rsidRPr="009316C3" w:rsidRDefault="00384643"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Young 2022, section 11.2.1.</w:t>
      </w:r>
    </w:p>
  </w:footnote>
  <w:footnote w:id="47">
    <w:p w14:paraId="254B9002" w14:textId="37B00763" w:rsidR="00384643" w:rsidRPr="009316C3" w:rsidRDefault="00384643"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AUS Gov 1985, pp I-38.</w:t>
      </w:r>
    </w:p>
  </w:footnote>
  <w:footnote w:id="48">
    <w:p w14:paraId="620C4424" w14:textId="4F1817BB" w:rsidR="00384643" w:rsidRPr="009316C3" w:rsidRDefault="00384643"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See </w:t>
      </w:r>
      <w:r w:rsidR="00BD2E90" w:rsidRPr="009316C3">
        <w:rPr>
          <w:rFonts w:cs="Calibri Light"/>
          <w:i/>
        </w:rPr>
        <w:t>In re “Agent Orange” Product Liability Litigation</w:t>
      </w:r>
      <w:r w:rsidRPr="009316C3">
        <w:rPr>
          <w:rFonts w:cs="Calibri Light"/>
        </w:rPr>
        <w:t>, 517 F.3d 76, 95-97 &amp; 100 (2d Cir. 2008).</w:t>
      </w:r>
    </w:p>
  </w:footnote>
  <w:footnote w:id="49">
    <w:p w14:paraId="0EF6BD0A" w14:textId="487A85C5" w:rsidR="00384643" w:rsidRPr="009316C3" w:rsidRDefault="00384643"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AUS Gov 1985, pp I-30; Young 2022, section 11.2.1 (“The Company [TDCC] closed their production facilities and made extensive modification in the reaction conditions for the synthesis of trichlorophenol. By late 1965, the modified technology developed by Dow Chemical Company, permitted production of 2,4,5-T containing no more than 1 parts-per-million (ppm) TCDD”).</w:t>
      </w:r>
    </w:p>
  </w:footnote>
  <w:footnote w:id="50">
    <w:p w14:paraId="57F7F869" w14:textId="79616E61" w:rsidR="00384643" w:rsidRPr="009316C3" w:rsidRDefault="00384643"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AUS Gov 1985, p. I-39; Normile 2025, 351; Young 2022, section 11.2.2 (noting that “the original sample of 2,4,5¬T used in the screening tests contained approximately 30 ppm TCDD.”).</w:t>
      </w:r>
    </w:p>
  </w:footnote>
  <w:footnote w:id="51">
    <w:p w14:paraId="3E4E95F8" w14:textId="2097097F"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00BD2E90" w:rsidRPr="009316C3">
        <w:rPr>
          <w:rFonts w:cs="Calibri Light"/>
        </w:rPr>
        <w:t>e</w:t>
      </w:r>
      <w:r w:rsidRPr="009316C3">
        <w:rPr>
          <w:rFonts w:cs="Calibri Light"/>
        </w:rPr>
        <w:t xml:space="preserve">.g. National Academy of Science, Committee to Review the Health Effects in Vietnam Veterans of Exposure to Herbicides, </w:t>
      </w:r>
      <w:r w:rsidRPr="009316C3">
        <w:rPr>
          <w:rFonts w:cs="Calibri Light"/>
          <w:i/>
        </w:rPr>
        <w:t>Veterans and Agent Orange Update 11</w:t>
      </w:r>
      <w:r w:rsidRPr="009316C3">
        <w:rPr>
          <w:rFonts w:cs="Calibri Light"/>
        </w:rPr>
        <w:t xml:space="preserve"> (2018).</w:t>
      </w:r>
    </w:p>
  </w:footnote>
  <w:footnote w:id="52">
    <w:p w14:paraId="1F0E1F1D" w14:textId="7D75F08A" w:rsidR="00084DF7" w:rsidRPr="009316C3" w:rsidRDefault="00084DF7"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National Academy of Science, </w:t>
      </w:r>
      <w:r w:rsidRPr="009316C3">
        <w:rPr>
          <w:rFonts w:cs="Calibri Light"/>
          <w:i/>
        </w:rPr>
        <w:t>Veterans and Agent Orange Update 11</w:t>
      </w:r>
      <w:r w:rsidRPr="009316C3">
        <w:rPr>
          <w:rFonts w:cs="Calibri Light"/>
        </w:rPr>
        <w:t xml:space="preserve"> (2018), at 8, 397-406.</w:t>
      </w:r>
    </w:p>
  </w:footnote>
  <w:footnote w:id="53">
    <w:p w14:paraId="5CE0A0AE" w14:textId="605C02A5"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Pr="009316C3">
        <w:rPr>
          <w:rFonts w:cs="Calibri Light"/>
          <w:i/>
        </w:rPr>
        <w:t>In re “Agent Orange” Product Liability Litigation</w:t>
      </w:r>
      <w:r w:rsidRPr="009316C3">
        <w:rPr>
          <w:rFonts w:cs="Calibri Light"/>
        </w:rPr>
        <w:t>, 517 F.3d 76, 90-91 (2d Cir. 2008) (rejecting contention that Agent Orange was simply a combination of “off-the-shelf, commercially available herbicides,” as, among other things, Agent Orange required 2,4,5-T at purity levels greater than 90%, far exceeding that of commercial products). At the suspension of the spray program, the existing stocks were destroyed. Young, A. 2009, The History, Use, Disposition and Environmental Fate of Agent Orange, ch. 4.</w:t>
      </w:r>
    </w:p>
  </w:footnote>
  <w:footnote w:id="54">
    <w:p w14:paraId="2505B3C4" w14:textId="6A9CF566"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See Young, A. 2009, </w:t>
      </w:r>
      <w:r w:rsidRPr="009316C3">
        <w:rPr>
          <w:rFonts w:cs="Calibri Light"/>
          <w:i/>
        </w:rPr>
        <w:t>The History, Use, Disposition and Environmental Fate of Agent Orange</w:t>
      </w:r>
      <w:r w:rsidRPr="009316C3">
        <w:rPr>
          <w:rFonts w:cs="Calibri Light"/>
        </w:rPr>
        <w:t xml:space="preserve">, at 82-91 (discussing spray mission protocols, such as use of forward air controller “to insure that the mission was still clear of friendly troops); National Academy of Science, </w:t>
      </w:r>
      <w:r w:rsidRPr="009316C3">
        <w:rPr>
          <w:rFonts w:cs="Calibri Light"/>
          <w:i/>
        </w:rPr>
        <w:t>Veterans and Agent Orange Update 11</w:t>
      </w:r>
      <w:r w:rsidRPr="009316C3">
        <w:rPr>
          <w:rFonts w:cs="Calibri Light"/>
        </w:rPr>
        <w:t xml:space="preserve"> (2018), at 43 (noting dermal exposure affected by canopy density).</w:t>
      </w:r>
    </w:p>
  </w:footnote>
  <w:footnote w:id="55">
    <w:p w14:paraId="441CF3AD" w14:textId="4534716E"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Pr="009316C3">
        <w:rPr>
          <w:rFonts w:cs="Calibri Light"/>
          <w:i/>
        </w:rPr>
        <w:t>In re “Agent Orange” Product Liability Litigation</w:t>
      </w:r>
      <w:r w:rsidRPr="009316C3">
        <w:rPr>
          <w:rFonts w:cs="Calibri Light"/>
        </w:rPr>
        <w:t>, 517 F.3d 76, 99 n.20 (2d Cir. 2008) (observing “it was not clear that dioxin was in the final products emanating from the contaminated plant. See V.K. Rowe, Test. for the 2,4,5-T Hr</w:t>
      </w:r>
      <w:r w:rsidR="00080F67" w:rsidRPr="009316C3">
        <w:rPr>
          <w:rFonts w:cs="Calibri Light"/>
        </w:rPr>
        <w:t>’</w:t>
      </w:r>
      <w:r w:rsidRPr="009316C3">
        <w:rPr>
          <w:rFonts w:cs="Calibri Light"/>
        </w:rPr>
        <w:t>g (undated), at 28-29 (indicating testing of Dow trichlorophenol and 2,4,5-T following 1964 chloracne outbreak in manufacturing plant revealed no “chloracnegens,” and that source of outbreak was contaminated waste oil, “not exposure to trichlorophenol”).</w:t>
      </w:r>
    </w:p>
  </w:footnote>
  <w:footnote w:id="56">
    <w:p w14:paraId="1543D7FA" w14:textId="771002E9"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w:t>
      </w:r>
      <w:r w:rsidRPr="009316C3">
        <w:rPr>
          <w:rFonts w:cs="Calibri Light"/>
          <w:i/>
        </w:rPr>
        <w:t>In re “Agent Orange” Product Liability Litigation</w:t>
      </w:r>
      <w:r w:rsidRPr="009316C3">
        <w:rPr>
          <w:rFonts w:cs="Calibri Light"/>
        </w:rPr>
        <w:t>, 517 F.3d 76, 99 n.20 (2d Cir. 2008) (“[TDCC] changed its production process such that the concentration of dioxin in its Agent Orange would be reduced to the point where, in its view, the hazard would be eliminated.”); see also id., 92 n.16 (discussing TDCC’s implementation of new production process for Agent Orange as hurdle for plaintiffs’ claims as they could not surmount that TDCC used state of the art technology.</w:t>
      </w:r>
    </w:p>
  </w:footnote>
  <w:footnote w:id="57">
    <w:p w14:paraId="4DB76A4D" w14:textId="42A7CD09" w:rsidR="00084DF7" w:rsidRPr="009316C3" w:rsidRDefault="00084DF7"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Pr="009316C3">
        <w:rPr>
          <w:rFonts w:cs="Calibri Light"/>
          <w:i/>
        </w:rPr>
        <w:t>In re “Agent Orange” Product Liability Litigation</w:t>
      </w:r>
      <w:r w:rsidRPr="009316C3">
        <w:rPr>
          <w:rFonts w:cs="Calibri Light"/>
        </w:rPr>
        <w:t>, 517 F.3d 76, 95-97 (2d Cir. 2008).</w:t>
      </w:r>
    </w:p>
  </w:footnote>
  <w:footnote w:id="58">
    <w:p w14:paraId="1A0C8B7D" w14:textId="432F7C9C" w:rsidR="00084DF7" w:rsidRPr="009316C3" w:rsidRDefault="00084DF7"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w:t>
      </w:r>
      <w:r w:rsidRPr="009316C3">
        <w:rPr>
          <w:rFonts w:cs="Calibri Light"/>
          <w:i/>
        </w:rPr>
        <w:t>In re “Agent Orange” Product Liability Litigation</w:t>
      </w:r>
      <w:r w:rsidRPr="009316C3">
        <w:rPr>
          <w:rFonts w:cs="Calibri Light"/>
        </w:rPr>
        <w:t>, 517 F.3d 76, 100 (2d Cir. 2008).</w:t>
      </w:r>
    </w:p>
  </w:footnote>
  <w:footnote w:id="59">
    <w:p w14:paraId="78E5CE5A" w14:textId="4D113C3D"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In granting dismissal to the manufacturers on the government contractor defense, Judge Jack Weinstein, who presided over the Agent Orange cases for decades, summarized: “In earlier waves of such suits in the 1970s, 1980s and 1990s, the courts concluded that none of the available evidence would support a finding to a more-probable-than-not standard of causality between exposure to Agent Orange and disease (except for a quickly discoverable and curable form of skin irritation, chloracne The scientific basis for that conclusion of lack of any substantial proof of causality, either general or specific to individuals, remains much the same. See Institute of Medicine, Veterans and Agent Orange: Update 2002 (2003)”. </w:t>
      </w:r>
      <w:r w:rsidRPr="009316C3">
        <w:rPr>
          <w:rFonts w:cs="Calibri Light"/>
          <w:i/>
        </w:rPr>
        <w:t>In re “Agent Orange” Product Liability Litigation</w:t>
      </w:r>
      <w:r w:rsidRPr="009316C3">
        <w:rPr>
          <w:rFonts w:cs="Calibri Light"/>
        </w:rPr>
        <w:t>, 304 F. Suup. 2d 404, 407 (E.D.N.Y. 2004</w:t>
      </w:r>
      <w:r w:rsidR="00080F67" w:rsidRPr="009316C3">
        <w:rPr>
          <w:rFonts w:cs="Calibri Light"/>
        </w:rPr>
        <w:t>).</w:t>
      </w:r>
    </w:p>
  </w:footnote>
  <w:footnote w:id="60">
    <w:p w14:paraId="00BC81A1" w14:textId="620C04E7" w:rsidR="00084DF7" w:rsidRPr="009316C3" w:rsidRDefault="00084DF7" w:rsidP="00084DF7">
      <w:pPr>
        <w:pStyle w:val="FootnoteText"/>
        <w:ind w:left="142" w:hanging="142"/>
        <w:rPr>
          <w:rFonts w:cs="Calibri Light"/>
        </w:rPr>
      </w:pPr>
      <w:r w:rsidRPr="009316C3">
        <w:rPr>
          <w:rStyle w:val="FootnoteReference"/>
          <w:rFonts w:cs="Calibri Light"/>
          <w:sz w:val="20"/>
        </w:rPr>
        <w:footnoteRef/>
      </w:r>
      <w:r w:rsidRPr="009316C3">
        <w:rPr>
          <w:rFonts w:cs="Calibri Light"/>
        </w:rPr>
        <w:t xml:space="preserve"> In re “Agent Orange” Product Liability Litigation, 304 F. Suup. 2d 404, 407-08 (E.D.N.Y. 2004).</w:t>
      </w:r>
    </w:p>
  </w:footnote>
  <w:footnote w:id="61">
    <w:p w14:paraId="33173CDF" w14:textId="619C1EFC" w:rsidR="00084DF7" w:rsidRPr="009316C3" w:rsidRDefault="00084DF7" w:rsidP="00425C15">
      <w:pPr>
        <w:pStyle w:val="FootnoteText"/>
        <w:ind w:left="181" w:hanging="181"/>
        <w:rPr>
          <w:rFonts w:cs="Calibri Light"/>
        </w:rPr>
      </w:pPr>
      <w:r w:rsidRPr="009316C3">
        <w:rPr>
          <w:rStyle w:val="FootnoteReference"/>
          <w:rFonts w:cs="Calibri Light"/>
          <w:sz w:val="20"/>
        </w:rPr>
        <w:footnoteRef/>
      </w:r>
      <w:r w:rsidRPr="009316C3">
        <w:rPr>
          <w:rFonts w:cs="Calibri Light"/>
        </w:rPr>
        <w:t xml:space="preserve"> US VA explains in this regard: “The Health and Medicine Division (formally known as the Institute of Medicine) of the National Academy of Sciences, Engineering, and Medicine (NASEM) concluded in its report, Veterans and Agent Orange: Update 1996 Summary and Research Highlights, that there is limited or suggestive evidence of an association between exposure to herbicides used in Vietnam and spina bifida in children of Vietnam Veterans. In Veterans and Agent Orange Update 2014 and Veterans and Agent Orange 2018, NASEM did not find any new significant associations between exposure to herbicides used in Vietnam and adverse outcomes in future generations. Furthermore, the committee has changed the previous categorization of exposure to the chemicals of interest and spina bifida from limited or suggestive evidence to inadequate or insufficient evidence.” </w:t>
      </w:r>
      <w:hyperlink r:id="rId14" w:history="1">
        <w:r w:rsidR="00080F67" w:rsidRPr="009316C3">
          <w:rPr>
            <w:rStyle w:val="Hyperlink"/>
            <w:rFonts w:cs="Calibri Light"/>
          </w:rPr>
          <w:t>https://www.publichealth.va.gov/exposures/agentorange/birth-defects/spina-bifida.asp</w:t>
        </w:r>
      </w:hyperlink>
      <w:r w:rsidR="00080F67" w:rsidRPr="009316C3">
        <w:rPr>
          <w:rFonts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51A1" w14:textId="2DBCE77F" w:rsidR="00144859" w:rsidRDefault="00D3406D">
    <w:pPr>
      <w:pStyle w:val="Header"/>
    </w:pPr>
    <w:r>
      <w:rPr>
        <w:noProof/>
      </w:rPr>
      <w:pict w14:anchorId="433AB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5.5pt;height:63.9pt;rotation:315;z-index:-251658240;mso-position-horizontal:center;mso-position-horizontal-relative:margin;mso-position-vertical:center;mso-position-vertical-relative:margin" o:allowincell="f" fillcolor="red" stroked="f">
          <v:fill opacity=".5"/>
          <v:textpath style="font-family:&quot;Calibri Light&quot;;font-size:1pt" string="DRAFT - CONFIDENTIAL TILL PUBLISH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A879" w14:textId="2950AFD0" w:rsidR="005C7F1C" w:rsidRPr="00AC75E2" w:rsidRDefault="005C7F1C" w:rsidP="00AC75E2">
    <w:pPr>
      <w:pStyle w:val="HeaderEven"/>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ADA7" w14:textId="1775775C" w:rsidR="005C7F1C" w:rsidRDefault="005C7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775" w14:textId="67184660" w:rsidR="005C7F1C" w:rsidRPr="00095D88" w:rsidRDefault="005C7F1C" w:rsidP="00095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A4D" w14:textId="5339D6F6" w:rsidR="00672B5D" w:rsidRPr="00AC75E2" w:rsidRDefault="00D3406D" w:rsidP="00AC75E2">
    <w:pPr>
      <w:pStyle w:val="HeaderEven"/>
    </w:pPr>
    <w:r>
      <w:rPr>
        <w:noProof/>
      </w:rPr>
      <w:pict w14:anchorId="7E83F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5pt;height:63.9pt;rotation:315;z-index:-251658238;mso-position-horizontal:center;mso-position-horizontal-relative:margin;mso-position-vertical:center;mso-position-vertical-relative:margin" o:allowincell="f" fillcolor="red" stroked="f">
          <v:fill opacity=".5"/>
          <v:textpath style="font-family:&quot;Calibri Light&quot;;font-size:1pt" string="DRAFT - CONFIDENTIAL TILL PUBLISHED"/>
          <w10:wrap anchorx="margin" anchory="margin"/>
        </v:shape>
      </w:pict>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06E1" w14:textId="6CF88430" w:rsidR="00144859" w:rsidRDefault="001448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243" w14:textId="1070D220" w:rsidR="00095D88" w:rsidRPr="00095D88" w:rsidRDefault="00D3406D" w:rsidP="00095D88">
    <w:pPr>
      <w:pStyle w:val="Header"/>
    </w:pPr>
    <w:r>
      <w:rPr>
        <w:noProof/>
      </w:rPr>
      <w:pict w14:anchorId="6D8C1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75.5pt;height:63.9pt;rotation:315;z-index:-251658239;mso-position-horizontal:center;mso-position-horizontal-relative:margin;mso-position-vertical:center;mso-position-vertical-relative:margin" o:allowincell="f" fillcolor="red" stroked="f">
          <v:fill opacity=".5"/>
          <v:textpath style="font-family:&quot;Calibri Light&quot;;font-size:1pt" string="DRAFT - CONFIDENTIAL TILL PUBLISH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9F4"/>
    <w:multiLevelType w:val="hybridMultilevel"/>
    <w:tmpl w:val="B1D0F1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966D15"/>
    <w:multiLevelType w:val="hybridMultilevel"/>
    <w:tmpl w:val="17A09540"/>
    <w:lvl w:ilvl="0" w:tplc="5BF2BE5E">
      <w:start w:val="1"/>
      <w:numFmt w:val="bullet"/>
      <w:lvlText w:val=""/>
      <w:lvlJc w:val="left"/>
      <w:pPr>
        <w:ind w:left="720" w:hanging="360"/>
      </w:pPr>
      <w:rPr>
        <w:rFonts w:ascii="Symbol" w:hAnsi="Symbol"/>
      </w:rPr>
    </w:lvl>
    <w:lvl w:ilvl="1" w:tplc="8DBAAAF2">
      <w:start w:val="1"/>
      <w:numFmt w:val="bullet"/>
      <w:lvlText w:val=""/>
      <w:lvlJc w:val="left"/>
      <w:pPr>
        <w:ind w:left="720" w:hanging="360"/>
      </w:pPr>
      <w:rPr>
        <w:rFonts w:ascii="Symbol" w:hAnsi="Symbol"/>
      </w:rPr>
    </w:lvl>
    <w:lvl w:ilvl="2" w:tplc="81CE303E">
      <w:start w:val="1"/>
      <w:numFmt w:val="bullet"/>
      <w:lvlText w:val=""/>
      <w:lvlJc w:val="left"/>
      <w:pPr>
        <w:ind w:left="720" w:hanging="360"/>
      </w:pPr>
      <w:rPr>
        <w:rFonts w:ascii="Symbol" w:hAnsi="Symbol"/>
      </w:rPr>
    </w:lvl>
    <w:lvl w:ilvl="3" w:tplc="3EE2B06E">
      <w:start w:val="1"/>
      <w:numFmt w:val="bullet"/>
      <w:lvlText w:val=""/>
      <w:lvlJc w:val="left"/>
      <w:pPr>
        <w:ind w:left="720" w:hanging="360"/>
      </w:pPr>
      <w:rPr>
        <w:rFonts w:ascii="Symbol" w:hAnsi="Symbol"/>
      </w:rPr>
    </w:lvl>
    <w:lvl w:ilvl="4" w:tplc="D73465B0">
      <w:start w:val="1"/>
      <w:numFmt w:val="bullet"/>
      <w:lvlText w:val=""/>
      <w:lvlJc w:val="left"/>
      <w:pPr>
        <w:ind w:left="720" w:hanging="360"/>
      </w:pPr>
      <w:rPr>
        <w:rFonts w:ascii="Symbol" w:hAnsi="Symbol"/>
      </w:rPr>
    </w:lvl>
    <w:lvl w:ilvl="5" w:tplc="AF5CC86A">
      <w:start w:val="1"/>
      <w:numFmt w:val="bullet"/>
      <w:lvlText w:val=""/>
      <w:lvlJc w:val="left"/>
      <w:pPr>
        <w:ind w:left="720" w:hanging="360"/>
      </w:pPr>
      <w:rPr>
        <w:rFonts w:ascii="Symbol" w:hAnsi="Symbol"/>
      </w:rPr>
    </w:lvl>
    <w:lvl w:ilvl="6" w:tplc="2EB2ECD0">
      <w:start w:val="1"/>
      <w:numFmt w:val="bullet"/>
      <w:lvlText w:val=""/>
      <w:lvlJc w:val="left"/>
      <w:pPr>
        <w:ind w:left="720" w:hanging="360"/>
      </w:pPr>
      <w:rPr>
        <w:rFonts w:ascii="Symbol" w:hAnsi="Symbol"/>
      </w:rPr>
    </w:lvl>
    <w:lvl w:ilvl="7" w:tplc="A1C6AC62">
      <w:start w:val="1"/>
      <w:numFmt w:val="bullet"/>
      <w:lvlText w:val=""/>
      <w:lvlJc w:val="left"/>
      <w:pPr>
        <w:ind w:left="720" w:hanging="360"/>
      </w:pPr>
      <w:rPr>
        <w:rFonts w:ascii="Symbol" w:hAnsi="Symbol"/>
      </w:rPr>
    </w:lvl>
    <w:lvl w:ilvl="8" w:tplc="B1A8FBA8">
      <w:start w:val="1"/>
      <w:numFmt w:val="bullet"/>
      <w:lvlText w:val=""/>
      <w:lvlJc w:val="left"/>
      <w:pPr>
        <w:ind w:left="720" w:hanging="360"/>
      </w:pPr>
      <w:rPr>
        <w:rFonts w:ascii="Symbol" w:hAnsi="Symbol"/>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FB374E4"/>
    <w:multiLevelType w:val="hybridMultilevel"/>
    <w:tmpl w:val="710407C2"/>
    <w:lvl w:ilvl="0" w:tplc="8ACEA24C">
      <w:start w:val="1"/>
      <w:numFmt w:val="decimal"/>
      <w:lvlText w:val="%1)"/>
      <w:lvlJc w:val="left"/>
      <w:pPr>
        <w:ind w:left="360" w:hanging="360"/>
      </w:pPr>
      <w:rPr>
        <w:i w:val="0"/>
        <w:iCs/>
      </w:rPr>
    </w:lvl>
    <w:lvl w:ilvl="1" w:tplc="0C090019">
      <w:start w:val="1"/>
      <w:numFmt w:val="lowerLetter"/>
      <w:lvlText w:val="%2."/>
      <w:lvlJc w:val="left"/>
      <w:pPr>
        <w:ind w:left="1080" w:hanging="360"/>
      </w:pPr>
    </w:lvl>
    <w:lvl w:ilvl="2" w:tplc="16D413A8">
      <w:start w:val="1"/>
      <w:numFmt w:val="lowerLetter"/>
      <w:lvlText w:val="%3)"/>
      <w:lvlJc w:val="left"/>
      <w:pPr>
        <w:ind w:left="2190" w:hanging="57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7E35C1"/>
    <w:multiLevelType w:val="multilevel"/>
    <w:tmpl w:val="AC805EBC"/>
    <w:lvl w:ilvl="0">
      <w:numFmt w:val="none"/>
      <w:pStyle w:val="OutlineNumbered1"/>
      <w:lvlText w:val=""/>
      <w:lvlJc w:val="left"/>
      <w:pPr>
        <w:tabs>
          <w:tab w:val="num" w:pos="360"/>
        </w:tabs>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5B61EB"/>
    <w:multiLevelType w:val="hybridMultilevel"/>
    <w:tmpl w:val="6622A160"/>
    <w:lvl w:ilvl="0" w:tplc="7458C450">
      <w:start w:val="1"/>
      <w:numFmt w:val="bullet"/>
      <w:lvlText w:val=""/>
      <w:lvlJc w:val="left"/>
      <w:pPr>
        <w:ind w:left="1020" w:hanging="360"/>
      </w:pPr>
      <w:rPr>
        <w:rFonts w:ascii="Symbol" w:hAnsi="Symbol"/>
      </w:rPr>
    </w:lvl>
    <w:lvl w:ilvl="1" w:tplc="E438CEB0">
      <w:start w:val="1"/>
      <w:numFmt w:val="bullet"/>
      <w:lvlText w:val=""/>
      <w:lvlJc w:val="left"/>
      <w:pPr>
        <w:ind w:left="1020" w:hanging="360"/>
      </w:pPr>
      <w:rPr>
        <w:rFonts w:ascii="Symbol" w:hAnsi="Symbol"/>
      </w:rPr>
    </w:lvl>
    <w:lvl w:ilvl="2" w:tplc="AA9EFF2E">
      <w:start w:val="1"/>
      <w:numFmt w:val="bullet"/>
      <w:lvlText w:val=""/>
      <w:lvlJc w:val="left"/>
      <w:pPr>
        <w:ind w:left="1020" w:hanging="360"/>
      </w:pPr>
      <w:rPr>
        <w:rFonts w:ascii="Symbol" w:hAnsi="Symbol"/>
      </w:rPr>
    </w:lvl>
    <w:lvl w:ilvl="3" w:tplc="2724D314">
      <w:start w:val="1"/>
      <w:numFmt w:val="bullet"/>
      <w:lvlText w:val=""/>
      <w:lvlJc w:val="left"/>
      <w:pPr>
        <w:ind w:left="1020" w:hanging="360"/>
      </w:pPr>
      <w:rPr>
        <w:rFonts w:ascii="Symbol" w:hAnsi="Symbol"/>
      </w:rPr>
    </w:lvl>
    <w:lvl w:ilvl="4" w:tplc="38BC13E6">
      <w:start w:val="1"/>
      <w:numFmt w:val="bullet"/>
      <w:lvlText w:val=""/>
      <w:lvlJc w:val="left"/>
      <w:pPr>
        <w:ind w:left="1020" w:hanging="360"/>
      </w:pPr>
      <w:rPr>
        <w:rFonts w:ascii="Symbol" w:hAnsi="Symbol"/>
      </w:rPr>
    </w:lvl>
    <w:lvl w:ilvl="5" w:tplc="E3CE1852">
      <w:start w:val="1"/>
      <w:numFmt w:val="bullet"/>
      <w:lvlText w:val=""/>
      <w:lvlJc w:val="left"/>
      <w:pPr>
        <w:ind w:left="1020" w:hanging="360"/>
      </w:pPr>
      <w:rPr>
        <w:rFonts w:ascii="Symbol" w:hAnsi="Symbol"/>
      </w:rPr>
    </w:lvl>
    <w:lvl w:ilvl="6" w:tplc="863C3D42">
      <w:start w:val="1"/>
      <w:numFmt w:val="bullet"/>
      <w:lvlText w:val=""/>
      <w:lvlJc w:val="left"/>
      <w:pPr>
        <w:ind w:left="1020" w:hanging="360"/>
      </w:pPr>
      <w:rPr>
        <w:rFonts w:ascii="Symbol" w:hAnsi="Symbol"/>
      </w:rPr>
    </w:lvl>
    <w:lvl w:ilvl="7" w:tplc="6B7A9A02">
      <w:start w:val="1"/>
      <w:numFmt w:val="bullet"/>
      <w:lvlText w:val=""/>
      <w:lvlJc w:val="left"/>
      <w:pPr>
        <w:ind w:left="1020" w:hanging="360"/>
      </w:pPr>
      <w:rPr>
        <w:rFonts w:ascii="Symbol" w:hAnsi="Symbol"/>
      </w:rPr>
    </w:lvl>
    <w:lvl w:ilvl="8" w:tplc="CB5E671C">
      <w:start w:val="1"/>
      <w:numFmt w:val="bullet"/>
      <w:lvlText w:val=""/>
      <w:lvlJc w:val="left"/>
      <w:pPr>
        <w:ind w:left="1020" w:hanging="360"/>
      </w:pPr>
      <w:rPr>
        <w:rFonts w:ascii="Symbol" w:hAnsi="Symbol"/>
      </w:rPr>
    </w:lvl>
  </w:abstractNum>
  <w:abstractNum w:abstractNumId="10" w15:restartNumberingAfterBreak="0">
    <w:nsid w:val="2D444934"/>
    <w:multiLevelType w:val="hybridMultilevel"/>
    <w:tmpl w:val="0748A734"/>
    <w:lvl w:ilvl="0" w:tplc="E6BC52AE">
      <w:start w:val="1"/>
      <w:numFmt w:val="bullet"/>
      <w:lvlText w:val=""/>
      <w:lvlJc w:val="left"/>
      <w:pPr>
        <w:ind w:left="1020" w:hanging="360"/>
      </w:pPr>
      <w:rPr>
        <w:rFonts w:ascii="Symbol" w:hAnsi="Symbol"/>
      </w:rPr>
    </w:lvl>
    <w:lvl w:ilvl="1" w:tplc="44A61F5E">
      <w:start w:val="1"/>
      <w:numFmt w:val="bullet"/>
      <w:lvlText w:val=""/>
      <w:lvlJc w:val="left"/>
      <w:pPr>
        <w:ind w:left="1020" w:hanging="360"/>
      </w:pPr>
      <w:rPr>
        <w:rFonts w:ascii="Symbol" w:hAnsi="Symbol"/>
      </w:rPr>
    </w:lvl>
    <w:lvl w:ilvl="2" w:tplc="B8C29BB4">
      <w:start w:val="1"/>
      <w:numFmt w:val="bullet"/>
      <w:lvlText w:val=""/>
      <w:lvlJc w:val="left"/>
      <w:pPr>
        <w:ind w:left="1020" w:hanging="360"/>
      </w:pPr>
      <w:rPr>
        <w:rFonts w:ascii="Symbol" w:hAnsi="Symbol"/>
      </w:rPr>
    </w:lvl>
    <w:lvl w:ilvl="3" w:tplc="C1FEC5D0">
      <w:start w:val="1"/>
      <w:numFmt w:val="bullet"/>
      <w:lvlText w:val=""/>
      <w:lvlJc w:val="left"/>
      <w:pPr>
        <w:ind w:left="1020" w:hanging="360"/>
      </w:pPr>
      <w:rPr>
        <w:rFonts w:ascii="Symbol" w:hAnsi="Symbol"/>
      </w:rPr>
    </w:lvl>
    <w:lvl w:ilvl="4" w:tplc="2FF4F224">
      <w:start w:val="1"/>
      <w:numFmt w:val="bullet"/>
      <w:lvlText w:val=""/>
      <w:lvlJc w:val="left"/>
      <w:pPr>
        <w:ind w:left="1020" w:hanging="360"/>
      </w:pPr>
      <w:rPr>
        <w:rFonts w:ascii="Symbol" w:hAnsi="Symbol"/>
      </w:rPr>
    </w:lvl>
    <w:lvl w:ilvl="5" w:tplc="EF18073A">
      <w:start w:val="1"/>
      <w:numFmt w:val="bullet"/>
      <w:lvlText w:val=""/>
      <w:lvlJc w:val="left"/>
      <w:pPr>
        <w:ind w:left="1020" w:hanging="360"/>
      </w:pPr>
      <w:rPr>
        <w:rFonts w:ascii="Symbol" w:hAnsi="Symbol"/>
      </w:rPr>
    </w:lvl>
    <w:lvl w:ilvl="6" w:tplc="998E7706">
      <w:start w:val="1"/>
      <w:numFmt w:val="bullet"/>
      <w:lvlText w:val=""/>
      <w:lvlJc w:val="left"/>
      <w:pPr>
        <w:ind w:left="1020" w:hanging="360"/>
      </w:pPr>
      <w:rPr>
        <w:rFonts w:ascii="Symbol" w:hAnsi="Symbol"/>
      </w:rPr>
    </w:lvl>
    <w:lvl w:ilvl="7" w:tplc="ACB053EA">
      <w:start w:val="1"/>
      <w:numFmt w:val="bullet"/>
      <w:lvlText w:val=""/>
      <w:lvlJc w:val="left"/>
      <w:pPr>
        <w:ind w:left="1020" w:hanging="360"/>
      </w:pPr>
      <w:rPr>
        <w:rFonts w:ascii="Symbol" w:hAnsi="Symbol"/>
      </w:rPr>
    </w:lvl>
    <w:lvl w:ilvl="8" w:tplc="AB7C5E58">
      <w:start w:val="1"/>
      <w:numFmt w:val="bullet"/>
      <w:lvlText w:val=""/>
      <w:lvlJc w:val="left"/>
      <w:pPr>
        <w:ind w:left="1020" w:hanging="360"/>
      </w:pPr>
      <w:rPr>
        <w:rFonts w:ascii="Symbol" w:hAnsi="Symbol"/>
      </w:rPr>
    </w:lvl>
  </w:abstractNum>
  <w:abstractNum w:abstractNumId="11" w15:restartNumberingAfterBreak="0">
    <w:nsid w:val="308C2710"/>
    <w:multiLevelType w:val="multilevel"/>
    <w:tmpl w:val="54D60490"/>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5605B7"/>
    <w:multiLevelType w:val="hybridMultilevel"/>
    <w:tmpl w:val="E3EEA512"/>
    <w:lvl w:ilvl="0" w:tplc="32EAB49E">
      <w:start w:val="1"/>
      <w:numFmt w:val="bullet"/>
      <w:lvlText w:val=""/>
      <w:lvlJc w:val="left"/>
      <w:pPr>
        <w:ind w:left="1020" w:hanging="360"/>
      </w:pPr>
      <w:rPr>
        <w:rFonts w:ascii="Symbol" w:hAnsi="Symbol"/>
      </w:rPr>
    </w:lvl>
    <w:lvl w:ilvl="1" w:tplc="9F643D2C">
      <w:start w:val="1"/>
      <w:numFmt w:val="bullet"/>
      <w:lvlText w:val=""/>
      <w:lvlJc w:val="left"/>
      <w:pPr>
        <w:ind w:left="1020" w:hanging="360"/>
      </w:pPr>
      <w:rPr>
        <w:rFonts w:ascii="Symbol" w:hAnsi="Symbol"/>
      </w:rPr>
    </w:lvl>
    <w:lvl w:ilvl="2" w:tplc="0E3A2F36">
      <w:start w:val="1"/>
      <w:numFmt w:val="bullet"/>
      <w:lvlText w:val=""/>
      <w:lvlJc w:val="left"/>
      <w:pPr>
        <w:ind w:left="1020" w:hanging="360"/>
      </w:pPr>
      <w:rPr>
        <w:rFonts w:ascii="Symbol" w:hAnsi="Symbol"/>
      </w:rPr>
    </w:lvl>
    <w:lvl w:ilvl="3" w:tplc="8DE86AB8">
      <w:start w:val="1"/>
      <w:numFmt w:val="bullet"/>
      <w:lvlText w:val=""/>
      <w:lvlJc w:val="left"/>
      <w:pPr>
        <w:ind w:left="1020" w:hanging="360"/>
      </w:pPr>
      <w:rPr>
        <w:rFonts w:ascii="Symbol" w:hAnsi="Symbol"/>
      </w:rPr>
    </w:lvl>
    <w:lvl w:ilvl="4" w:tplc="6E5299BA">
      <w:start w:val="1"/>
      <w:numFmt w:val="bullet"/>
      <w:lvlText w:val=""/>
      <w:lvlJc w:val="left"/>
      <w:pPr>
        <w:ind w:left="1020" w:hanging="360"/>
      </w:pPr>
      <w:rPr>
        <w:rFonts w:ascii="Symbol" w:hAnsi="Symbol"/>
      </w:rPr>
    </w:lvl>
    <w:lvl w:ilvl="5" w:tplc="1DBC1270">
      <w:start w:val="1"/>
      <w:numFmt w:val="bullet"/>
      <w:lvlText w:val=""/>
      <w:lvlJc w:val="left"/>
      <w:pPr>
        <w:ind w:left="1020" w:hanging="360"/>
      </w:pPr>
      <w:rPr>
        <w:rFonts w:ascii="Symbol" w:hAnsi="Symbol"/>
      </w:rPr>
    </w:lvl>
    <w:lvl w:ilvl="6" w:tplc="D7766CDC">
      <w:start w:val="1"/>
      <w:numFmt w:val="bullet"/>
      <w:lvlText w:val=""/>
      <w:lvlJc w:val="left"/>
      <w:pPr>
        <w:ind w:left="1020" w:hanging="360"/>
      </w:pPr>
      <w:rPr>
        <w:rFonts w:ascii="Symbol" w:hAnsi="Symbol"/>
      </w:rPr>
    </w:lvl>
    <w:lvl w:ilvl="7" w:tplc="AE5464BE">
      <w:start w:val="1"/>
      <w:numFmt w:val="bullet"/>
      <w:lvlText w:val=""/>
      <w:lvlJc w:val="left"/>
      <w:pPr>
        <w:ind w:left="1020" w:hanging="360"/>
      </w:pPr>
      <w:rPr>
        <w:rFonts w:ascii="Symbol" w:hAnsi="Symbol"/>
      </w:rPr>
    </w:lvl>
    <w:lvl w:ilvl="8" w:tplc="5204E358">
      <w:start w:val="1"/>
      <w:numFmt w:val="bullet"/>
      <w:lvlText w:val=""/>
      <w:lvlJc w:val="left"/>
      <w:pPr>
        <w:ind w:left="1020" w:hanging="360"/>
      </w:pPr>
      <w:rPr>
        <w:rFonts w:ascii="Symbol" w:hAnsi="Symbol"/>
      </w:rPr>
    </w:lvl>
  </w:abstractNum>
  <w:abstractNum w:abstractNumId="15" w15:restartNumberingAfterBreak="0">
    <w:nsid w:val="510D2021"/>
    <w:multiLevelType w:val="multilevel"/>
    <w:tmpl w:val="72F8140E"/>
    <w:numStyleLink w:val="OutlineList"/>
  </w:abstractNum>
  <w:abstractNum w:abstractNumId="16"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6F3A4520"/>
    <w:multiLevelType w:val="hybridMultilevel"/>
    <w:tmpl w:val="47C819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4699988">
    <w:abstractNumId w:val="11"/>
  </w:num>
  <w:num w:numId="2" w16cid:durableId="1575160055">
    <w:abstractNumId w:val="2"/>
  </w:num>
  <w:num w:numId="3" w16cid:durableId="693964648">
    <w:abstractNumId w:val="13"/>
  </w:num>
  <w:num w:numId="4" w16cid:durableId="1469126336">
    <w:abstractNumId w:val="4"/>
  </w:num>
  <w:num w:numId="5" w16cid:durableId="29960851">
    <w:abstractNumId w:val="15"/>
  </w:num>
  <w:num w:numId="6" w16cid:durableId="355934120">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49473997">
    <w:abstractNumId w:val="6"/>
  </w:num>
  <w:num w:numId="8" w16cid:durableId="1654068329">
    <w:abstractNumId w:val="8"/>
  </w:num>
  <w:num w:numId="9" w16cid:durableId="315844049">
    <w:abstractNumId w:val="12"/>
  </w:num>
  <w:num w:numId="10" w16cid:durableId="1074937037">
    <w:abstractNumId w:val="5"/>
  </w:num>
  <w:num w:numId="11" w16cid:durableId="1740902991">
    <w:abstractNumId w:val="16"/>
  </w:num>
  <w:num w:numId="12" w16cid:durableId="2124961542">
    <w:abstractNumId w:val="7"/>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72289665">
    <w:abstractNumId w:val="7"/>
    <w:lvlOverride w:ilvl="0">
      <w:startOverride w:val="1"/>
      <w:lvl w:ilvl="0">
        <w:start w:val="1"/>
        <w:numFmt w:val="decimal"/>
        <w:pStyle w:val="OutlineNumbered1"/>
        <w:lvlText w:val="%1."/>
        <w:lvlJc w:val="left"/>
        <w:pPr>
          <w:ind w:left="454" w:hanging="454"/>
        </w:pPr>
      </w:lvl>
    </w:lvlOverride>
    <w:lvlOverride w:ilvl="1">
      <w:startOverride w:val="1"/>
      <w:lvl w:ilvl="1">
        <w:start w:val="1"/>
        <w:numFmt w:val="decimal"/>
        <w:lvlText w:val="%1.%2."/>
        <w:lvlJc w:val="left"/>
        <w:pPr>
          <w:ind w:left="1191" w:hanging="737"/>
        </w:pPr>
        <w:rPr>
          <w:rFonts w:hint="default"/>
          <w:b w:val="0"/>
        </w:rPr>
      </w:lvl>
    </w:lvlOverride>
    <w:lvlOverride w:ilvl="2">
      <w:startOverride w:val="1"/>
      <w:lvl w:ilvl="2">
        <w:start w:val="1"/>
        <w:numFmt w:val="decimal"/>
        <w:lvlText w:val="%1.%2.%3."/>
        <w:lvlJc w:val="left"/>
        <w:pPr>
          <w:ind w:left="2098" w:hanging="907"/>
        </w:pPr>
        <w:rPr>
          <w:rFonts w:hint="default"/>
        </w:rPr>
      </w:lvl>
    </w:lvlOverride>
    <w:lvlOverride w:ilvl="3">
      <w:startOverride w:val="1"/>
      <w:lvl w:ilvl="3">
        <w:start w:val="1"/>
        <w:numFmt w:val="decimal"/>
        <w:lvlText w:val="%1.%2.%3.%4."/>
        <w:lvlJc w:val="left"/>
        <w:pPr>
          <w:ind w:left="3119" w:hanging="1021"/>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4" w16cid:durableId="2059501099">
    <w:abstractNumId w:val="9"/>
  </w:num>
  <w:num w:numId="15" w16cid:durableId="1041367093">
    <w:abstractNumId w:val="3"/>
  </w:num>
  <w:num w:numId="16" w16cid:durableId="1338539149">
    <w:abstractNumId w:val="17"/>
  </w:num>
  <w:num w:numId="17" w16cid:durableId="567963560">
    <w:abstractNumId w:val="0"/>
  </w:num>
  <w:num w:numId="18" w16cid:durableId="335041605">
    <w:abstractNumId w:val="1"/>
  </w:num>
  <w:num w:numId="19" w16cid:durableId="738021858">
    <w:abstractNumId w:val="14"/>
  </w:num>
  <w:num w:numId="20" w16cid:durableId="1548032001">
    <w:abstractNumId w:val="10"/>
  </w:num>
  <w:num w:numId="21" w16cid:durableId="519509922">
    <w:abstractNumId w:val="7"/>
    <w:lvlOverride w:ilvl="0">
      <w:startOverride w:val="1"/>
      <w:lvl w:ilvl="0">
        <w:start w:val="1"/>
        <w:numFmt w:val="decimal"/>
        <w:pStyle w:val="OutlineNumbered1"/>
        <w:lvlText w:val="%1."/>
        <w:lvlJc w:val="left"/>
        <w:pPr>
          <w:ind w:left="454" w:hanging="454"/>
        </w:pPr>
      </w:lvl>
    </w:lvlOverride>
    <w:lvlOverride w:ilvl="1">
      <w:startOverride w:val="1"/>
      <w:lvl w:ilvl="1">
        <w:start w:val="1"/>
        <w:numFmt w:val="decimal"/>
        <w:lvlText w:val="%1.%2."/>
        <w:lvlJc w:val="left"/>
        <w:pPr>
          <w:ind w:left="1191" w:hanging="737"/>
        </w:pPr>
        <w:rPr>
          <w:rFonts w:hint="default"/>
          <w:b w:val="0"/>
        </w:rPr>
      </w:lvl>
    </w:lvlOverride>
    <w:lvlOverride w:ilvl="2">
      <w:startOverride w:val="1"/>
      <w:lvl w:ilvl="2">
        <w:start w:val="1"/>
        <w:numFmt w:val="decimal"/>
        <w:lvlText w:val="%1.%2.%3."/>
        <w:lvlJc w:val="left"/>
        <w:pPr>
          <w:ind w:left="2098" w:hanging="907"/>
        </w:pPr>
        <w:rPr>
          <w:rFonts w:hint="default"/>
        </w:rPr>
      </w:lvl>
    </w:lvlOverride>
    <w:lvlOverride w:ilvl="3">
      <w:startOverride w:val="1"/>
      <w:lvl w:ilvl="3">
        <w:start w:val="1"/>
        <w:numFmt w:val="decimal"/>
        <w:lvlText w:val="%1.%2.%3.%4."/>
        <w:lvlJc w:val="left"/>
        <w:pPr>
          <w:ind w:left="3119" w:hanging="1021"/>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S IE statement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p9ezptped50e00ropxrznw5fstp9ppz55&quot;&gt;240821 Hub New&lt;record-ids&gt;&lt;item&gt;13798&lt;/item&gt;&lt;item&gt;14547&lt;/item&gt;&lt;/record-ids&gt;&lt;/item&gt;&lt;/Libraries&gt;"/>
    <w:docVar w:name="SecurityClassificationInHeader" w:val="False"/>
  </w:docVars>
  <w:rsids>
    <w:rsidRoot w:val="00792DB2"/>
    <w:rsid w:val="000008A7"/>
    <w:rsid w:val="0000134A"/>
    <w:rsid w:val="0000174D"/>
    <w:rsid w:val="00001904"/>
    <w:rsid w:val="0000313D"/>
    <w:rsid w:val="00003535"/>
    <w:rsid w:val="00003931"/>
    <w:rsid w:val="00006016"/>
    <w:rsid w:val="0000614D"/>
    <w:rsid w:val="00006CEA"/>
    <w:rsid w:val="00006F91"/>
    <w:rsid w:val="00007151"/>
    <w:rsid w:val="00007E12"/>
    <w:rsid w:val="000101AA"/>
    <w:rsid w:val="000111D9"/>
    <w:rsid w:val="00011725"/>
    <w:rsid w:val="00012006"/>
    <w:rsid w:val="000120B5"/>
    <w:rsid w:val="00012388"/>
    <w:rsid w:val="00012C62"/>
    <w:rsid w:val="0001396A"/>
    <w:rsid w:val="00013F8A"/>
    <w:rsid w:val="000140F7"/>
    <w:rsid w:val="00015511"/>
    <w:rsid w:val="00016075"/>
    <w:rsid w:val="000163D2"/>
    <w:rsid w:val="000166CD"/>
    <w:rsid w:val="00016924"/>
    <w:rsid w:val="000200E6"/>
    <w:rsid w:val="0002129A"/>
    <w:rsid w:val="000218CB"/>
    <w:rsid w:val="000220B0"/>
    <w:rsid w:val="000225AD"/>
    <w:rsid w:val="00022C1D"/>
    <w:rsid w:val="0002313D"/>
    <w:rsid w:val="0002333B"/>
    <w:rsid w:val="00023A3F"/>
    <w:rsid w:val="000246D4"/>
    <w:rsid w:val="000248C6"/>
    <w:rsid w:val="00024DA2"/>
    <w:rsid w:val="0002544D"/>
    <w:rsid w:val="000265A6"/>
    <w:rsid w:val="00030540"/>
    <w:rsid w:val="000315B6"/>
    <w:rsid w:val="00033E2D"/>
    <w:rsid w:val="00035154"/>
    <w:rsid w:val="0003556D"/>
    <w:rsid w:val="00035D70"/>
    <w:rsid w:val="00035DA9"/>
    <w:rsid w:val="000362E7"/>
    <w:rsid w:val="000367DB"/>
    <w:rsid w:val="00036ACD"/>
    <w:rsid w:val="00037689"/>
    <w:rsid w:val="00037AE6"/>
    <w:rsid w:val="00037B8F"/>
    <w:rsid w:val="00037D80"/>
    <w:rsid w:val="00040BB2"/>
    <w:rsid w:val="00040BDA"/>
    <w:rsid w:val="000416BE"/>
    <w:rsid w:val="000417D3"/>
    <w:rsid w:val="00041EA6"/>
    <w:rsid w:val="0004274D"/>
    <w:rsid w:val="00043348"/>
    <w:rsid w:val="00043741"/>
    <w:rsid w:val="00044030"/>
    <w:rsid w:val="0004483F"/>
    <w:rsid w:val="00045B18"/>
    <w:rsid w:val="000460AB"/>
    <w:rsid w:val="00046B04"/>
    <w:rsid w:val="00046CB4"/>
    <w:rsid w:val="00050038"/>
    <w:rsid w:val="00050225"/>
    <w:rsid w:val="0005089E"/>
    <w:rsid w:val="0005138B"/>
    <w:rsid w:val="00051C24"/>
    <w:rsid w:val="000522B7"/>
    <w:rsid w:val="00052543"/>
    <w:rsid w:val="000526A1"/>
    <w:rsid w:val="00052745"/>
    <w:rsid w:val="00053717"/>
    <w:rsid w:val="00053D59"/>
    <w:rsid w:val="00053F38"/>
    <w:rsid w:val="00054812"/>
    <w:rsid w:val="00054C06"/>
    <w:rsid w:val="00055263"/>
    <w:rsid w:val="0005534E"/>
    <w:rsid w:val="00055814"/>
    <w:rsid w:val="00055F25"/>
    <w:rsid w:val="00055FF9"/>
    <w:rsid w:val="000567A3"/>
    <w:rsid w:val="00056880"/>
    <w:rsid w:val="00057920"/>
    <w:rsid w:val="00060B5A"/>
    <w:rsid w:val="00061B3D"/>
    <w:rsid w:val="00061FD0"/>
    <w:rsid w:val="00062583"/>
    <w:rsid w:val="00062E7F"/>
    <w:rsid w:val="00062F2B"/>
    <w:rsid w:val="00063193"/>
    <w:rsid w:val="00063632"/>
    <w:rsid w:val="00063AA1"/>
    <w:rsid w:val="00066A4E"/>
    <w:rsid w:val="00067154"/>
    <w:rsid w:val="000675D1"/>
    <w:rsid w:val="0006773A"/>
    <w:rsid w:val="00067CB7"/>
    <w:rsid w:val="00067F30"/>
    <w:rsid w:val="00070A42"/>
    <w:rsid w:val="00071893"/>
    <w:rsid w:val="00071D20"/>
    <w:rsid w:val="00071F1D"/>
    <w:rsid w:val="00072192"/>
    <w:rsid w:val="00072622"/>
    <w:rsid w:val="00073521"/>
    <w:rsid w:val="00073590"/>
    <w:rsid w:val="00073824"/>
    <w:rsid w:val="000739C9"/>
    <w:rsid w:val="00076B59"/>
    <w:rsid w:val="00077411"/>
    <w:rsid w:val="000775DE"/>
    <w:rsid w:val="00077CDB"/>
    <w:rsid w:val="00077DBF"/>
    <w:rsid w:val="00077F43"/>
    <w:rsid w:val="000807F9"/>
    <w:rsid w:val="00080F67"/>
    <w:rsid w:val="00081827"/>
    <w:rsid w:val="000827BF"/>
    <w:rsid w:val="00082F06"/>
    <w:rsid w:val="0008374F"/>
    <w:rsid w:val="000837C8"/>
    <w:rsid w:val="00083AA8"/>
    <w:rsid w:val="00083CE3"/>
    <w:rsid w:val="00084056"/>
    <w:rsid w:val="000846E6"/>
    <w:rsid w:val="000846F8"/>
    <w:rsid w:val="00084DF7"/>
    <w:rsid w:val="00084FE1"/>
    <w:rsid w:val="00085135"/>
    <w:rsid w:val="00085C7C"/>
    <w:rsid w:val="00086231"/>
    <w:rsid w:val="00087FAF"/>
    <w:rsid w:val="000917DD"/>
    <w:rsid w:val="00093053"/>
    <w:rsid w:val="00093659"/>
    <w:rsid w:val="00093E65"/>
    <w:rsid w:val="00094946"/>
    <w:rsid w:val="000949AC"/>
    <w:rsid w:val="00094F7F"/>
    <w:rsid w:val="000952CD"/>
    <w:rsid w:val="000959FF"/>
    <w:rsid w:val="00095D88"/>
    <w:rsid w:val="000963BF"/>
    <w:rsid w:val="00096724"/>
    <w:rsid w:val="00096ADA"/>
    <w:rsid w:val="0009746C"/>
    <w:rsid w:val="000A0238"/>
    <w:rsid w:val="000A037B"/>
    <w:rsid w:val="000A0543"/>
    <w:rsid w:val="000A076B"/>
    <w:rsid w:val="000A091A"/>
    <w:rsid w:val="000A0D51"/>
    <w:rsid w:val="000A17EB"/>
    <w:rsid w:val="000A2367"/>
    <w:rsid w:val="000A3C1F"/>
    <w:rsid w:val="000A46D3"/>
    <w:rsid w:val="000A4C53"/>
    <w:rsid w:val="000A61BD"/>
    <w:rsid w:val="000A6D41"/>
    <w:rsid w:val="000A6D6F"/>
    <w:rsid w:val="000A6EA8"/>
    <w:rsid w:val="000A7018"/>
    <w:rsid w:val="000A7ABE"/>
    <w:rsid w:val="000B0192"/>
    <w:rsid w:val="000B093F"/>
    <w:rsid w:val="000B0CC3"/>
    <w:rsid w:val="000B1C6F"/>
    <w:rsid w:val="000B2522"/>
    <w:rsid w:val="000B302A"/>
    <w:rsid w:val="000B3886"/>
    <w:rsid w:val="000B3890"/>
    <w:rsid w:val="000B4575"/>
    <w:rsid w:val="000B47D8"/>
    <w:rsid w:val="000B47E1"/>
    <w:rsid w:val="000B4D90"/>
    <w:rsid w:val="000B595D"/>
    <w:rsid w:val="000B71D1"/>
    <w:rsid w:val="000B78E1"/>
    <w:rsid w:val="000C05C3"/>
    <w:rsid w:val="000C16D6"/>
    <w:rsid w:val="000C1E3F"/>
    <w:rsid w:val="000C2034"/>
    <w:rsid w:val="000C297D"/>
    <w:rsid w:val="000C3A3C"/>
    <w:rsid w:val="000C3FE7"/>
    <w:rsid w:val="000C5163"/>
    <w:rsid w:val="000C571D"/>
    <w:rsid w:val="000C5D0D"/>
    <w:rsid w:val="000C5DD8"/>
    <w:rsid w:val="000C5F40"/>
    <w:rsid w:val="000C667A"/>
    <w:rsid w:val="000C6924"/>
    <w:rsid w:val="000C6CCE"/>
    <w:rsid w:val="000C6FC4"/>
    <w:rsid w:val="000D0158"/>
    <w:rsid w:val="000D15A0"/>
    <w:rsid w:val="000D1694"/>
    <w:rsid w:val="000D2024"/>
    <w:rsid w:val="000D3173"/>
    <w:rsid w:val="000D486B"/>
    <w:rsid w:val="000D4A0B"/>
    <w:rsid w:val="000D4A53"/>
    <w:rsid w:val="000D4D99"/>
    <w:rsid w:val="000D7875"/>
    <w:rsid w:val="000E0221"/>
    <w:rsid w:val="000E0B74"/>
    <w:rsid w:val="000E0E64"/>
    <w:rsid w:val="000E17DE"/>
    <w:rsid w:val="000E230E"/>
    <w:rsid w:val="000E322F"/>
    <w:rsid w:val="000E3739"/>
    <w:rsid w:val="000E3818"/>
    <w:rsid w:val="000E4F0A"/>
    <w:rsid w:val="000E5A35"/>
    <w:rsid w:val="000E631B"/>
    <w:rsid w:val="000E698B"/>
    <w:rsid w:val="000E715C"/>
    <w:rsid w:val="000E7901"/>
    <w:rsid w:val="000E7B9A"/>
    <w:rsid w:val="000F0B29"/>
    <w:rsid w:val="000F1539"/>
    <w:rsid w:val="000F33DC"/>
    <w:rsid w:val="000F5883"/>
    <w:rsid w:val="000F60B0"/>
    <w:rsid w:val="000F6233"/>
    <w:rsid w:val="000F6517"/>
    <w:rsid w:val="000F76FE"/>
    <w:rsid w:val="000F7EFF"/>
    <w:rsid w:val="001000C4"/>
    <w:rsid w:val="00100B64"/>
    <w:rsid w:val="00100BF8"/>
    <w:rsid w:val="00100C1A"/>
    <w:rsid w:val="00100EF1"/>
    <w:rsid w:val="00101364"/>
    <w:rsid w:val="001020A7"/>
    <w:rsid w:val="00102470"/>
    <w:rsid w:val="0010277E"/>
    <w:rsid w:val="001039BB"/>
    <w:rsid w:val="00103EA3"/>
    <w:rsid w:val="00103F3C"/>
    <w:rsid w:val="0010441B"/>
    <w:rsid w:val="00105D2B"/>
    <w:rsid w:val="00105E5F"/>
    <w:rsid w:val="00106E9D"/>
    <w:rsid w:val="0010747D"/>
    <w:rsid w:val="00107D94"/>
    <w:rsid w:val="0011063A"/>
    <w:rsid w:val="00110BB4"/>
    <w:rsid w:val="001115D4"/>
    <w:rsid w:val="001118CB"/>
    <w:rsid w:val="00112CE4"/>
    <w:rsid w:val="0011303E"/>
    <w:rsid w:val="001130BF"/>
    <w:rsid w:val="001134E9"/>
    <w:rsid w:val="001136D4"/>
    <w:rsid w:val="00113A5E"/>
    <w:rsid w:val="00113C8F"/>
    <w:rsid w:val="00113D53"/>
    <w:rsid w:val="0011427D"/>
    <w:rsid w:val="001147BE"/>
    <w:rsid w:val="00115FFC"/>
    <w:rsid w:val="001163E4"/>
    <w:rsid w:val="00116B1E"/>
    <w:rsid w:val="00116DE8"/>
    <w:rsid w:val="00117771"/>
    <w:rsid w:val="001200A5"/>
    <w:rsid w:val="001205E9"/>
    <w:rsid w:val="00120C24"/>
    <w:rsid w:val="00122452"/>
    <w:rsid w:val="00122AF0"/>
    <w:rsid w:val="001235ED"/>
    <w:rsid w:val="00123720"/>
    <w:rsid w:val="001251D3"/>
    <w:rsid w:val="00125733"/>
    <w:rsid w:val="001257BA"/>
    <w:rsid w:val="00126181"/>
    <w:rsid w:val="001266ED"/>
    <w:rsid w:val="00131A28"/>
    <w:rsid w:val="00131DC3"/>
    <w:rsid w:val="00133AFB"/>
    <w:rsid w:val="001342AA"/>
    <w:rsid w:val="001344D9"/>
    <w:rsid w:val="00134BC6"/>
    <w:rsid w:val="001353FB"/>
    <w:rsid w:val="00135549"/>
    <w:rsid w:val="00135E4C"/>
    <w:rsid w:val="00136312"/>
    <w:rsid w:val="0013639D"/>
    <w:rsid w:val="00136B38"/>
    <w:rsid w:val="0013717A"/>
    <w:rsid w:val="001373F5"/>
    <w:rsid w:val="00137A22"/>
    <w:rsid w:val="0014160E"/>
    <w:rsid w:val="00141847"/>
    <w:rsid w:val="00141D8F"/>
    <w:rsid w:val="00144126"/>
    <w:rsid w:val="00144859"/>
    <w:rsid w:val="001458F6"/>
    <w:rsid w:val="00146042"/>
    <w:rsid w:val="00146590"/>
    <w:rsid w:val="001501E4"/>
    <w:rsid w:val="0015041F"/>
    <w:rsid w:val="00150C01"/>
    <w:rsid w:val="0015167B"/>
    <w:rsid w:val="00151CAB"/>
    <w:rsid w:val="00152338"/>
    <w:rsid w:val="00152456"/>
    <w:rsid w:val="0015268C"/>
    <w:rsid w:val="0015288E"/>
    <w:rsid w:val="0015355C"/>
    <w:rsid w:val="00153830"/>
    <w:rsid w:val="00154974"/>
    <w:rsid w:val="00154AA0"/>
    <w:rsid w:val="00154E4D"/>
    <w:rsid w:val="001556E7"/>
    <w:rsid w:val="0015652A"/>
    <w:rsid w:val="001571AF"/>
    <w:rsid w:val="001574C0"/>
    <w:rsid w:val="001603E8"/>
    <w:rsid w:val="001606CF"/>
    <w:rsid w:val="00160739"/>
    <w:rsid w:val="0016128D"/>
    <w:rsid w:val="0016198D"/>
    <w:rsid w:val="0016321C"/>
    <w:rsid w:val="00163438"/>
    <w:rsid w:val="00163652"/>
    <w:rsid w:val="00164599"/>
    <w:rsid w:val="0016484E"/>
    <w:rsid w:val="00164CAB"/>
    <w:rsid w:val="00165C8F"/>
    <w:rsid w:val="00165D67"/>
    <w:rsid w:val="00166DA8"/>
    <w:rsid w:val="00166DDA"/>
    <w:rsid w:val="0017084D"/>
    <w:rsid w:val="0017089D"/>
    <w:rsid w:val="00172F92"/>
    <w:rsid w:val="001732CA"/>
    <w:rsid w:val="0017348C"/>
    <w:rsid w:val="00173667"/>
    <w:rsid w:val="00173A0F"/>
    <w:rsid w:val="0017467B"/>
    <w:rsid w:val="00176472"/>
    <w:rsid w:val="001765B8"/>
    <w:rsid w:val="00176AB0"/>
    <w:rsid w:val="00176C71"/>
    <w:rsid w:val="00176CC8"/>
    <w:rsid w:val="00177BF3"/>
    <w:rsid w:val="00177F39"/>
    <w:rsid w:val="001805A8"/>
    <w:rsid w:val="001819FE"/>
    <w:rsid w:val="0018244D"/>
    <w:rsid w:val="00182652"/>
    <w:rsid w:val="001836F7"/>
    <w:rsid w:val="00183739"/>
    <w:rsid w:val="00183C9A"/>
    <w:rsid w:val="00184378"/>
    <w:rsid w:val="00185494"/>
    <w:rsid w:val="001859DB"/>
    <w:rsid w:val="00185DED"/>
    <w:rsid w:val="00187973"/>
    <w:rsid w:val="0019064A"/>
    <w:rsid w:val="00190FB2"/>
    <w:rsid w:val="0019101A"/>
    <w:rsid w:val="00191591"/>
    <w:rsid w:val="00191BEF"/>
    <w:rsid w:val="00192010"/>
    <w:rsid w:val="001921B0"/>
    <w:rsid w:val="00192448"/>
    <w:rsid w:val="001924A3"/>
    <w:rsid w:val="0019265C"/>
    <w:rsid w:val="00193103"/>
    <w:rsid w:val="0019380B"/>
    <w:rsid w:val="00193E54"/>
    <w:rsid w:val="00194001"/>
    <w:rsid w:val="00194065"/>
    <w:rsid w:val="001958DC"/>
    <w:rsid w:val="00195C8E"/>
    <w:rsid w:val="00196300"/>
    <w:rsid w:val="00196481"/>
    <w:rsid w:val="001967E9"/>
    <w:rsid w:val="00196FBC"/>
    <w:rsid w:val="001972D2"/>
    <w:rsid w:val="001973FA"/>
    <w:rsid w:val="00197CC8"/>
    <w:rsid w:val="001A0241"/>
    <w:rsid w:val="001A0660"/>
    <w:rsid w:val="001A0B98"/>
    <w:rsid w:val="001A0DCF"/>
    <w:rsid w:val="001A13DE"/>
    <w:rsid w:val="001A2587"/>
    <w:rsid w:val="001A26D6"/>
    <w:rsid w:val="001A2B10"/>
    <w:rsid w:val="001A34A4"/>
    <w:rsid w:val="001A3621"/>
    <w:rsid w:val="001A50D3"/>
    <w:rsid w:val="001A5249"/>
    <w:rsid w:val="001A5495"/>
    <w:rsid w:val="001A5BE6"/>
    <w:rsid w:val="001A5BF8"/>
    <w:rsid w:val="001A6D37"/>
    <w:rsid w:val="001A72B6"/>
    <w:rsid w:val="001A72F4"/>
    <w:rsid w:val="001A7606"/>
    <w:rsid w:val="001A76FD"/>
    <w:rsid w:val="001A7DB6"/>
    <w:rsid w:val="001B06F2"/>
    <w:rsid w:val="001B08C1"/>
    <w:rsid w:val="001B117F"/>
    <w:rsid w:val="001B3569"/>
    <w:rsid w:val="001B3BC2"/>
    <w:rsid w:val="001B3C01"/>
    <w:rsid w:val="001B3EC8"/>
    <w:rsid w:val="001B493B"/>
    <w:rsid w:val="001B4C15"/>
    <w:rsid w:val="001B5D68"/>
    <w:rsid w:val="001B67F1"/>
    <w:rsid w:val="001B6FCE"/>
    <w:rsid w:val="001B734F"/>
    <w:rsid w:val="001B7683"/>
    <w:rsid w:val="001B7CCB"/>
    <w:rsid w:val="001C02EC"/>
    <w:rsid w:val="001C1191"/>
    <w:rsid w:val="001C1382"/>
    <w:rsid w:val="001C244D"/>
    <w:rsid w:val="001C25F2"/>
    <w:rsid w:val="001C2C5A"/>
    <w:rsid w:val="001C3075"/>
    <w:rsid w:val="001C33FE"/>
    <w:rsid w:val="001C34D3"/>
    <w:rsid w:val="001C358D"/>
    <w:rsid w:val="001C36EB"/>
    <w:rsid w:val="001C40A0"/>
    <w:rsid w:val="001C4A05"/>
    <w:rsid w:val="001C50D8"/>
    <w:rsid w:val="001C55E6"/>
    <w:rsid w:val="001C5B03"/>
    <w:rsid w:val="001C6498"/>
    <w:rsid w:val="001C68EC"/>
    <w:rsid w:val="001C794C"/>
    <w:rsid w:val="001D0CC1"/>
    <w:rsid w:val="001D0D9B"/>
    <w:rsid w:val="001D1A2C"/>
    <w:rsid w:val="001D28FA"/>
    <w:rsid w:val="001D2A8B"/>
    <w:rsid w:val="001D39A4"/>
    <w:rsid w:val="001D3F7E"/>
    <w:rsid w:val="001D419D"/>
    <w:rsid w:val="001D463B"/>
    <w:rsid w:val="001D4EE6"/>
    <w:rsid w:val="001D501E"/>
    <w:rsid w:val="001D69D0"/>
    <w:rsid w:val="001D71B8"/>
    <w:rsid w:val="001D7585"/>
    <w:rsid w:val="001D758B"/>
    <w:rsid w:val="001E01A1"/>
    <w:rsid w:val="001E02EC"/>
    <w:rsid w:val="001E04AB"/>
    <w:rsid w:val="001E0813"/>
    <w:rsid w:val="001E0F38"/>
    <w:rsid w:val="001E1D1B"/>
    <w:rsid w:val="001E27D9"/>
    <w:rsid w:val="001E3BDC"/>
    <w:rsid w:val="001E3D69"/>
    <w:rsid w:val="001E4728"/>
    <w:rsid w:val="001E4A8E"/>
    <w:rsid w:val="001E4AB3"/>
    <w:rsid w:val="001E5143"/>
    <w:rsid w:val="001E51C6"/>
    <w:rsid w:val="001E5C97"/>
    <w:rsid w:val="001E5DFA"/>
    <w:rsid w:val="001E6EFB"/>
    <w:rsid w:val="001E7DD8"/>
    <w:rsid w:val="001F007C"/>
    <w:rsid w:val="001F08CA"/>
    <w:rsid w:val="001F0AEF"/>
    <w:rsid w:val="001F164C"/>
    <w:rsid w:val="001F1B27"/>
    <w:rsid w:val="001F1D95"/>
    <w:rsid w:val="001F26CD"/>
    <w:rsid w:val="001F2F5C"/>
    <w:rsid w:val="001F3199"/>
    <w:rsid w:val="001F3E41"/>
    <w:rsid w:val="001F3F62"/>
    <w:rsid w:val="001F4213"/>
    <w:rsid w:val="00201AC1"/>
    <w:rsid w:val="0020202A"/>
    <w:rsid w:val="002023D6"/>
    <w:rsid w:val="00202883"/>
    <w:rsid w:val="002029C9"/>
    <w:rsid w:val="00202E3D"/>
    <w:rsid w:val="00203146"/>
    <w:rsid w:val="002033DE"/>
    <w:rsid w:val="002034AF"/>
    <w:rsid w:val="002035F9"/>
    <w:rsid w:val="00203947"/>
    <w:rsid w:val="0020497D"/>
    <w:rsid w:val="0020511C"/>
    <w:rsid w:val="0020555C"/>
    <w:rsid w:val="0020599F"/>
    <w:rsid w:val="00205EF5"/>
    <w:rsid w:val="00207DBA"/>
    <w:rsid w:val="00211161"/>
    <w:rsid w:val="002123C4"/>
    <w:rsid w:val="0021267B"/>
    <w:rsid w:val="00212DD9"/>
    <w:rsid w:val="0021343E"/>
    <w:rsid w:val="0021371F"/>
    <w:rsid w:val="00213A9C"/>
    <w:rsid w:val="00214BB3"/>
    <w:rsid w:val="0021522F"/>
    <w:rsid w:val="00215925"/>
    <w:rsid w:val="0021599C"/>
    <w:rsid w:val="00215C18"/>
    <w:rsid w:val="00215DCB"/>
    <w:rsid w:val="00215E9F"/>
    <w:rsid w:val="0021631A"/>
    <w:rsid w:val="0021741F"/>
    <w:rsid w:val="00217B4A"/>
    <w:rsid w:val="002200FC"/>
    <w:rsid w:val="002208AB"/>
    <w:rsid w:val="002215A1"/>
    <w:rsid w:val="00221D59"/>
    <w:rsid w:val="00221EC0"/>
    <w:rsid w:val="002221F4"/>
    <w:rsid w:val="00223AF1"/>
    <w:rsid w:val="0022438F"/>
    <w:rsid w:val="00224685"/>
    <w:rsid w:val="00225021"/>
    <w:rsid w:val="0022645C"/>
    <w:rsid w:val="00227334"/>
    <w:rsid w:val="00227473"/>
    <w:rsid w:val="00227E87"/>
    <w:rsid w:val="00230305"/>
    <w:rsid w:val="00230D88"/>
    <w:rsid w:val="00231049"/>
    <w:rsid w:val="0023144E"/>
    <w:rsid w:val="002314D2"/>
    <w:rsid w:val="00231642"/>
    <w:rsid w:val="0023253D"/>
    <w:rsid w:val="0023273A"/>
    <w:rsid w:val="002327CF"/>
    <w:rsid w:val="00232B1E"/>
    <w:rsid w:val="00232ECD"/>
    <w:rsid w:val="0023305C"/>
    <w:rsid w:val="0023359E"/>
    <w:rsid w:val="0023377D"/>
    <w:rsid w:val="0023378C"/>
    <w:rsid w:val="0023379F"/>
    <w:rsid w:val="002343BA"/>
    <w:rsid w:val="002344EC"/>
    <w:rsid w:val="0023515E"/>
    <w:rsid w:val="00235734"/>
    <w:rsid w:val="00235A7E"/>
    <w:rsid w:val="00235EA7"/>
    <w:rsid w:val="00236123"/>
    <w:rsid w:val="00236CE5"/>
    <w:rsid w:val="0023735C"/>
    <w:rsid w:val="00237E25"/>
    <w:rsid w:val="0024027A"/>
    <w:rsid w:val="00241881"/>
    <w:rsid w:val="0024205D"/>
    <w:rsid w:val="0024294C"/>
    <w:rsid w:val="00242E06"/>
    <w:rsid w:val="00243429"/>
    <w:rsid w:val="00243E5E"/>
    <w:rsid w:val="002441E2"/>
    <w:rsid w:val="00244C0C"/>
    <w:rsid w:val="0024502F"/>
    <w:rsid w:val="002461BA"/>
    <w:rsid w:val="002464F9"/>
    <w:rsid w:val="00246E1C"/>
    <w:rsid w:val="00247C0A"/>
    <w:rsid w:val="00250258"/>
    <w:rsid w:val="0025045E"/>
    <w:rsid w:val="00252541"/>
    <w:rsid w:val="00253817"/>
    <w:rsid w:val="00253F54"/>
    <w:rsid w:val="002543D8"/>
    <w:rsid w:val="00255912"/>
    <w:rsid w:val="0025652F"/>
    <w:rsid w:val="002608D7"/>
    <w:rsid w:val="00260A51"/>
    <w:rsid w:val="002618FA"/>
    <w:rsid w:val="00261B73"/>
    <w:rsid w:val="002623FB"/>
    <w:rsid w:val="0026241D"/>
    <w:rsid w:val="00262D46"/>
    <w:rsid w:val="00262E43"/>
    <w:rsid w:val="00263B6C"/>
    <w:rsid w:val="00263BC8"/>
    <w:rsid w:val="00263F9C"/>
    <w:rsid w:val="002640C7"/>
    <w:rsid w:val="00264152"/>
    <w:rsid w:val="0026652D"/>
    <w:rsid w:val="002666F5"/>
    <w:rsid w:val="0026710F"/>
    <w:rsid w:val="00267846"/>
    <w:rsid w:val="00270657"/>
    <w:rsid w:val="00271054"/>
    <w:rsid w:val="002715DF"/>
    <w:rsid w:val="00272420"/>
    <w:rsid w:val="00272939"/>
    <w:rsid w:val="002729F6"/>
    <w:rsid w:val="00272D86"/>
    <w:rsid w:val="002733C8"/>
    <w:rsid w:val="00273D00"/>
    <w:rsid w:val="00274095"/>
    <w:rsid w:val="002740F3"/>
    <w:rsid w:val="00274157"/>
    <w:rsid w:val="00275085"/>
    <w:rsid w:val="0027590B"/>
    <w:rsid w:val="00275ADA"/>
    <w:rsid w:val="00276469"/>
    <w:rsid w:val="00276C0D"/>
    <w:rsid w:val="00277A71"/>
    <w:rsid w:val="00277B2B"/>
    <w:rsid w:val="00277C2D"/>
    <w:rsid w:val="0028084F"/>
    <w:rsid w:val="00280FA6"/>
    <w:rsid w:val="00281ED6"/>
    <w:rsid w:val="0028205D"/>
    <w:rsid w:val="002822B8"/>
    <w:rsid w:val="00282904"/>
    <w:rsid w:val="00283EFA"/>
    <w:rsid w:val="002840FD"/>
    <w:rsid w:val="00284271"/>
    <w:rsid w:val="002842AD"/>
    <w:rsid w:val="0028514D"/>
    <w:rsid w:val="00285969"/>
    <w:rsid w:val="002859C5"/>
    <w:rsid w:val="002875C3"/>
    <w:rsid w:val="0028799E"/>
    <w:rsid w:val="00287B12"/>
    <w:rsid w:val="00287D49"/>
    <w:rsid w:val="00287E7C"/>
    <w:rsid w:val="002911D7"/>
    <w:rsid w:val="00292900"/>
    <w:rsid w:val="00293280"/>
    <w:rsid w:val="00293B68"/>
    <w:rsid w:val="00293BB8"/>
    <w:rsid w:val="00293C66"/>
    <w:rsid w:val="00293F3C"/>
    <w:rsid w:val="00294022"/>
    <w:rsid w:val="00294087"/>
    <w:rsid w:val="0029464B"/>
    <w:rsid w:val="00294A49"/>
    <w:rsid w:val="00294B66"/>
    <w:rsid w:val="0029541D"/>
    <w:rsid w:val="0029587E"/>
    <w:rsid w:val="00295B30"/>
    <w:rsid w:val="00296D0A"/>
    <w:rsid w:val="00297077"/>
    <w:rsid w:val="00297400"/>
    <w:rsid w:val="0029774D"/>
    <w:rsid w:val="00297D2D"/>
    <w:rsid w:val="002A0552"/>
    <w:rsid w:val="002A1990"/>
    <w:rsid w:val="002A28DE"/>
    <w:rsid w:val="002A2D08"/>
    <w:rsid w:val="002A2E39"/>
    <w:rsid w:val="002A34CA"/>
    <w:rsid w:val="002A3A6A"/>
    <w:rsid w:val="002A49DD"/>
    <w:rsid w:val="002A4E01"/>
    <w:rsid w:val="002A4F8B"/>
    <w:rsid w:val="002A53A8"/>
    <w:rsid w:val="002A5613"/>
    <w:rsid w:val="002A7014"/>
    <w:rsid w:val="002A70B6"/>
    <w:rsid w:val="002A74EF"/>
    <w:rsid w:val="002A7A31"/>
    <w:rsid w:val="002B05CF"/>
    <w:rsid w:val="002B0664"/>
    <w:rsid w:val="002B15F7"/>
    <w:rsid w:val="002B19CB"/>
    <w:rsid w:val="002B1B0D"/>
    <w:rsid w:val="002B21D6"/>
    <w:rsid w:val="002B310C"/>
    <w:rsid w:val="002B33F8"/>
    <w:rsid w:val="002B3829"/>
    <w:rsid w:val="002B4209"/>
    <w:rsid w:val="002B4932"/>
    <w:rsid w:val="002B61C7"/>
    <w:rsid w:val="002B645E"/>
    <w:rsid w:val="002B6CE7"/>
    <w:rsid w:val="002B77F4"/>
    <w:rsid w:val="002B7850"/>
    <w:rsid w:val="002C01D4"/>
    <w:rsid w:val="002C03D8"/>
    <w:rsid w:val="002C0474"/>
    <w:rsid w:val="002C0588"/>
    <w:rsid w:val="002C0988"/>
    <w:rsid w:val="002C104D"/>
    <w:rsid w:val="002C108F"/>
    <w:rsid w:val="002C12D4"/>
    <w:rsid w:val="002C133D"/>
    <w:rsid w:val="002C22EF"/>
    <w:rsid w:val="002C36A9"/>
    <w:rsid w:val="002C3C19"/>
    <w:rsid w:val="002C44BD"/>
    <w:rsid w:val="002C4791"/>
    <w:rsid w:val="002C4CD6"/>
    <w:rsid w:val="002C54EA"/>
    <w:rsid w:val="002C5555"/>
    <w:rsid w:val="002C5818"/>
    <w:rsid w:val="002C691A"/>
    <w:rsid w:val="002C7361"/>
    <w:rsid w:val="002C7526"/>
    <w:rsid w:val="002D0850"/>
    <w:rsid w:val="002D10AD"/>
    <w:rsid w:val="002D11FF"/>
    <w:rsid w:val="002D16C0"/>
    <w:rsid w:val="002D3BBA"/>
    <w:rsid w:val="002D3EDB"/>
    <w:rsid w:val="002D491C"/>
    <w:rsid w:val="002D4F59"/>
    <w:rsid w:val="002D5253"/>
    <w:rsid w:val="002D5FD7"/>
    <w:rsid w:val="002D6F0F"/>
    <w:rsid w:val="002D6FF8"/>
    <w:rsid w:val="002D702E"/>
    <w:rsid w:val="002D73FD"/>
    <w:rsid w:val="002D7AEF"/>
    <w:rsid w:val="002D7DE7"/>
    <w:rsid w:val="002D7F18"/>
    <w:rsid w:val="002E0492"/>
    <w:rsid w:val="002E1559"/>
    <w:rsid w:val="002E1FB6"/>
    <w:rsid w:val="002E454C"/>
    <w:rsid w:val="002E5D15"/>
    <w:rsid w:val="002E6E1B"/>
    <w:rsid w:val="002E6E6D"/>
    <w:rsid w:val="002E7685"/>
    <w:rsid w:val="002E7B5D"/>
    <w:rsid w:val="002F0645"/>
    <w:rsid w:val="002F06E1"/>
    <w:rsid w:val="002F217A"/>
    <w:rsid w:val="002F23B8"/>
    <w:rsid w:val="002F3BB0"/>
    <w:rsid w:val="002F435A"/>
    <w:rsid w:val="002F5432"/>
    <w:rsid w:val="002F5471"/>
    <w:rsid w:val="002F5A48"/>
    <w:rsid w:val="002F5CEE"/>
    <w:rsid w:val="002F617F"/>
    <w:rsid w:val="002F7539"/>
    <w:rsid w:val="00300109"/>
    <w:rsid w:val="00300507"/>
    <w:rsid w:val="0030080A"/>
    <w:rsid w:val="00301626"/>
    <w:rsid w:val="00301643"/>
    <w:rsid w:val="00301755"/>
    <w:rsid w:val="0030179B"/>
    <w:rsid w:val="0030189B"/>
    <w:rsid w:val="00301E0F"/>
    <w:rsid w:val="00301E61"/>
    <w:rsid w:val="00301F11"/>
    <w:rsid w:val="0030231F"/>
    <w:rsid w:val="00302C67"/>
    <w:rsid w:val="00302E7D"/>
    <w:rsid w:val="00303B70"/>
    <w:rsid w:val="00304E47"/>
    <w:rsid w:val="00305134"/>
    <w:rsid w:val="003055CB"/>
    <w:rsid w:val="00305626"/>
    <w:rsid w:val="003056CB"/>
    <w:rsid w:val="0030598F"/>
    <w:rsid w:val="003062E0"/>
    <w:rsid w:val="0030665E"/>
    <w:rsid w:val="00306894"/>
    <w:rsid w:val="00306A73"/>
    <w:rsid w:val="00307F1C"/>
    <w:rsid w:val="00307F2B"/>
    <w:rsid w:val="003100A1"/>
    <w:rsid w:val="003106ED"/>
    <w:rsid w:val="00310D63"/>
    <w:rsid w:val="00310E41"/>
    <w:rsid w:val="003117F3"/>
    <w:rsid w:val="00311896"/>
    <w:rsid w:val="00311DE5"/>
    <w:rsid w:val="003122F4"/>
    <w:rsid w:val="003130B1"/>
    <w:rsid w:val="00314B2E"/>
    <w:rsid w:val="00314CBB"/>
    <w:rsid w:val="00314F1D"/>
    <w:rsid w:val="00315718"/>
    <w:rsid w:val="00315760"/>
    <w:rsid w:val="003158D1"/>
    <w:rsid w:val="00316673"/>
    <w:rsid w:val="003168AF"/>
    <w:rsid w:val="00316A01"/>
    <w:rsid w:val="00317113"/>
    <w:rsid w:val="00317733"/>
    <w:rsid w:val="003221D0"/>
    <w:rsid w:val="003229B4"/>
    <w:rsid w:val="00322B08"/>
    <w:rsid w:val="00323E7E"/>
    <w:rsid w:val="00324319"/>
    <w:rsid w:val="00324892"/>
    <w:rsid w:val="00325775"/>
    <w:rsid w:val="0032579D"/>
    <w:rsid w:val="00325B15"/>
    <w:rsid w:val="0032619F"/>
    <w:rsid w:val="003263D3"/>
    <w:rsid w:val="003268D5"/>
    <w:rsid w:val="003269D2"/>
    <w:rsid w:val="00326CFF"/>
    <w:rsid w:val="003274B2"/>
    <w:rsid w:val="00327A17"/>
    <w:rsid w:val="00330A97"/>
    <w:rsid w:val="003311EB"/>
    <w:rsid w:val="00331296"/>
    <w:rsid w:val="003313D2"/>
    <w:rsid w:val="00332047"/>
    <w:rsid w:val="0033249F"/>
    <w:rsid w:val="0033268C"/>
    <w:rsid w:val="00332C95"/>
    <w:rsid w:val="00332FB0"/>
    <w:rsid w:val="00334219"/>
    <w:rsid w:val="003343C6"/>
    <w:rsid w:val="0033523D"/>
    <w:rsid w:val="00335272"/>
    <w:rsid w:val="0033755F"/>
    <w:rsid w:val="003378F7"/>
    <w:rsid w:val="00341304"/>
    <w:rsid w:val="003430F6"/>
    <w:rsid w:val="00343801"/>
    <w:rsid w:val="00343F9F"/>
    <w:rsid w:val="00344730"/>
    <w:rsid w:val="003448F6"/>
    <w:rsid w:val="00345CD8"/>
    <w:rsid w:val="00345E59"/>
    <w:rsid w:val="00346BFF"/>
    <w:rsid w:val="0034748A"/>
    <w:rsid w:val="00347521"/>
    <w:rsid w:val="0034753B"/>
    <w:rsid w:val="00347A15"/>
    <w:rsid w:val="00350759"/>
    <w:rsid w:val="00350AE3"/>
    <w:rsid w:val="00350C6C"/>
    <w:rsid w:val="00351543"/>
    <w:rsid w:val="00351E0A"/>
    <w:rsid w:val="00353BA2"/>
    <w:rsid w:val="00353D7D"/>
    <w:rsid w:val="00354544"/>
    <w:rsid w:val="00354D27"/>
    <w:rsid w:val="00355AA8"/>
    <w:rsid w:val="00355F8F"/>
    <w:rsid w:val="00356110"/>
    <w:rsid w:val="003563F7"/>
    <w:rsid w:val="00356F5C"/>
    <w:rsid w:val="0035738A"/>
    <w:rsid w:val="0035792B"/>
    <w:rsid w:val="00357C19"/>
    <w:rsid w:val="00357CCB"/>
    <w:rsid w:val="003600D8"/>
    <w:rsid w:val="00360156"/>
    <w:rsid w:val="00360327"/>
    <w:rsid w:val="00360463"/>
    <w:rsid w:val="00361304"/>
    <w:rsid w:val="00361875"/>
    <w:rsid w:val="00361B77"/>
    <w:rsid w:val="00363567"/>
    <w:rsid w:val="003642E2"/>
    <w:rsid w:val="00365239"/>
    <w:rsid w:val="003658B9"/>
    <w:rsid w:val="00366644"/>
    <w:rsid w:val="003672AC"/>
    <w:rsid w:val="003703F3"/>
    <w:rsid w:val="00370794"/>
    <w:rsid w:val="003707DC"/>
    <w:rsid w:val="00372082"/>
    <w:rsid w:val="00372A7E"/>
    <w:rsid w:val="00372A9D"/>
    <w:rsid w:val="00373D53"/>
    <w:rsid w:val="00373F4C"/>
    <w:rsid w:val="0037414F"/>
    <w:rsid w:val="00375420"/>
    <w:rsid w:val="00375655"/>
    <w:rsid w:val="00376092"/>
    <w:rsid w:val="003769D0"/>
    <w:rsid w:val="00376B82"/>
    <w:rsid w:val="00376FC8"/>
    <w:rsid w:val="0037730D"/>
    <w:rsid w:val="0037792A"/>
    <w:rsid w:val="00377FBC"/>
    <w:rsid w:val="003803E5"/>
    <w:rsid w:val="003811C1"/>
    <w:rsid w:val="0038184F"/>
    <w:rsid w:val="00382704"/>
    <w:rsid w:val="00384643"/>
    <w:rsid w:val="003855A7"/>
    <w:rsid w:val="003858A6"/>
    <w:rsid w:val="00386148"/>
    <w:rsid w:val="00386297"/>
    <w:rsid w:val="003865AB"/>
    <w:rsid w:val="00386766"/>
    <w:rsid w:val="00387DD7"/>
    <w:rsid w:val="00387EBF"/>
    <w:rsid w:val="0039065D"/>
    <w:rsid w:val="0039073F"/>
    <w:rsid w:val="00390968"/>
    <w:rsid w:val="003909F3"/>
    <w:rsid w:val="003917BB"/>
    <w:rsid w:val="00391DA3"/>
    <w:rsid w:val="0039202F"/>
    <w:rsid w:val="0039235A"/>
    <w:rsid w:val="003923D9"/>
    <w:rsid w:val="003928E3"/>
    <w:rsid w:val="003928FA"/>
    <w:rsid w:val="00392A38"/>
    <w:rsid w:val="00392C6F"/>
    <w:rsid w:val="00392C95"/>
    <w:rsid w:val="00392CDA"/>
    <w:rsid w:val="00392D0D"/>
    <w:rsid w:val="00392DCC"/>
    <w:rsid w:val="00394DF0"/>
    <w:rsid w:val="00395E7C"/>
    <w:rsid w:val="003966B7"/>
    <w:rsid w:val="00396F66"/>
    <w:rsid w:val="00397BB5"/>
    <w:rsid w:val="003A0E56"/>
    <w:rsid w:val="003A24FE"/>
    <w:rsid w:val="003A3097"/>
    <w:rsid w:val="003A311F"/>
    <w:rsid w:val="003A37CB"/>
    <w:rsid w:val="003A3CB9"/>
    <w:rsid w:val="003A4150"/>
    <w:rsid w:val="003A46EE"/>
    <w:rsid w:val="003A48B9"/>
    <w:rsid w:val="003A5362"/>
    <w:rsid w:val="003A5B36"/>
    <w:rsid w:val="003A5BE4"/>
    <w:rsid w:val="003A669E"/>
    <w:rsid w:val="003B0151"/>
    <w:rsid w:val="003B03D3"/>
    <w:rsid w:val="003B0C75"/>
    <w:rsid w:val="003B139D"/>
    <w:rsid w:val="003B22A4"/>
    <w:rsid w:val="003B2361"/>
    <w:rsid w:val="003B268A"/>
    <w:rsid w:val="003B287B"/>
    <w:rsid w:val="003B3511"/>
    <w:rsid w:val="003B395E"/>
    <w:rsid w:val="003B3EF5"/>
    <w:rsid w:val="003B427D"/>
    <w:rsid w:val="003B43A5"/>
    <w:rsid w:val="003B519F"/>
    <w:rsid w:val="003B53CE"/>
    <w:rsid w:val="003B6039"/>
    <w:rsid w:val="003B6DDD"/>
    <w:rsid w:val="003B71A3"/>
    <w:rsid w:val="003B7A5C"/>
    <w:rsid w:val="003C112C"/>
    <w:rsid w:val="003C2087"/>
    <w:rsid w:val="003C24B4"/>
    <w:rsid w:val="003C30B6"/>
    <w:rsid w:val="003C31D8"/>
    <w:rsid w:val="003C411D"/>
    <w:rsid w:val="003C42AD"/>
    <w:rsid w:val="003C5119"/>
    <w:rsid w:val="003C554B"/>
    <w:rsid w:val="003C5625"/>
    <w:rsid w:val="003C66C0"/>
    <w:rsid w:val="003C7244"/>
    <w:rsid w:val="003C743E"/>
    <w:rsid w:val="003D0577"/>
    <w:rsid w:val="003D1200"/>
    <w:rsid w:val="003D1593"/>
    <w:rsid w:val="003D19E0"/>
    <w:rsid w:val="003D1EBD"/>
    <w:rsid w:val="003D1ECF"/>
    <w:rsid w:val="003D24DA"/>
    <w:rsid w:val="003D2CF8"/>
    <w:rsid w:val="003D321E"/>
    <w:rsid w:val="003D3581"/>
    <w:rsid w:val="003D3883"/>
    <w:rsid w:val="003D50B5"/>
    <w:rsid w:val="003D55C5"/>
    <w:rsid w:val="003D5699"/>
    <w:rsid w:val="003D5A5C"/>
    <w:rsid w:val="003D680F"/>
    <w:rsid w:val="003D7E2A"/>
    <w:rsid w:val="003E0D6D"/>
    <w:rsid w:val="003E1419"/>
    <w:rsid w:val="003E1896"/>
    <w:rsid w:val="003E1917"/>
    <w:rsid w:val="003E1F01"/>
    <w:rsid w:val="003E2066"/>
    <w:rsid w:val="003E20D6"/>
    <w:rsid w:val="003E32B5"/>
    <w:rsid w:val="003E421F"/>
    <w:rsid w:val="003E425E"/>
    <w:rsid w:val="003E4744"/>
    <w:rsid w:val="003E4D87"/>
    <w:rsid w:val="003E4FF7"/>
    <w:rsid w:val="003E519F"/>
    <w:rsid w:val="003E630F"/>
    <w:rsid w:val="003E6A36"/>
    <w:rsid w:val="003E75D6"/>
    <w:rsid w:val="003F060A"/>
    <w:rsid w:val="003F0883"/>
    <w:rsid w:val="003F0A52"/>
    <w:rsid w:val="003F0B95"/>
    <w:rsid w:val="003F0BEB"/>
    <w:rsid w:val="003F1472"/>
    <w:rsid w:val="003F1970"/>
    <w:rsid w:val="003F2129"/>
    <w:rsid w:val="003F21F7"/>
    <w:rsid w:val="003F23DF"/>
    <w:rsid w:val="003F3608"/>
    <w:rsid w:val="003F38B4"/>
    <w:rsid w:val="003F62A3"/>
    <w:rsid w:val="003F6BE7"/>
    <w:rsid w:val="003F74A0"/>
    <w:rsid w:val="003F7902"/>
    <w:rsid w:val="003F790E"/>
    <w:rsid w:val="003F7A2E"/>
    <w:rsid w:val="00400BD1"/>
    <w:rsid w:val="00400E52"/>
    <w:rsid w:val="00401082"/>
    <w:rsid w:val="00402987"/>
    <w:rsid w:val="004033A8"/>
    <w:rsid w:val="00403405"/>
    <w:rsid w:val="0040396F"/>
    <w:rsid w:val="004043F8"/>
    <w:rsid w:val="00404882"/>
    <w:rsid w:val="00404B2A"/>
    <w:rsid w:val="00404ECD"/>
    <w:rsid w:val="00405305"/>
    <w:rsid w:val="00405365"/>
    <w:rsid w:val="00405F66"/>
    <w:rsid w:val="00406B4D"/>
    <w:rsid w:val="0040780F"/>
    <w:rsid w:val="00407E1A"/>
    <w:rsid w:val="00410107"/>
    <w:rsid w:val="00410192"/>
    <w:rsid w:val="0041050B"/>
    <w:rsid w:val="00410819"/>
    <w:rsid w:val="00411A04"/>
    <w:rsid w:val="00412966"/>
    <w:rsid w:val="00412AAA"/>
    <w:rsid w:val="0041311C"/>
    <w:rsid w:val="00413355"/>
    <w:rsid w:val="00413408"/>
    <w:rsid w:val="0041365E"/>
    <w:rsid w:val="00413ABD"/>
    <w:rsid w:val="00413BB0"/>
    <w:rsid w:val="004145C8"/>
    <w:rsid w:val="00414DFD"/>
    <w:rsid w:val="00415308"/>
    <w:rsid w:val="00415532"/>
    <w:rsid w:val="0041599F"/>
    <w:rsid w:val="00415B4B"/>
    <w:rsid w:val="00416762"/>
    <w:rsid w:val="00416E55"/>
    <w:rsid w:val="0041750D"/>
    <w:rsid w:val="00417CC0"/>
    <w:rsid w:val="004209A7"/>
    <w:rsid w:val="00420B1C"/>
    <w:rsid w:val="004210FD"/>
    <w:rsid w:val="00421955"/>
    <w:rsid w:val="0042206F"/>
    <w:rsid w:val="004221F8"/>
    <w:rsid w:val="0042232A"/>
    <w:rsid w:val="00423C7C"/>
    <w:rsid w:val="00423E5D"/>
    <w:rsid w:val="00424A3C"/>
    <w:rsid w:val="00424BBF"/>
    <w:rsid w:val="00424BED"/>
    <w:rsid w:val="0042518A"/>
    <w:rsid w:val="004257C1"/>
    <w:rsid w:val="00425C15"/>
    <w:rsid w:val="00426447"/>
    <w:rsid w:val="004270A9"/>
    <w:rsid w:val="004271D7"/>
    <w:rsid w:val="0042767D"/>
    <w:rsid w:val="004276A0"/>
    <w:rsid w:val="00430336"/>
    <w:rsid w:val="00430874"/>
    <w:rsid w:val="004313CE"/>
    <w:rsid w:val="00431472"/>
    <w:rsid w:val="00431B74"/>
    <w:rsid w:val="004328B2"/>
    <w:rsid w:val="004334FC"/>
    <w:rsid w:val="00434526"/>
    <w:rsid w:val="00434E05"/>
    <w:rsid w:val="004351FD"/>
    <w:rsid w:val="00435531"/>
    <w:rsid w:val="00435F04"/>
    <w:rsid w:val="0043621F"/>
    <w:rsid w:val="00436571"/>
    <w:rsid w:val="004367BD"/>
    <w:rsid w:val="00436839"/>
    <w:rsid w:val="004374F3"/>
    <w:rsid w:val="00440DAE"/>
    <w:rsid w:val="00440EBD"/>
    <w:rsid w:val="004436D3"/>
    <w:rsid w:val="00444A63"/>
    <w:rsid w:val="00444DDD"/>
    <w:rsid w:val="0044516C"/>
    <w:rsid w:val="00445265"/>
    <w:rsid w:val="00445324"/>
    <w:rsid w:val="004458EE"/>
    <w:rsid w:val="00445DC3"/>
    <w:rsid w:val="00446696"/>
    <w:rsid w:val="00446A98"/>
    <w:rsid w:val="00447640"/>
    <w:rsid w:val="00447DA4"/>
    <w:rsid w:val="00447DEB"/>
    <w:rsid w:val="00447F1A"/>
    <w:rsid w:val="004512B6"/>
    <w:rsid w:val="0045208F"/>
    <w:rsid w:val="00452F34"/>
    <w:rsid w:val="004548CB"/>
    <w:rsid w:val="004549EF"/>
    <w:rsid w:val="00454D34"/>
    <w:rsid w:val="004550FA"/>
    <w:rsid w:val="00455765"/>
    <w:rsid w:val="004559CE"/>
    <w:rsid w:val="00456A58"/>
    <w:rsid w:val="00456D56"/>
    <w:rsid w:val="0045762A"/>
    <w:rsid w:val="00460422"/>
    <w:rsid w:val="00460595"/>
    <w:rsid w:val="00460E1A"/>
    <w:rsid w:val="00461161"/>
    <w:rsid w:val="00462202"/>
    <w:rsid w:val="00462859"/>
    <w:rsid w:val="004639BB"/>
    <w:rsid w:val="00463DF8"/>
    <w:rsid w:val="00463E81"/>
    <w:rsid w:val="004651F6"/>
    <w:rsid w:val="00465B8C"/>
    <w:rsid w:val="00466771"/>
    <w:rsid w:val="00466826"/>
    <w:rsid w:val="0046683F"/>
    <w:rsid w:val="00466D9D"/>
    <w:rsid w:val="00467986"/>
    <w:rsid w:val="00470ABC"/>
    <w:rsid w:val="004712D0"/>
    <w:rsid w:val="00471444"/>
    <w:rsid w:val="004714F9"/>
    <w:rsid w:val="004720E2"/>
    <w:rsid w:val="0047368D"/>
    <w:rsid w:val="004736E6"/>
    <w:rsid w:val="00473DF2"/>
    <w:rsid w:val="00474F2A"/>
    <w:rsid w:val="00475085"/>
    <w:rsid w:val="00475612"/>
    <w:rsid w:val="00475793"/>
    <w:rsid w:val="00476CF6"/>
    <w:rsid w:val="00476E4A"/>
    <w:rsid w:val="00477AA8"/>
    <w:rsid w:val="00477E63"/>
    <w:rsid w:val="00480A1A"/>
    <w:rsid w:val="00480B43"/>
    <w:rsid w:val="00480B8E"/>
    <w:rsid w:val="00480B9D"/>
    <w:rsid w:val="00480BAE"/>
    <w:rsid w:val="0048193B"/>
    <w:rsid w:val="0048200D"/>
    <w:rsid w:val="00482238"/>
    <w:rsid w:val="00483074"/>
    <w:rsid w:val="00483BA5"/>
    <w:rsid w:val="0048453D"/>
    <w:rsid w:val="0048463C"/>
    <w:rsid w:val="0048542A"/>
    <w:rsid w:val="004871ED"/>
    <w:rsid w:val="00487766"/>
    <w:rsid w:val="00487F38"/>
    <w:rsid w:val="00490065"/>
    <w:rsid w:val="00490A9A"/>
    <w:rsid w:val="00490B32"/>
    <w:rsid w:val="00491CE3"/>
    <w:rsid w:val="00491DD6"/>
    <w:rsid w:val="0049224B"/>
    <w:rsid w:val="004928AE"/>
    <w:rsid w:val="00492FCB"/>
    <w:rsid w:val="0049431C"/>
    <w:rsid w:val="00495409"/>
    <w:rsid w:val="004964FA"/>
    <w:rsid w:val="00496858"/>
    <w:rsid w:val="0049693A"/>
    <w:rsid w:val="00496C5D"/>
    <w:rsid w:val="00497A7B"/>
    <w:rsid w:val="00497F32"/>
    <w:rsid w:val="004A0D5B"/>
    <w:rsid w:val="004A0F11"/>
    <w:rsid w:val="004A183B"/>
    <w:rsid w:val="004A19D0"/>
    <w:rsid w:val="004A2D4F"/>
    <w:rsid w:val="004A3297"/>
    <w:rsid w:val="004A3EAA"/>
    <w:rsid w:val="004A43C0"/>
    <w:rsid w:val="004A4F48"/>
    <w:rsid w:val="004A57A1"/>
    <w:rsid w:val="004A73BA"/>
    <w:rsid w:val="004A79E3"/>
    <w:rsid w:val="004A7CCD"/>
    <w:rsid w:val="004A7D97"/>
    <w:rsid w:val="004B08DF"/>
    <w:rsid w:val="004B0B09"/>
    <w:rsid w:val="004B1697"/>
    <w:rsid w:val="004B1994"/>
    <w:rsid w:val="004B295F"/>
    <w:rsid w:val="004B2F23"/>
    <w:rsid w:val="004B4AAB"/>
    <w:rsid w:val="004B5133"/>
    <w:rsid w:val="004B5C19"/>
    <w:rsid w:val="004B6156"/>
    <w:rsid w:val="004B6B60"/>
    <w:rsid w:val="004C06D8"/>
    <w:rsid w:val="004C15FF"/>
    <w:rsid w:val="004C1969"/>
    <w:rsid w:val="004C2902"/>
    <w:rsid w:val="004C41B6"/>
    <w:rsid w:val="004C42F1"/>
    <w:rsid w:val="004C5949"/>
    <w:rsid w:val="004C5F6B"/>
    <w:rsid w:val="004C6993"/>
    <w:rsid w:val="004C7040"/>
    <w:rsid w:val="004C71D4"/>
    <w:rsid w:val="004C73CE"/>
    <w:rsid w:val="004C7C79"/>
    <w:rsid w:val="004D06C1"/>
    <w:rsid w:val="004D2021"/>
    <w:rsid w:val="004D36AF"/>
    <w:rsid w:val="004D386C"/>
    <w:rsid w:val="004D3EE7"/>
    <w:rsid w:val="004D4BA2"/>
    <w:rsid w:val="004D5C41"/>
    <w:rsid w:val="004D5EAB"/>
    <w:rsid w:val="004D6E37"/>
    <w:rsid w:val="004D71D7"/>
    <w:rsid w:val="004E00EA"/>
    <w:rsid w:val="004E25AE"/>
    <w:rsid w:val="004E28B6"/>
    <w:rsid w:val="004E3F16"/>
    <w:rsid w:val="004E3F25"/>
    <w:rsid w:val="004E3F89"/>
    <w:rsid w:val="004E4248"/>
    <w:rsid w:val="004E4D30"/>
    <w:rsid w:val="004E5BB4"/>
    <w:rsid w:val="004E5C4A"/>
    <w:rsid w:val="004E6B14"/>
    <w:rsid w:val="004E6F85"/>
    <w:rsid w:val="004E79E4"/>
    <w:rsid w:val="004F0F6D"/>
    <w:rsid w:val="004F1604"/>
    <w:rsid w:val="004F265F"/>
    <w:rsid w:val="004F388C"/>
    <w:rsid w:val="004F3D15"/>
    <w:rsid w:val="004F4B92"/>
    <w:rsid w:val="004F6BF7"/>
    <w:rsid w:val="0050115D"/>
    <w:rsid w:val="00501B6C"/>
    <w:rsid w:val="00501EF3"/>
    <w:rsid w:val="00502A9D"/>
    <w:rsid w:val="00502FAD"/>
    <w:rsid w:val="0050395E"/>
    <w:rsid w:val="005039B5"/>
    <w:rsid w:val="005047D3"/>
    <w:rsid w:val="005068BA"/>
    <w:rsid w:val="00506A64"/>
    <w:rsid w:val="00507336"/>
    <w:rsid w:val="00507795"/>
    <w:rsid w:val="005100F6"/>
    <w:rsid w:val="005104E7"/>
    <w:rsid w:val="005104EA"/>
    <w:rsid w:val="005109E0"/>
    <w:rsid w:val="00511C96"/>
    <w:rsid w:val="00511D90"/>
    <w:rsid w:val="00513126"/>
    <w:rsid w:val="0051334F"/>
    <w:rsid w:val="005135AC"/>
    <w:rsid w:val="005157BA"/>
    <w:rsid w:val="00515C3F"/>
    <w:rsid w:val="00516542"/>
    <w:rsid w:val="00516785"/>
    <w:rsid w:val="0051687D"/>
    <w:rsid w:val="005168CE"/>
    <w:rsid w:val="00516E55"/>
    <w:rsid w:val="00517629"/>
    <w:rsid w:val="00517800"/>
    <w:rsid w:val="00517CFC"/>
    <w:rsid w:val="00521C81"/>
    <w:rsid w:val="00521EF7"/>
    <w:rsid w:val="00522002"/>
    <w:rsid w:val="005224B0"/>
    <w:rsid w:val="00522519"/>
    <w:rsid w:val="005226C6"/>
    <w:rsid w:val="005227B9"/>
    <w:rsid w:val="00522A06"/>
    <w:rsid w:val="00523318"/>
    <w:rsid w:val="0052419D"/>
    <w:rsid w:val="0052578E"/>
    <w:rsid w:val="00525853"/>
    <w:rsid w:val="00525F5D"/>
    <w:rsid w:val="00526109"/>
    <w:rsid w:val="005265B3"/>
    <w:rsid w:val="005270C0"/>
    <w:rsid w:val="00530029"/>
    <w:rsid w:val="005301F8"/>
    <w:rsid w:val="005312FC"/>
    <w:rsid w:val="005315AA"/>
    <w:rsid w:val="00531C35"/>
    <w:rsid w:val="00532613"/>
    <w:rsid w:val="00532C6D"/>
    <w:rsid w:val="00533B5C"/>
    <w:rsid w:val="00533CDB"/>
    <w:rsid w:val="00533F23"/>
    <w:rsid w:val="005346C3"/>
    <w:rsid w:val="00534E7B"/>
    <w:rsid w:val="0053506D"/>
    <w:rsid w:val="005350F2"/>
    <w:rsid w:val="0053569E"/>
    <w:rsid w:val="00535C61"/>
    <w:rsid w:val="0053603D"/>
    <w:rsid w:val="00536396"/>
    <w:rsid w:val="00536A5A"/>
    <w:rsid w:val="00536BB7"/>
    <w:rsid w:val="0053742A"/>
    <w:rsid w:val="005376BD"/>
    <w:rsid w:val="00537C85"/>
    <w:rsid w:val="005400BE"/>
    <w:rsid w:val="005400CE"/>
    <w:rsid w:val="00540EC7"/>
    <w:rsid w:val="00541D29"/>
    <w:rsid w:val="00541D8C"/>
    <w:rsid w:val="00542C45"/>
    <w:rsid w:val="00542F52"/>
    <w:rsid w:val="00543394"/>
    <w:rsid w:val="00543481"/>
    <w:rsid w:val="00543542"/>
    <w:rsid w:val="00543F23"/>
    <w:rsid w:val="005444D1"/>
    <w:rsid w:val="00544BD8"/>
    <w:rsid w:val="00545515"/>
    <w:rsid w:val="00546778"/>
    <w:rsid w:val="00546AF0"/>
    <w:rsid w:val="00546C9A"/>
    <w:rsid w:val="00546CFE"/>
    <w:rsid w:val="005472D0"/>
    <w:rsid w:val="00547DF7"/>
    <w:rsid w:val="005511AD"/>
    <w:rsid w:val="005529E8"/>
    <w:rsid w:val="005543F9"/>
    <w:rsid w:val="005548AA"/>
    <w:rsid w:val="005562EE"/>
    <w:rsid w:val="005563C8"/>
    <w:rsid w:val="00556712"/>
    <w:rsid w:val="00557D0B"/>
    <w:rsid w:val="00557FE4"/>
    <w:rsid w:val="00560350"/>
    <w:rsid w:val="0056114D"/>
    <w:rsid w:val="0056195F"/>
    <w:rsid w:val="00561AD8"/>
    <w:rsid w:val="00561EBC"/>
    <w:rsid w:val="00562F17"/>
    <w:rsid w:val="005633C8"/>
    <w:rsid w:val="005640B3"/>
    <w:rsid w:val="00564534"/>
    <w:rsid w:val="0056518C"/>
    <w:rsid w:val="0056527D"/>
    <w:rsid w:val="0056582C"/>
    <w:rsid w:val="00565A37"/>
    <w:rsid w:val="00566393"/>
    <w:rsid w:val="00566AD2"/>
    <w:rsid w:val="00567071"/>
    <w:rsid w:val="0056799A"/>
    <w:rsid w:val="00567F34"/>
    <w:rsid w:val="00570CF7"/>
    <w:rsid w:val="005710D3"/>
    <w:rsid w:val="00572009"/>
    <w:rsid w:val="00572CCD"/>
    <w:rsid w:val="005731E6"/>
    <w:rsid w:val="0057370A"/>
    <w:rsid w:val="00574454"/>
    <w:rsid w:val="00574F56"/>
    <w:rsid w:val="005750F9"/>
    <w:rsid w:val="005755E7"/>
    <w:rsid w:val="005758FF"/>
    <w:rsid w:val="00575E08"/>
    <w:rsid w:val="0057648C"/>
    <w:rsid w:val="0057706F"/>
    <w:rsid w:val="005776B2"/>
    <w:rsid w:val="00582100"/>
    <w:rsid w:val="00582FE0"/>
    <w:rsid w:val="00583A20"/>
    <w:rsid w:val="00583FA4"/>
    <w:rsid w:val="00584916"/>
    <w:rsid w:val="00585AA2"/>
    <w:rsid w:val="00585B13"/>
    <w:rsid w:val="00585D0D"/>
    <w:rsid w:val="00586605"/>
    <w:rsid w:val="005868DE"/>
    <w:rsid w:val="005871C7"/>
    <w:rsid w:val="0058760D"/>
    <w:rsid w:val="005877AC"/>
    <w:rsid w:val="00587FF4"/>
    <w:rsid w:val="00590721"/>
    <w:rsid w:val="005909B8"/>
    <w:rsid w:val="005914D6"/>
    <w:rsid w:val="0059155D"/>
    <w:rsid w:val="0059274B"/>
    <w:rsid w:val="00593E5D"/>
    <w:rsid w:val="005955D0"/>
    <w:rsid w:val="005965DA"/>
    <w:rsid w:val="005966B7"/>
    <w:rsid w:val="00597E16"/>
    <w:rsid w:val="005A05D1"/>
    <w:rsid w:val="005A29BC"/>
    <w:rsid w:val="005A2B49"/>
    <w:rsid w:val="005A2BD9"/>
    <w:rsid w:val="005A38CB"/>
    <w:rsid w:val="005A433C"/>
    <w:rsid w:val="005A4996"/>
    <w:rsid w:val="005A5D20"/>
    <w:rsid w:val="005A5DA6"/>
    <w:rsid w:val="005A633B"/>
    <w:rsid w:val="005A68B4"/>
    <w:rsid w:val="005A7E38"/>
    <w:rsid w:val="005A7F59"/>
    <w:rsid w:val="005B080F"/>
    <w:rsid w:val="005B3ADF"/>
    <w:rsid w:val="005B46F4"/>
    <w:rsid w:val="005B5569"/>
    <w:rsid w:val="005B5E2A"/>
    <w:rsid w:val="005B5F85"/>
    <w:rsid w:val="005B66A4"/>
    <w:rsid w:val="005B67DA"/>
    <w:rsid w:val="005B77B4"/>
    <w:rsid w:val="005C02A4"/>
    <w:rsid w:val="005C07E3"/>
    <w:rsid w:val="005C1500"/>
    <w:rsid w:val="005C20D2"/>
    <w:rsid w:val="005C2409"/>
    <w:rsid w:val="005C32FE"/>
    <w:rsid w:val="005C3D84"/>
    <w:rsid w:val="005C40EB"/>
    <w:rsid w:val="005C41EF"/>
    <w:rsid w:val="005C439D"/>
    <w:rsid w:val="005C503A"/>
    <w:rsid w:val="005C6DA6"/>
    <w:rsid w:val="005C734C"/>
    <w:rsid w:val="005C7793"/>
    <w:rsid w:val="005C7F1C"/>
    <w:rsid w:val="005C7FF3"/>
    <w:rsid w:val="005D024A"/>
    <w:rsid w:val="005D0838"/>
    <w:rsid w:val="005D1984"/>
    <w:rsid w:val="005D26B8"/>
    <w:rsid w:val="005D44EE"/>
    <w:rsid w:val="005D4FD4"/>
    <w:rsid w:val="005D4FE2"/>
    <w:rsid w:val="005D676A"/>
    <w:rsid w:val="005D6D64"/>
    <w:rsid w:val="005D7142"/>
    <w:rsid w:val="005E1632"/>
    <w:rsid w:val="005E2316"/>
    <w:rsid w:val="005E2928"/>
    <w:rsid w:val="005E391C"/>
    <w:rsid w:val="005E3EF5"/>
    <w:rsid w:val="005E4046"/>
    <w:rsid w:val="005E4235"/>
    <w:rsid w:val="005E4238"/>
    <w:rsid w:val="005E44C3"/>
    <w:rsid w:val="005E45B8"/>
    <w:rsid w:val="005E4678"/>
    <w:rsid w:val="005E4711"/>
    <w:rsid w:val="005E4C3B"/>
    <w:rsid w:val="005E53A6"/>
    <w:rsid w:val="005E5776"/>
    <w:rsid w:val="005E7C0F"/>
    <w:rsid w:val="005E7F17"/>
    <w:rsid w:val="005F051E"/>
    <w:rsid w:val="005F1693"/>
    <w:rsid w:val="005F1946"/>
    <w:rsid w:val="005F1B62"/>
    <w:rsid w:val="005F2596"/>
    <w:rsid w:val="005F3985"/>
    <w:rsid w:val="005F3A48"/>
    <w:rsid w:val="005F3C16"/>
    <w:rsid w:val="005F4FB4"/>
    <w:rsid w:val="005F56F7"/>
    <w:rsid w:val="005F58C4"/>
    <w:rsid w:val="005F5AE0"/>
    <w:rsid w:val="005F7BA4"/>
    <w:rsid w:val="0060048C"/>
    <w:rsid w:val="00601650"/>
    <w:rsid w:val="00601BE9"/>
    <w:rsid w:val="00602250"/>
    <w:rsid w:val="006026C7"/>
    <w:rsid w:val="00602E94"/>
    <w:rsid w:val="006030B6"/>
    <w:rsid w:val="00603865"/>
    <w:rsid w:val="00603967"/>
    <w:rsid w:val="006040DA"/>
    <w:rsid w:val="00604EEF"/>
    <w:rsid w:val="00605AFD"/>
    <w:rsid w:val="00606E34"/>
    <w:rsid w:val="00606ED5"/>
    <w:rsid w:val="0060754E"/>
    <w:rsid w:val="006079B0"/>
    <w:rsid w:val="00607BBD"/>
    <w:rsid w:val="00607C7D"/>
    <w:rsid w:val="00610784"/>
    <w:rsid w:val="006110AE"/>
    <w:rsid w:val="00611878"/>
    <w:rsid w:val="00611C74"/>
    <w:rsid w:val="006123D4"/>
    <w:rsid w:val="00612894"/>
    <w:rsid w:val="00613AFA"/>
    <w:rsid w:val="00613F9B"/>
    <w:rsid w:val="006141E6"/>
    <w:rsid w:val="00614235"/>
    <w:rsid w:val="0061445B"/>
    <w:rsid w:val="00614746"/>
    <w:rsid w:val="006147EA"/>
    <w:rsid w:val="00615B0D"/>
    <w:rsid w:val="006172C6"/>
    <w:rsid w:val="006172E3"/>
    <w:rsid w:val="0061768A"/>
    <w:rsid w:val="00617DF6"/>
    <w:rsid w:val="006200CF"/>
    <w:rsid w:val="006202E9"/>
    <w:rsid w:val="00621D38"/>
    <w:rsid w:val="006220BF"/>
    <w:rsid w:val="006222CE"/>
    <w:rsid w:val="006226E1"/>
    <w:rsid w:val="006231CD"/>
    <w:rsid w:val="00624467"/>
    <w:rsid w:val="006247FE"/>
    <w:rsid w:val="00624C09"/>
    <w:rsid w:val="00624C4B"/>
    <w:rsid w:val="00625484"/>
    <w:rsid w:val="0062619E"/>
    <w:rsid w:val="0063019E"/>
    <w:rsid w:val="00630DA8"/>
    <w:rsid w:val="00630E7A"/>
    <w:rsid w:val="00630F72"/>
    <w:rsid w:val="0063184D"/>
    <w:rsid w:val="0063199A"/>
    <w:rsid w:val="00631BD5"/>
    <w:rsid w:val="006321F1"/>
    <w:rsid w:val="0063228C"/>
    <w:rsid w:val="00632579"/>
    <w:rsid w:val="00633B5B"/>
    <w:rsid w:val="006345BC"/>
    <w:rsid w:val="0063470B"/>
    <w:rsid w:val="00634733"/>
    <w:rsid w:val="00634D93"/>
    <w:rsid w:val="00634FFA"/>
    <w:rsid w:val="006352BC"/>
    <w:rsid w:val="00635883"/>
    <w:rsid w:val="0063601B"/>
    <w:rsid w:val="00636C59"/>
    <w:rsid w:val="00637222"/>
    <w:rsid w:val="006379B9"/>
    <w:rsid w:val="006400C3"/>
    <w:rsid w:val="0064013C"/>
    <w:rsid w:val="00640212"/>
    <w:rsid w:val="0064068E"/>
    <w:rsid w:val="006407FA"/>
    <w:rsid w:val="00640E6D"/>
    <w:rsid w:val="00640F14"/>
    <w:rsid w:val="00641C0D"/>
    <w:rsid w:val="00642478"/>
    <w:rsid w:val="00642773"/>
    <w:rsid w:val="00643C8E"/>
    <w:rsid w:val="00644DBF"/>
    <w:rsid w:val="00645223"/>
    <w:rsid w:val="006466C3"/>
    <w:rsid w:val="00646896"/>
    <w:rsid w:val="006468AD"/>
    <w:rsid w:val="006469CC"/>
    <w:rsid w:val="00646D9D"/>
    <w:rsid w:val="00646F7F"/>
    <w:rsid w:val="00647F3C"/>
    <w:rsid w:val="00650793"/>
    <w:rsid w:val="00650F20"/>
    <w:rsid w:val="00651B96"/>
    <w:rsid w:val="00651BD6"/>
    <w:rsid w:val="00651C20"/>
    <w:rsid w:val="00651EFC"/>
    <w:rsid w:val="006523B1"/>
    <w:rsid w:val="00652B14"/>
    <w:rsid w:val="006556AB"/>
    <w:rsid w:val="00655E70"/>
    <w:rsid w:val="006562F9"/>
    <w:rsid w:val="0065757A"/>
    <w:rsid w:val="00657769"/>
    <w:rsid w:val="00657D85"/>
    <w:rsid w:val="006617F8"/>
    <w:rsid w:val="0066238A"/>
    <w:rsid w:val="0066242C"/>
    <w:rsid w:val="006641DE"/>
    <w:rsid w:val="00664EC1"/>
    <w:rsid w:val="00664F79"/>
    <w:rsid w:val="00664FE0"/>
    <w:rsid w:val="00665061"/>
    <w:rsid w:val="00665B46"/>
    <w:rsid w:val="006662F3"/>
    <w:rsid w:val="00666A41"/>
    <w:rsid w:val="00666DCE"/>
    <w:rsid w:val="00667902"/>
    <w:rsid w:val="006702B1"/>
    <w:rsid w:val="00670751"/>
    <w:rsid w:val="00670D08"/>
    <w:rsid w:val="006713E5"/>
    <w:rsid w:val="00671424"/>
    <w:rsid w:val="00671925"/>
    <w:rsid w:val="00672B5D"/>
    <w:rsid w:val="00673D25"/>
    <w:rsid w:val="00673E67"/>
    <w:rsid w:val="006741C0"/>
    <w:rsid w:val="00674FCA"/>
    <w:rsid w:val="006753FE"/>
    <w:rsid w:val="0067548C"/>
    <w:rsid w:val="00675ACA"/>
    <w:rsid w:val="0067622C"/>
    <w:rsid w:val="0067641E"/>
    <w:rsid w:val="006765E4"/>
    <w:rsid w:val="00676980"/>
    <w:rsid w:val="00676CAA"/>
    <w:rsid w:val="00676EC2"/>
    <w:rsid w:val="00677457"/>
    <w:rsid w:val="00681919"/>
    <w:rsid w:val="00682249"/>
    <w:rsid w:val="00684D1C"/>
    <w:rsid w:val="00685CF7"/>
    <w:rsid w:val="00686165"/>
    <w:rsid w:val="00686ABA"/>
    <w:rsid w:val="00687E4A"/>
    <w:rsid w:val="00690709"/>
    <w:rsid w:val="00690E1C"/>
    <w:rsid w:val="00690E23"/>
    <w:rsid w:val="006917A6"/>
    <w:rsid w:val="0069180D"/>
    <w:rsid w:val="00691CB5"/>
    <w:rsid w:val="006923DF"/>
    <w:rsid w:val="00692EC7"/>
    <w:rsid w:val="00693457"/>
    <w:rsid w:val="00693BD5"/>
    <w:rsid w:val="00696428"/>
    <w:rsid w:val="00696940"/>
    <w:rsid w:val="0069732A"/>
    <w:rsid w:val="0069746A"/>
    <w:rsid w:val="00697F24"/>
    <w:rsid w:val="006A09E9"/>
    <w:rsid w:val="006A13BC"/>
    <w:rsid w:val="006A15B6"/>
    <w:rsid w:val="006A273F"/>
    <w:rsid w:val="006A37F5"/>
    <w:rsid w:val="006A3A16"/>
    <w:rsid w:val="006A5913"/>
    <w:rsid w:val="006A5C17"/>
    <w:rsid w:val="006A5F68"/>
    <w:rsid w:val="006A6954"/>
    <w:rsid w:val="006A7831"/>
    <w:rsid w:val="006B0495"/>
    <w:rsid w:val="006B0A06"/>
    <w:rsid w:val="006B1488"/>
    <w:rsid w:val="006B1CCF"/>
    <w:rsid w:val="006B20F2"/>
    <w:rsid w:val="006B2301"/>
    <w:rsid w:val="006B36BB"/>
    <w:rsid w:val="006B377C"/>
    <w:rsid w:val="006B38FF"/>
    <w:rsid w:val="006B40E9"/>
    <w:rsid w:val="006B5D12"/>
    <w:rsid w:val="006B6270"/>
    <w:rsid w:val="006B62B5"/>
    <w:rsid w:val="006B63D2"/>
    <w:rsid w:val="006B6505"/>
    <w:rsid w:val="006B7D47"/>
    <w:rsid w:val="006C1199"/>
    <w:rsid w:val="006C11FB"/>
    <w:rsid w:val="006C17C7"/>
    <w:rsid w:val="006C1892"/>
    <w:rsid w:val="006C19EC"/>
    <w:rsid w:val="006C1BDB"/>
    <w:rsid w:val="006C291A"/>
    <w:rsid w:val="006C3039"/>
    <w:rsid w:val="006C33D9"/>
    <w:rsid w:val="006C3C88"/>
    <w:rsid w:val="006C4C4F"/>
    <w:rsid w:val="006C4DEB"/>
    <w:rsid w:val="006C563A"/>
    <w:rsid w:val="006C5B73"/>
    <w:rsid w:val="006C645D"/>
    <w:rsid w:val="006C705E"/>
    <w:rsid w:val="006D0992"/>
    <w:rsid w:val="006D0FAD"/>
    <w:rsid w:val="006D15CF"/>
    <w:rsid w:val="006D2104"/>
    <w:rsid w:val="006D218E"/>
    <w:rsid w:val="006D2AAB"/>
    <w:rsid w:val="006D2DC9"/>
    <w:rsid w:val="006D2E10"/>
    <w:rsid w:val="006D3467"/>
    <w:rsid w:val="006D41D3"/>
    <w:rsid w:val="006D5030"/>
    <w:rsid w:val="006D54DC"/>
    <w:rsid w:val="006E1A7D"/>
    <w:rsid w:val="006E1A81"/>
    <w:rsid w:val="006E1AB4"/>
    <w:rsid w:val="006E24CD"/>
    <w:rsid w:val="006E2D2A"/>
    <w:rsid w:val="006E2F37"/>
    <w:rsid w:val="006E33EE"/>
    <w:rsid w:val="006E3CC3"/>
    <w:rsid w:val="006E577A"/>
    <w:rsid w:val="006E5AF9"/>
    <w:rsid w:val="006E725B"/>
    <w:rsid w:val="006E73CC"/>
    <w:rsid w:val="006E77E7"/>
    <w:rsid w:val="006E79D4"/>
    <w:rsid w:val="006E7B51"/>
    <w:rsid w:val="006E7D14"/>
    <w:rsid w:val="006E7DDF"/>
    <w:rsid w:val="006E7DE1"/>
    <w:rsid w:val="006F1556"/>
    <w:rsid w:val="006F2403"/>
    <w:rsid w:val="006F4EE8"/>
    <w:rsid w:val="006F5B35"/>
    <w:rsid w:val="006F68AF"/>
    <w:rsid w:val="006F732D"/>
    <w:rsid w:val="006F7339"/>
    <w:rsid w:val="006F74FE"/>
    <w:rsid w:val="006F78FF"/>
    <w:rsid w:val="00700309"/>
    <w:rsid w:val="00700334"/>
    <w:rsid w:val="00701B2C"/>
    <w:rsid w:val="00701B41"/>
    <w:rsid w:val="00701F93"/>
    <w:rsid w:val="0070309C"/>
    <w:rsid w:val="00703804"/>
    <w:rsid w:val="0070580F"/>
    <w:rsid w:val="00705908"/>
    <w:rsid w:val="00706367"/>
    <w:rsid w:val="00706815"/>
    <w:rsid w:val="00706E8E"/>
    <w:rsid w:val="0070759F"/>
    <w:rsid w:val="00710174"/>
    <w:rsid w:val="007101C8"/>
    <w:rsid w:val="00711435"/>
    <w:rsid w:val="00711D35"/>
    <w:rsid w:val="00711F3D"/>
    <w:rsid w:val="00712A54"/>
    <w:rsid w:val="00712C85"/>
    <w:rsid w:val="00712CBF"/>
    <w:rsid w:val="007143EE"/>
    <w:rsid w:val="007144CD"/>
    <w:rsid w:val="00714500"/>
    <w:rsid w:val="007145F5"/>
    <w:rsid w:val="007146BB"/>
    <w:rsid w:val="00714B46"/>
    <w:rsid w:val="0071596F"/>
    <w:rsid w:val="00715E4A"/>
    <w:rsid w:val="007160B7"/>
    <w:rsid w:val="00717246"/>
    <w:rsid w:val="0071783B"/>
    <w:rsid w:val="007202C4"/>
    <w:rsid w:val="00720D8D"/>
    <w:rsid w:val="00720E6F"/>
    <w:rsid w:val="007213F0"/>
    <w:rsid w:val="00721F58"/>
    <w:rsid w:val="007223A7"/>
    <w:rsid w:val="00722B53"/>
    <w:rsid w:val="00722EAB"/>
    <w:rsid w:val="007236BE"/>
    <w:rsid w:val="007238A2"/>
    <w:rsid w:val="0072402B"/>
    <w:rsid w:val="007240A6"/>
    <w:rsid w:val="007246C2"/>
    <w:rsid w:val="00725566"/>
    <w:rsid w:val="00725911"/>
    <w:rsid w:val="007259AA"/>
    <w:rsid w:val="00727588"/>
    <w:rsid w:val="00730C74"/>
    <w:rsid w:val="00730EC2"/>
    <w:rsid w:val="0073104D"/>
    <w:rsid w:val="00731506"/>
    <w:rsid w:val="007315EC"/>
    <w:rsid w:val="00731C2F"/>
    <w:rsid w:val="00731FC2"/>
    <w:rsid w:val="0073219F"/>
    <w:rsid w:val="00732780"/>
    <w:rsid w:val="00732A2D"/>
    <w:rsid w:val="00732D68"/>
    <w:rsid w:val="007336D6"/>
    <w:rsid w:val="00733E50"/>
    <w:rsid w:val="007365C9"/>
    <w:rsid w:val="00737335"/>
    <w:rsid w:val="0073736A"/>
    <w:rsid w:val="007373FD"/>
    <w:rsid w:val="007404B1"/>
    <w:rsid w:val="00740823"/>
    <w:rsid w:val="0074128E"/>
    <w:rsid w:val="0074154D"/>
    <w:rsid w:val="00742366"/>
    <w:rsid w:val="00743023"/>
    <w:rsid w:val="00743553"/>
    <w:rsid w:val="0074365B"/>
    <w:rsid w:val="00743FE6"/>
    <w:rsid w:val="00744484"/>
    <w:rsid w:val="00745219"/>
    <w:rsid w:val="00745456"/>
    <w:rsid w:val="00745602"/>
    <w:rsid w:val="00745C70"/>
    <w:rsid w:val="00746673"/>
    <w:rsid w:val="00746C95"/>
    <w:rsid w:val="00747501"/>
    <w:rsid w:val="00747749"/>
    <w:rsid w:val="007477DC"/>
    <w:rsid w:val="00747AD0"/>
    <w:rsid w:val="00747BA7"/>
    <w:rsid w:val="007503D5"/>
    <w:rsid w:val="007509DD"/>
    <w:rsid w:val="00752041"/>
    <w:rsid w:val="00753CE2"/>
    <w:rsid w:val="00754580"/>
    <w:rsid w:val="00754895"/>
    <w:rsid w:val="00755529"/>
    <w:rsid w:val="007558B5"/>
    <w:rsid w:val="00755C8E"/>
    <w:rsid w:val="00755FB0"/>
    <w:rsid w:val="007579A8"/>
    <w:rsid w:val="00760E72"/>
    <w:rsid w:val="007611DD"/>
    <w:rsid w:val="00761D8A"/>
    <w:rsid w:val="00763474"/>
    <w:rsid w:val="00763478"/>
    <w:rsid w:val="007637A8"/>
    <w:rsid w:val="00763D44"/>
    <w:rsid w:val="00764920"/>
    <w:rsid w:val="00764A04"/>
    <w:rsid w:val="00764C53"/>
    <w:rsid w:val="00764D3E"/>
    <w:rsid w:val="007650C6"/>
    <w:rsid w:val="00765D43"/>
    <w:rsid w:val="00766184"/>
    <w:rsid w:val="0076656C"/>
    <w:rsid w:val="0076719B"/>
    <w:rsid w:val="00767276"/>
    <w:rsid w:val="007676A2"/>
    <w:rsid w:val="00767BFF"/>
    <w:rsid w:val="00767D3C"/>
    <w:rsid w:val="00767F93"/>
    <w:rsid w:val="0077034B"/>
    <w:rsid w:val="00770763"/>
    <w:rsid w:val="007708A3"/>
    <w:rsid w:val="00770ABC"/>
    <w:rsid w:val="0077100D"/>
    <w:rsid w:val="00771046"/>
    <w:rsid w:val="00772EE9"/>
    <w:rsid w:val="0077378D"/>
    <w:rsid w:val="0077382E"/>
    <w:rsid w:val="00773A0B"/>
    <w:rsid w:val="00774097"/>
    <w:rsid w:val="007741DF"/>
    <w:rsid w:val="007745C7"/>
    <w:rsid w:val="00774B1C"/>
    <w:rsid w:val="00774DB3"/>
    <w:rsid w:val="00774FAF"/>
    <w:rsid w:val="007754A4"/>
    <w:rsid w:val="0077553A"/>
    <w:rsid w:val="00775E59"/>
    <w:rsid w:val="00776F2C"/>
    <w:rsid w:val="00777340"/>
    <w:rsid w:val="0077754D"/>
    <w:rsid w:val="00777C16"/>
    <w:rsid w:val="00780051"/>
    <w:rsid w:val="007804A5"/>
    <w:rsid w:val="007813D4"/>
    <w:rsid w:val="00782428"/>
    <w:rsid w:val="0078257B"/>
    <w:rsid w:val="00782612"/>
    <w:rsid w:val="0078277C"/>
    <w:rsid w:val="00783971"/>
    <w:rsid w:val="00783C34"/>
    <w:rsid w:val="00783D75"/>
    <w:rsid w:val="00784B07"/>
    <w:rsid w:val="00784C0A"/>
    <w:rsid w:val="007855D6"/>
    <w:rsid w:val="00785EB8"/>
    <w:rsid w:val="00786975"/>
    <w:rsid w:val="00787A4B"/>
    <w:rsid w:val="00790422"/>
    <w:rsid w:val="007914FD"/>
    <w:rsid w:val="00791B23"/>
    <w:rsid w:val="00792034"/>
    <w:rsid w:val="0079242E"/>
    <w:rsid w:val="0079268A"/>
    <w:rsid w:val="00792DB2"/>
    <w:rsid w:val="00793536"/>
    <w:rsid w:val="00793705"/>
    <w:rsid w:val="00793F80"/>
    <w:rsid w:val="007940A3"/>
    <w:rsid w:val="00794B40"/>
    <w:rsid w:val="00794B94"/>
    <w:rsid w:val="00794FF8"/>
    <w:rsid w:val="00795303"/>
    <w:rsid w:val="00795684"/>
    <w:rsid w:val="007960F2"/>
    <w:rsid w:val="00796E26"/>
    <w:rsid w:val="00796FE0"/>
    <w:rsid w:val="00797058"/>
    <w:rsid w:val="0079737F"/>
    <w:rsid w:val="00797E7A"/>
    <w:rsid w:val="007A022A"/>
    <w:rsid w:val="007A05C9"/>
    <w:rsid w:val="007A1079"/>
    <w:rsid w:val="007A2FE4"/>
    <w:rsid w:val="007A3D8C"/>
    <w:rsid w:val="007A40C3"/>
    <w:rsid w:val="007A49DE"/>
    <w:rsid w:val="007A4F28"/>
    <w:rsid w:val="007A4F98"/>
    <w:rsid w:val="007A4FB0"/>
    <w:rsid w:val="007A51C7"/>
    <w:rsid w:val="007A5874"/>
    <w:rsid w:val="007A659D"/>
    <w:rsid w:val="007A68AA"/>
    <w:rsid w:val="007A6F78"/>
    <w:rsid w:val="007A7F5B"/>
    <w:rsid w:val="007B14ED"/>
    <w:rsid w:val="007B1780"/>
    <w:rsid w:val="007B18D4"/>
    <w:rsid w:val="007B2677"/>
    <w:rsid w:val="007B27F6"/>
    <w:rsid w:val="007B332D"/>
    <w:rsid w:val="007B3462"/>
    <w:rsid w:val="007B4205"/>
    <w:rsid w:val="007B6798"/>
    <w:rsid w:val="007B679B"/>
    <w:rsid w:val="007B6941"/>
    <w:rsid w:val="007B6C86"/>
    <w:rsid w:val="007B76AB"/>
    <w:rsid w:val="007B7790"/>
    <w:rsid w:val="007B7AFE"/>
    <w:rsid w:val="007C076E"/>
    <w:rsid w:val="007C0E50"/>
    <w:rsid w:val="007C3135"/>
    <w:rsid w:val="007C3A00"/>
    <w:rsid w:val="007C4827"/>
    <w:rsid w:val="007C4957"/>
    <w:rsid w:val="007C4A82"/>
    <w:rsid w:val="007C4DE3"/>
    <w:rsid w:val="007C529A"/>
    <w:rsid w:val="007C618C"/>
    <w:rsid w:val="007C6400"/>
    <w:rsid w:val="007C678E"/>
    <w:rsid w:val="007C67DF"/>
    <w:rsid w:val="007C7E84"/>
    <w:rsid w:val="007D09EC"/>
    <w:rsid w:val="007D0DB9"/>
    <w:rsid w:val="007D23F8"/>
    <w:rsid w:val="007D243F"/>
    <w:rsid w:val="007D295B"/>
    <w:rsid w:val="007D2ED3"/>
    <w:rsid w:val="007D2F9A"/>
    <w:rsid w:val="007D38CE"/>
    <w:rsid w:val="007D471E"/>
    <w:rsid w:val="007D4F69"/>
    <w:rsid w:val="007D4FB2"/>
    <w:rsid w:val="007D592B"/>
    <w:rsid w:val="007D5997"/>
    <w:rsid w:val="007D5AA6"/>
    <w:rsid w:val="007D76F2"/>
    <w:rsid w:val="007D79A6"/>
    <w:rsid w:val="007D7A91"/>
    <w:rsid w:val="007D7F50"/>
    <w:rsid w:val="007E0672"/>
    <w:rsid w:val="007E243E"/>
    <w:rsid w:val="007E2BA6"/>
    <w:rsid w:val="007E3524"/>
    <w:rsid w:val="007E43DE"/>
    <w:rsid w:val="007E43E5"/>
    <w:rsid w:val="007E473C"/>
    <w:rsid w:val="007E51EF"/>
    <w:rsid w:val="007E59D7"/>
    <w:rsid w:val="007E6247"/>
    <w:rsid w:val="007E62D5"/>
    <w:rsid w:val="007E6456"/>
    <w:rsid w:val="007E6EE2"/>
    <w:rsid w:val="007E70CC"/>
    <w:rsid w:val="007F0275"/>
    <w:rsid w:val="007F1C89"/>
    <w:rsid w:val="007F2204"/>
    <w:rsid w:val="007F2651"/>
    <w:rsid w:val="007F26DC"/>
    <w:rsid w:val="007F270E"/>
    <w:rsid w:val="007F2BA9"/>
    <w:rsid w:val="007F2BC4"/>
    <w:rsid w:val="007F30CE"/>
    <w:rsid w:val="007F33D4"/>
    <w:rsid w:val="007F3AD0"/>
    <w:rsid w:val="007F4613"/>
    <w:rsid w:val="007F4CE1"/>
    <w:rsid w:val="007F545C"/>
    <w:rsid w:val="007F5608"/>
    <w:rsid w:val="007F6120"/>
    <w:rsid w:val="007F6327"/>
    <w:rsid w:val="007F6B73"/>
    <w:rsid w:val="007F6E09"/>
    <w:rsid w:val="007F7270"/>
    <w:rsid w:val="00800173"/>
    <w:rsid w:val="008007E9"/>
    <w:rsid w:val="008010A8"/>
    <w:rsid w:val="00801971"/>
    <w:rsid w:val="008028A6"/>
    <w:rsid w:val="00802D4C"/>
    <w:rsid w:val="008030F6"/>
    <w:rsid w:val="0080342C"/>
    <w:rsid w:val="0080356F"/>
    <w:rsid w:val="00803E76"/>
    <w:rsid w:val="00804F3D"/>
    <w:rsid w:val="008053DE"/>
    <w:rsid w:val="00806571"/>
    <w:rsid w:val="00806EAB"/>
    <w:rsid w:val="00807B43"/>
    <w:rsid w:val="0080EBE7"/>
    <w:rsid w:val="0081037F"/>
    <w:rsid w:val="00810765"/>
    <w:rsid w:val="008112D9"/>
    <w:rsid w:val="008113EE"/>
    <w:rsid w:val="008116C7"/>
    <w:rsid w:val="00811943"/>
    <w:rsid w:val="00812287"/>
    <w:rsid w:val="008132A0"/>
    <w:rsid w:val="00813F06"/>
    <w:rsid w:val="0081429F"/>
    <w:rsid w:val="0081440E"/>
    <w:rsid w:val="00814E3C"/>
    <w:rsid w:val="00814FDF"/>
    <w:rsid w:val="00815992"/>
    <w:rsid w:val="00815C81"/>
    <w:rsid w:val="00817018"/>
    <w:rsid w:val="0081751A"/>
    <w:rsid w:val="00820071"/>
    <w:rsid w:val="008205E0"/>
    <w:rsid w:val="00820D67"/>
    <w:rsid w:val="0082230E"/>
    <w:rsid w:val="008230B1"/>
    <w:rsid w:val="008231DC"/>
    <w:rsid w:val="0082432C"/>
    <w:rsid w:val="00824868"/>
    <w:rsid w:val="008248C8"/>
    <w:rsid w:val="008253A9"/>
    <w:rsid w:val="00825828"/>
    <w:rsid w:val="00825AE0"/>
    <w:rsid w:val="00825EF6"/>
    <w:rsid w:val="008261D7"/>
    <w:rsid w:val="00826724"/>
    <w:rsid w:val="00827E2C"/>
    <w:rsid w:val="008301B7"/>
    <w:rsid w:val="00830565"/>
    <w:rsid w:val="0083099E"/>
    <w:rsid w:val="008309E8"/>
    <w:rsid w:val="008311B8"/>
    <w:rsid w:val="00831E4C"/>
    <w:rsid w:val="00831F16"/>
    <w:rsid w:val="0083202D"/>
    <w:rsid w:val="00832350"/>
    <w:rsid w:val="00832507"/>
    <w:rsid w:val="00832CF2"/>
    <w:rsid w:val="00833451"/>
    <w:rsid w:val="0083379A"/>
    <w:rsid w:val="00833CE4"/>
    <w:rsid w:val="00834243"/>
    <w:rsid w:val="00834721"/>
    <w:rsid w:val="00835D40"/>
    <w:rsid w:val="00837351"/>
    <w:rsid w:val="008374C4"/>
    <w:rsid w:val="008377BC"/>
    <w:rsid w:val="008404ED"/>
    <w:rsid w:val="00840A30"/>
    <w:rsid w:val="00840F7D"/>
    <w:rsid w:val="00841EA3"/>
    <w:rsid w:val="00842303"/>
    <w:rsid w:val="0084288F"/>
    <w:rsid w:val="00842C2C"/>
    <w:rsid w:val="00843872"/>
    <w:rsid w:val="00844181"/>
    <w:rsid w:val="008442CD"/>
    <w:rsid w:val="00844B1F"/>
    <w:rsid w:val="00846A3A"/>
    <w:rsid w:val="00847510"/>
    <w:rsid w:val="0084759F"/>
    <w:rsid w:val="00847F5E"/>
    <w:rsid w:val="008506B2"/>
    <w:rsid w:val="00850F32"/>
    <w:rsid w:val="00852679"/>
    <w:rsid w:val="00852876"/>
    <w:rsid w:val="00852E46"/>
    <w:rsid w:val="008533DB"/>
    <w:rsid w:val="0085351C"/>
    <w:rsid w:val="0085357F"/>
    <w:rsid w:val="008536DE"/>
    <w:rsid w:val="00853A3E"/>
    <w:rsid w:val="00853A6F"/>
    <w:rsid w:val="00855DF7"/>
    <w:rsid w:val="00855E88"/>
    <w:rsid w:val="00857969"/>
    <w:rsid w:val="0086010F"/>
    <w:rsid w:val="00860BC6"/>
    <w:rsid w:val="0086151F"/>
    <w:rsid w:val="00861D98"/>
    <w:rsid w:val="00862AC2"/>
    <w:rsid w:val="00862F21"/>
    <w:rsid w:val="00863560"/>
    <w:rsid w:val="00863AF6"/>
    <w:rsid w:val="00863BBA"/>
    <w:rsid w:val="00863BBB"/>
    <w:rsid w:val="0086424C"/>
    <w:rsid w:val="00865E44"/>
    <w:rsid w:val="008665DC"/>
    <w:rsid w:val="0086739F"/>
    <w:rsid w:val="008673E6"/>
    <w:rsid w:val="008703C7"/>
    <w:rsid w:val="00870E04"/>
    <w:rsid w:val="00870E07"/>
    <w:rsid w:val="008716FF"/>
    <w:rsid w:val="008721BF"/>
    <w:rsid w:val="00874533"/>
    <w:rsid w:val="008752E4"/>
    <w:rsid w:val="0087539D"/>
    <w:rsid w:val="00876796"/>
    <w:rsid w:val="008768D5"/>
    <w:rsid w:val="00876931"/>
    <w:rsid w:val="008770E8"/>
    <w:rsid w:val="008775DA"/>
    <w:rsid w:val="008778A6"/>
    <w:rsid w:val="00877D4B"/>
    <w:rsid w:val="00877EE1"/>
    <w:rsid w:val="00881090"/>
    <w:rsid w:val="008813C1"/>
    <w:rsid w:val="008816DC"/>
    <w:rsid w:val="00882CC4"/>
    <w:rsid w:val="00883804"/>
    <w:rsid w:val="008844AC"/>
    <w:rsid w:val="00884D2E"/>
    <w:rsid w:val="00885350"/>
    <w:rsid w:val="00886D54"/>
    <w:rsid w:val="008874DF"/>
    <w:rsid w:val="0088774E"/>
    <w:rsid w:val="00887C4B"/>
    <w:rsid w:val="008902B6"/>
    <w:rsid w:val="00890319"/>
    <w:rsid w:val="00890D5E"/>
    <w:rsid w:val="0089155E"/>
    <w:rsid w:val="008919E2"/>
    <w:rsid w:val="00892B2D"/>
    <w:rsid w:val="00892EBD"/>
    <w:rsid w:val="008933B0"/>
    <w:rsid w:val="00893EA1"/>
    <w:rsid w:val="008947C6"/>
    <w:rsid w:val="00894BAE"/>
    <w:rsid w:val="00894DBC"/>
    <w:rsid w:val="00895501"/>
    <w:rsid w:val="008958B9"/>
    <w:rsid w:val="00895D28"/>
    <w:rsid w:val="00896106"/>
    <w:rsid w:val="0089682A"/>
    <w:rsid w:val="00897F46"/>
    <w:rsid w:val="008A008A"/>
    <w:rsid w:val="008A1920"/>
    <w:rsid w:val="008A19DA"/>
    <w:rsid w:val="008A2062"/>
    <w:rsid w:val="008A2257"/>
    <w:rsid w:val="008A22B2"/>
    <w:rsid w:val="008A372C"/>
    <w:rsid w:val="008A4099"/>
    <w:rsid w:val="008A526B"/>
    <w:rsid w:val="008A5919"/>
    <w:rsid w:val="008A5D73"/>
    <w:rsid w:val="008A6654"/>
    <w:rsid w:val="008A6A4C"/>
    <w:rsid w:val="008A96B8"/>
    <w:rsid w:val="008B00F2"/>
    <w:rsid w:val="008B2125"/>
    <w:rsid w:val="008B2528"/>
    <w:rsid w:val="008B2856"/>
    <w:rsid w:val="008B2A17"/>
    <w:rsid w:val="008B3275"/>
    <w:rsid w:val="008B48B7"/>
    <w:rsid w:val="008B5122"/>
    <w:rsid w:val="008B570D"/>
    <w:rsid w:val="008B572B"/>
    <w:rsid w:val="008B6BAB"/>
    <w:rsid w:val="008C03F4"/>
    <w:rsid w:val="008C0F63"/>
    <w:rsid w:val="008C105A"/>
    <w:rsid w:val="008C10AF"/>
    <w:rsid w:val="008C1306"/>
    <w:rsid w:val="008C2034"/>
    <w:rsid w:val="008C2DD3"/>
    <w:rsid w:val="008C2EB4"/>
    <w:rsid w:val="008C354A"/>
    <w:rsid w:val="008C3593"/>
    <w:rsid w:val="008C4589"/>
    <w:rsid w:val="008C65EA"/>
    <w:rsid w:val="008C6747"/>
    <w:rsid w:val="008C6BAE"/>
    <w:rsid w:val="008C7F71"/>
    <w:rsid w:val="008D06D6"/>
    <w:rsid w:val="008D10F7"/>
    <w:rsid w:val="008D1719"/>
    <w:rsid w:val="008D2965"/>
    <w:rsid w:val="008D2C4F"/>
    <w:rsid w:val="008D32E0"/>
    <w:rsid w:val="008D32F3"/>
    <w:rsid w:val="008D339F"/>
    <w:rsid w:val="008D5359"/>
    <w:rsid w:val="008D56AA"/>
    <w:rsid w:val="008D5CA1"/>
    <w:rsid w:val="008D5D51"/>
    <w:rsid w:val="008D63D7"/>
    <w:rsid w:val="008D719B"/>
    <w:rsid w:val="008D7354"/>
    <w:rsid w:val="008E0559"/>
    <w:rsid w:val="008E08F0"/>
    <w:rsid w:val="008E0C5E"/>
    <w:rsid w:val="008E0CD1"/>
    <w:rsid w:val="008E20F6"/>
    <w:rsid w:val="008E21AB"/>
    <w:rsid w:val="008E24D2"/>
    <w:rsid w:val="008E3B9D"/>
    <w:rsid w:val="008E3D75"/>
    <w:rsid w:val="008E4168"/>
    <w:rsid w:val="008E4220"/>
    <w:rsid w:val="008E43D5"/>
    <w:rsid w:val="008E5344"/>
    <w:rsid w:val="008E5400"/>
    <w:rsid w:val="008E602C"/>
    <w:rsid w:val="008E6281"/>
    <w:rsid w:val="008E6292"/>
    <w:rsid w:val="008E62E3"/>
    <w:rsid w:val="008E6882"/>
    <w:rsid w:val="008E6B2F"/>
    <w:rsid w:val="008E6EE6"/>
    <w:rsid w:val="008E7C5E"/>
    <w:rsid w:val="008F0274"/>
    <w:rsid w:val="008F09C0"/>
    <w:rsid w:val="008F0CA3"/>
    <w:rsid w:val="008F0D10"/>
    <w:rsid w:val="008F1008"/>
    <w:rsid w:val="008F1455"/>
    <w:rsid w:val="008F23EB"/>
    <w:rsid w:val="008F26A8"/>
    <w:rsid w:val="008F349D"/>
    <w:rsid w:val="008F507E"/>
    <w:rsid w:val="008F57AC"/>
    <w:rsid w:val="008F64EA"/>
    <w:rsid w:val="008F6A54"/>
    <w:rsid w:val="008F7077"/>
    <w:rsid w:val="008F7277"/>
    <w:rsid w:val="009000F9"/>
    <w:rsid w:val="00900620"/>
    <w:rsid w:val="00900754"/>
    <w:rsid w:val="00900FFE"/>
    <w:rsid w:val="0090167F"/>
    <w:rsid w:val="00901A3C"/>
    <w:rsid w:val="00901A64"/>
    <w:rsid w:val="00902B2D"/>
    <w:rsid w:val="00902C6A"/>
    <w:rsid w:val="00903985"/>
    <w:rsid w:val="00903F6D"/>
    <w:rsid w:val="009042E8"/>
    <w:rsid w:val="0090540F"/>
    <w:rsid w:val="00905AE1"/>
    <w:rsid w:val="00905C26"/>
    <w:rsid w:val="00906526"/>
    <w:rsid w:val="00906920"/>
    <w:rsid w:val="00906E61"/>
    <w:rsid w:val="009079B6"/>
    <w:rsid w:val="00907AD8"/>
    <w:rsid w:val="00907BE0"/>
    <w:rsid w:val="00907F57"/>
    <w:rsid w:val="00907FE9"/>
    <w:rsid w:val="0091263B"/>
    <w:rsid w:val="00912B44"/>
    <w:rsid w:val="00912BEA"/>
    <w:rsid w:val="00912F27"/>
    <w:rsid w:val="00913047"/>
    <w:rsid w:val="0091306F"/>
    <w:rsid w:val="00913B8C"/>
    <w:rsid w:val="00913F5E"/>
    <w:rsid w:val="00914924"/>
    <w:rsid w:val="00915128"/>
    <w:rsid w:val="00915531"/>
    <w:rsid w:val="00915C81"/>
    <w:rsid w:val="00916453"/>
    <w:rsid w:val="0091664D"/>
    <w:rsid w:val="00917D61"/>
    <w:rsid w:val="00917E28"/>
    <w:rsid w:val="0092092D"/>
    <w:rsid w:val="00920A8E"/>
    <w:rsid w:val="00920C03"/>
    <w:rsid w:val="00921111"/>
    <w:rsid w:val="00921329"/>
    <w:rsid w:val="009217ED"/>
    <w:rsid w:val="00922600"/>
    <w:rsid w:val="00922BC1"/>
    <w:rsid w:val="00922C93"/>
    <w:rsid w:val="00922CFE"/>
    <w:rsid w:val="00923690"/>
    <w:rsid w:val="00923A37"/>
    <w:rsid w:val="00924BBC"/>
    <w:rsid w:val="00925AA5"/>
    <w:rsid w:val="00925DC4"/>
    <w:rsid w:val="00926858"/>
    <w:rsid w:val="009271C7"/>
    <w:rsid w:val="009272A9"/>
    <w:rsid w:val="00927368"/>
    <w:rsid w:val="00927D5D"/>
    <w:rsid w:val="00930705"/>
    <w:rsid w:val="009308F8"/>
    <w:rsid w:val="009309FE"/>
    <w:rsid w:val="00930D44"/>
    <w:rsid w:val="009314A0"/>
    <w:rsid w:val="009316C3"/>
    <w:rsid w:val="009322F0"/>
    <w:rsid w:val="009326FC"/>
    <w:rsid w:val="00932AB5"/>
    <w:rsid w:val="009340C5"/>
    <w:rsid w:val="009346B6"/>
    <w:rsid w:val="00934F63"/>
    <w:rsid w:val="0093540D"/>
    <w:rsid w:val="00935596"/>
    <w:rsid w:val="00935F6E"/>
    <w:rsid w:val="0093613E"/>
    <w:rsid w:val="0093643E"/>
    <w:rsid w:val="00936545"/>
    <w:rsid w:val="0093710F"/>
    <w:rsid w:val="0093774E"/>
    <w:rsid w:val="00940133"/>
    <w:rsid w:val="0094019D"/>
    <w:rsid w:val="00940396"/>
    <w:rsid w:val="00940C79"/>
    <w:rsid w:val="00940E83"/>
    <w:rsid w:val="009411B7"/>
    <w:rsid w:val="00941B84"/>
    <w:rsid w:val="00942C11"/>
    <w:rsid w:val="0094351F"/>
    <w:rsid w:val="00943524"/>
    <w:rsid w:val="00943593"/>
    <w:rsid w:val="00943E29"/>
    <w:rsid w:val="00944520"/>
    <w:rsid w:val="009454C6"/>
    <w:rsid w:val="00945683"/>
    <w:rsid w:val="00945E08"/>
    <w:rsid w:val="0094627A"/>
    <w:rsid w:val="009462E4"/>
    <w:rsid w:val="00946A84"/>
    <w:rsid w:val="009501CF"/>
    <w:rsid w:val="009507EF"/>
    <w:rsid w:val="00950B26"/>
    <w:rsid w:val="0095120F"/>
    <w:rsid w:val="009520CD"/>
    <w:rsid w:val="00952CD5"/>
    <w:rsid w:val="009537EB"/>
    <w:rsid w:val="00953C26"/>
    <w:rsid w:val="00954301"/>
    <w:rsid w:val="009546CA"/>
    <w:rsid w:val="009547F8"/>
    <w:rsid w:val="009563F3"/>
    <w:rsid w:val="0095785D"/>
    <w:rsid w:val="0096075C"/>
    <w:rsid w:val="00961A11"/>
    <w:rsid w:val="00961BFC"/>
    <w:rsid w:val="00962ACF"/>
    <w:rsid w:val="00963C35"/>
    <w:rsid w:val="00963D63"/>
    <w:rsid w:val="009645C9"/>
    <w:rsid w:val="009647DE"/>
    <w:rsid w:val="00964C38"/>
    <w:rsid w:val="00964F77"/>
    <w:rsid w:val="0096556E"/>
    <w:rsid w:val="00966122"/>
    <w:rsid w:val="00966546"/>
    <w:rsid w:val="00966623"/>
    <w:rsid w:val="0096798E"/>
    <w:rsid w:val="009701C2"/>
    <w:rsid w:val="00971754"/>
    <w:rsid w:val="00971BF0"/>
    <w:rsid w:val="009729BA"/>
    <w:rsid w:val="009729D4"/>
    <w:rsid w:val="00972F5F"/>
    <w:rsid w:val="009731D5"/>
    <w:rsid w:val="00974753"/>
    <w:rsid w:val="00975E17"/>
    <w:rsid w:val="0098014F"/>
    <w:rsid w:val="00980759"/>
    <w:rsid w:val="00980B2A"/>
    <w:rsid w:val="009816C3"/>
    <w:rsid w:val="009817B0"/>
    <w:rsid w:val="009821CE"/>
    <w:rsid w:val="009836F8"/>
    <w:rsid w:val="00983CB1"/>
    <w:rsid w:val="00983E84"/>
    <w:rsid w:val="009843EB"/>
    <w:rsid w:val="009848D9"/>
    <w:rsid w:val="00984ECD"/>
    <w:rsid w:val="0098540A"/>
    <w:rsid w:val="00985F15"/>
    <w:rsid w:val="009861D1"/>
    <w:rsid w:val="009873D2"/>
    <w:rsid w:val="00987E7B"/>
    <w:rsid w:val="00990465"/>
    <w:rsid w:val="009907EF"/>
    <w:rsid w:val="00991895"/>
    <w:rsid w:val="009929E2"/>
    <w:rsid w:val="00993121"/>
    <w:rsid w:val="00995149"/>
    <w:rsid w:val="00995BA0"/>
    <w:rsid w:val="0099612E"/>
    <w:rsid w:val="00996A6C"/>
    <w:rsid w:val="00996EBE"/>
    <w:rsid w:val="009971E8"/>
    <w:rsid w:val="00997C8B"/>
    <w:rsid w:val="00997E39"/>
    <w:rsid w:val="009A074F"/>
    <w:rsid w:val="009A0A92"/>
    <w:rsid w:val="009A19D6"/>
    <w:rsid w:val="009A23F0"/>
    <w:rsid w:val="009A277C"/>
    <w:rsid w:val="009A3551"/>
    <w:rsid w:val="009A3B85"/>
    <w:rsid w:val="009A3FC8"/>
    <w:rsid w:val="009A4406"/>
    <w:rsid w:val="009A47D1"/>
    <w:rsid w:val="009A4D31"/>
    <w:rsid w:val="009A5615"/>
    <w:rsid w:val="009A59BA"/>
    <w:rsid w:val="009A658F"/>
    <w:rsid w:val="009A6A52"/>
    <w:rsid w:val="009A6ED0"/>
    <w:rsid w:val="009A72E6"/>
    <w:rsid w:val="009A7BFC"/>
    <w:rsid w:val="009B088F"/>
    <w:rsid w:val="009B0BFC"/>
    <w:rsid w:val="009B0C69"/>
    <w:rsid w:val="009B0CAA"/>
    <w:rsid w:val="009B16B2"/>
    <w:rsid w:val="009B2249"/>
    <w:rsid w:val="009B2804"/>
    <w:rsid w:val="009B3027"/>
    <w:rsid w:val="009B382A"/>
    <w:rsid w:val="009B38E4"/>
    <w:rsid w:val="009B3A06"/>
    <w:rsid w:val="009B3F2C"/>
    <w:rsid w:val="009B4008"/>
    <w:rsid w:val="009B44E2"/>
    <w:rsid w:val="009B4A2A"/>
    <w:rsid w:val="009B50A6"/>
    <w:rsid w:val="009B6778"/>
    <w:rsid w:val="009B7242"/>
    <w:rsid w:val="009B78EB"/>
    <w:rsid w:val="009B793B"/>
    <w:rsid w:val="009B7C1B"/>
    <w:rsid w:val="009C0A3F"/>
    <w:rsid w:val="009C20F6"/>
    <w:rsid w:val="009C269B"/>
    <w:rsid w:val="009C2873"/>
    <w:rsid w:val="009C3B87"/>
    <w:rsid w:val="009C3BAB"/>
    <w:rsid w:val="009C4481"/>
    <w:rsid w:val="009C5F65"/>
    <w:rsid w:val="009C631E"/>
    <w:rsid w:val="009C6B7D"/>
    <w:rsid w:val="009C6F68"/>
    <w:rsid w:val="009C7807"/>
    <w:rsid w:val="009D0431"/>
    <w:rsid w:val="009D07D1"/>
    <w:rsid w:val="009D1809"/>
    <w:rsid w:val="009D1DDF"/>
    <w:rsid w:val="009D21EA"/>
    <w:rsid w:val="009D2273"/>
    <w:rsid w:val="009D29CD"/>
    <w:rsid w:val="009D2CFF"/>
    <w:rsid w:val="009D3535"/>
    <w:rsid w:val="009D384C"/>
    <w:rsid w:val="009D38EC"/>
    <w:rsid w:val="009D43C3"/>
    <w:rsid w:val="009D4497"/>
    <w:rsid w:val="009D52AE"/>
    <w:rsid w:val="009D5AD9"/>
    <w:rsid w:val="009D6271"/>
    <w:rsid w:val="009D676E"/>
    <w:rsid w:val="009D6B48"/>
    <w:rsid w:val="009E027E"/>
    <w:rsid w:val="009E0784"/>
    <w:rsid w:val="009E0CA5"/>
    <w:rsid w:val="009E1137"/>
    <w:rsid w:val="009E171B"/>
    <w:rsid w:val="009E3F70"/>
    <w:rsid w:val="009E4104"/>
    <w:rsid w:val="009E4605"/>
    <w:rsid w:val="009E66C8"/>
    <w:rsid w:val="009E688C"/>
    <w:rsid w:val="009E68D4"/>
    <w:rsid w:val="009E6A69"/>
    <w:rsid w:val="009E6ADD"/>
    <w:rsid w:val="009E6E78"/>
    <w:rsid w:val="009E7DE6"/>
    <w:rsid w:val="009F1600"/>
    <w:rsid w:val="009F1864"/>
    <w:rsid w:val="009F1AB7"/>
    <w:rsid w:val="009F2185"/>
    <w:rsid w:val="009F253A"/>
    <w:rsid w:val="009F3156"/>
    <w:rsid w:val="009F3441"/>
    <w:rsid w:val="009F40C6"/>
    <w:rsid w:val="009F4CE4"/>
    <w:rsid w:val="009F5131"/>
    <w:rsid w:val="009F5ABF"/>
    <w:rsid w:val="009F5C07"/>
    <w:rsid w:val="009F728B"/>
    <w:rsid w:val="009F7474"/>
    <w:rsid w:val="009F7D69"/>
    <w:rsid w:val="00A0040C"/>
    <w:rsid w:val="00A015E8"/>
    <w:rsid w:val="00A020B2"/>
    <w:rsid w:val="00A02A30"/>
    <w:rsid w:val="00A03E61"/>
    <w:rsid w:val="00A041B9"/>
    <w:rsid w:val="00A042E3"/>
    <w:rsid w:val="00A04B42"/>
    <w:rsid w:val="00A04B78"/>
    <w:rsid w:val="00A0519C"/>
    <w:rsid w:val="00A05540"/>
    <w:rsid w:val="00A0564C"/>
    <w:rsid w:val="00A073FF"/>
    <w:rsid w:val="00A07799"/>
    <w:rsid w:val="00A07A42"/>
    <w:rsid w:val="00A07D47"/>
    <w:rsid w:val="00A10593"/>
    <w:rsid w:val="00A10829"/>
    <w:rsid w:val="00A108FB"/>
    <w:rsid w:val="00A10954"/>
    <w:rsid w:val="00A1282A"/>
    <w:rsid w:val="00A12964"/>
    <w:rsid w:val="00A12AD1"/>
    <w:rsid w:val="00A12F62"/>
    <w:rsid w:val="00A12FD3"/>
    <w:rsid w:val="00A1313C"/>
    <w:rsid w:val="00A135A8"/>
    <w:rsid w:val="00A1465B"/>
    <w:rsid w:val="00A148BD"/>
    <w:rsid w:val="00A14953"/>
    <w:rsid w:val="00A149E3"/>
    <w:rsid w:val="00A14FE9"/>
    <w:rsid w:val="00A15511"/>
    <w:rsid w:val="00A155F0"/>
    <w:rsid w:val="00A16C24"/>
    <w:rsid w:val="00A1791F"/>
    <w:rsid w:val="00A17D0F"/>
    <w:rsid w:val="00A17EBC"/>
    <w:rsid w:val="00A206A5"/>
    <w:rsid w:val="00A20AB2"/>
    <w:rsid w:val="00A20E85"/>
    <w:rsid w:val="00A2135D"/>
    <w:rsid w:val="00A21CD6"/>
    <w:rsid w:val="00A22065"/>
    <w:rsid w:val="00A22169"/>
    <w:rsid w:val="00A22B68"/>
    <w:rsid w:val="00A234D0"/>
    <w:rsid w:val="00A24969"/>
    <w:rsid w:val="00A258FD"/>
    <w:rsid w:val="00A25FBD"/>
    <w:rsid w:val="00A2600D"/>
    <w:rsid w:val="00A264E7"/>
    <w:rsid w:val="00A27432"/>
    <w:rsid w:val="00A27544"/>
    <w:rsid w:val="00A31340"/>
    <w:rsid w:val="00A31B09"/>
    <w:rsid w:val="00A32D3F"/>
    <w:rsid w:val="00A32ECC"/>
    <w:rsid w:val="00A33C0F"/>
    <w:rsid w:val="00A33CDD"/>
    <w:rsid w:val="00A3489C"/>
    <w:rsid w:val="00A349E7"/>
    <w:rsid w:val="00A3517F"/>
    <w:rsid w:val="00A35DFB"/>
    <w:rsid w:val="00A367E2"/>
    <w:rsid w:val="00A3682E"/>
    <w:rsid w:val="00A36979"/>
    <w:rsid w:val="00A36A8B"/>
    <w:rsid w:val="00A36DF0"/>
    <w:rsid w:val="00A3707D"/>
    <w:rsid w:val="00A37142"/>
    <w:rsid w:val="00A3718A"/>
    <w:rsid w:val="00A3749B"/>
    <w:rsid w:val="00A37D78"/>
    <w:rsid w:val="00A37D87"/>
    <w:rsid w:val="00A40DDB"/>
    <w:rsid w:val="00A40EB8"/>
    <w:rsid w:val="00A411C5"/>
    <w:rsid w:val="00A41694"/>
    <w:rsid w:val="00A41CF9"/>
    <w:rsid w:val="00A42248"/>
    <w:rsid w:val="00A423C4"/>
    <w:rsid w:val="00A4368D"/>
    <w:rsid w:val="00A43A65"/>
    <w:rsid w:val="00A44738"/>
    <w:rsid w:val="00A44832"/>
    <w:rsid w:val="00A44ADB"/>
    <w:rsid w:val="00A454FF"/>
    <w:rsid w:val="00A45941"/>
    <w:rsid w:val="00A465B8"/>
    <w:rsid w:val="00A4660E"/>
    <w:rsid w:val="00A4724B"/>
    <w:rsid w:val="00A474D8"/>
    <w:rsid w:val="00A479E7"/>
    <w:rsid w:val="00A5080C"/>
    <w:rsid w:val="00A50D88"/>
    <w:rsid w:val="00A50DAA"/>
    <w:rsid w:val="00A510E1"/>
    <w:rsid w:val="00A513A1"/>
    <w:rsid w:val="00A51C3F"/>
    <w:rsid w:val="00A52497"/>
    <w:rsid w:val="00A52C3F"/>
    <w:rsid w:val="00A52C8F"/>
    <w:rsid w:val="00A53B72"/>
    <w:rsid w:val="00A54654"/>
    <w:rsid w:val="00A54EA8"/>
    <w:rsid w:val="00A55033"/>
    <w:rsid w:val="00A55509"/>
    <w:rsid w:val="00A558A1"/>
    <w:rsid w:val="00A55DA6"/>
    <w:rsid w:val="00A56923"/>
    <w:rsid w:val="00A56C8F"/>
    <w:rsid w:val="00A56FC1"/>
    <w:rsid w:val="00A57031"/>
    <w:rsid w:val="00A57205"/>
    <w:rsid w:val="00A57303"/>
    <w:rsid w:val="00A6075A"/>
    <w:rsid w:val="00A617C4"/>
    <w:rsid w:val="00A619B1"/>
    <w:rsid w:val="00A62574"/>
    <w:rsid w:val="00A62E42"/>
    <w:rsid w:val="00A630F0"/>
    <w:rsid w:val="00A63985"/>
    <w:rsid w:val="00A63A0A"/>
    <w:rsid w:val="00A64A71"/>
    <w:rsid w:val="00A65186"/>
    <w:rsid w:val="00A65293"/>
    <w:rsid w:val="00A66015"/>
    <w:rsid w:val="00A66ABA"/>
    <w:rsid w:val="00A670C6"/>
    <w:rsid w:val="00A6749B"/>
    <w:rsid w:val="00A67587"/>
    <w:rsid w:val="00A67AE0"/>
    <w:rsid w:val="00A67FCE"/>
    <w:rsid w:val="00A706BA"/>
    <w:rsid w:val="00A710DA"/>
    <w:rsid w:val="00A7236C"/>
    <w:rsid w:val="00A72397"/>
    <w:rsid w:val="00A72960"/>
    <w:rsid w:val="00A72D8F"/>
    <w:rsid w:val="00A73D70"/>
    <w:rsid w:val="00A7424B"/>
    <w:rsid w:val="00A74815"/>
    <w:rsid w:val="00A74B98"/>
    <w:rsid w:val="00A77792"/>
    <w:rsid w:val="00A7786C"/>
    <w:rsid w:val="00A7793E"/>
    <w:rsid w:val="00A77B25"/>
    <w:rsid w:val="00A80412"/>
    <w:rsid w:val="00A8049C"/>
    <w:rsid w:val="00A805EC"/>
    <w:rsid w:val="00A8239B"/>
    <w:rsid w:val="00A84527"/>
    <w:rsid w:val="00A84D19"/>
    <w:rsid w:val="00A855E9"/>
    <w:rsid w:val="00A85DB2"/>
    <w:rsid w:val="00A866C4"/>
    <w:rsid w:val="00A868E5"/>
    <w:rsid w:val="00A871A2"/>
    <w:rsid w:val="00A8741A"/>
    <w:rsid w:val="00A87C51"/>
    <w:rsid w:val="00A906F3"/>
    <w:rsid w:val="00A90831"/>
    <w:rsid w:val="00A90CE6"/>
    <w:rsid w:val="00A9115C"/>
    <w:rsid w:val="00A91BC6"/>
    <w:rsid w:val="00A92AA5"/>
    <w:rsid w:val="00A92BE1"/>
    <w:rsid w:val="00A92CB8"/>
    <w:rsid w:val="00A9334A"/>
    <w:rsid w:val="00A93401"/>
    <w:rsid w:val="00A93BB8"/>
    <w:rsid w:val="00A941D6"/>
    <w:rsid w:val="00A947A9"/>
    <w:rsid w:val="00A94A4C"/>
    <w:rsid w:val="00A95BE9"/>
    <w:rsid w:val="00A95D17"/>
    <w:rsid w:val="00A962E5"/>
    <w:rsid w:val="00A967D9"/>
    <w:rsid w:val="00A96B48"/>
    <w:rsid w:val="00A96E56"/>
    <w:rsid w:val="00A97160"/>
    <w:rsid w:val="00A973DE"/>
    <w:rsid w:val="00A97D09"/>
    <w:rsid w:val="00AA0066"/>
    <w:rsid w:val="00AA0D15"/>
    <w:rsid w:val="00AA2F14"/>
    <w:rsid w:val="00AA36A1"/>
    <w:rsid w:val="00AA374C"/>
    <w:rsid w:val="00AA55B7"/>
    <w:rsid w:val="00AA60B9"/>
    <w:rsid w:val="00AA6A7B"/>
    <w:rsid w:val="00AA7E8F"/>
    <w:rsid w:val="00AA7F66"/>
    <w:rsid w:val="00AB15DB"/>
    <w:rsid w:val="00AB1A1B"/>
    <w:rsid w:val="00AB36AE"/>
    <w:rsid w:val="00AB3902"/>
    <w:rsid w:val="00AB4ED7"/>
    <w:rsid w:val="00AB53C6"/>
    <w:rsid w:val="00AB5A4F"/>
    <w:rsid w:val="00AB61DE"/>
    <w:rsid w:val="00AB6A0A"/>
    <w:rsid w:val="00AC003E"/>
    <w:rsid w:val="00AC0425"/>
    <w:rsid w:val="00AC0A57"/>
    <w:rsid w:val="00AC1297"/>
    <w:rsid w:val="00AC21D4"/>
    <w:rsid w:val="00AC3196"/>
    <w:rsid w:val="00AC31E2"/>
    <w:rsid w:val="00AC3999"/>
    <w:rsid w:val="00AC3B48"/>
    <w:rsid w:val="00AC4065"/>
    <w:rsid w:val="00AC4511"/>
    <w:rsid w:val="00AC5060"/>
    <w:rsid w:val="00AC5567"/>
    <w:rsid w:val="00AC5571"/>
    <w:rsid w:val="00AC64E0"/>
    <w:rsid w:val="00AC6DFF"/>
    <w:rsid w:val="00AC720D"/>
    <w:rsid w:val="00AC735B"/>
    <w:rsid w:val="00AC75E2"/>
    <w:rsid w:val="00AD025A"/>
    <w:rsid w:val="00AD0534"/>
    <w:rsid w:val="00AD1B18"/>
    <w:rsid w:val="00AD1C4B"/>
    <w:rsid w:val="00AD214B"/>
    <w:rsid w:val="00AD25D8"/>
    <w:rsid w:val="00AD30CB"/>
    <w:rsid w:val="00AD466B"/>
    <w:rsid w:val="00AD5046"/>
    <w:rsid w:val="00AD5A99"/>
    <w:rsid w:val="00AD60ED"/>
    <w:rsid w:val="00AD6F1F"/>
    <w:rsid w:val="00AD73A7"/>
    <w:rsid w:val="00AD76C9"/>
    <w:rsid w:val="00AD7A1B"/>
    <w:rsid w:val="00AD7C69"/>
    <w:rsid w:val="00AE1C6D"/>
    <w:rsid w:val="00AE1FDB"/>
    <w:rsid w:val="00AE2B66"/>
    <w:rsid w:val="00AE2BE9"/>
    <w:rsid w:val="00AE2D12"/>
    <w:rsid w:val="00AE2EDD"/>
    <w:rsid w:val="00AE2F90"/>
    <w:rsid w:val="00AE3958"/>
    <w:rsid w:val="00AE421D"/>
    <w:rsid w:val="00AE4C8C"/>
    <w:rsid w:val="00AE517C"/>
    <w:rsid w:val="00AE7D38"/>
    <w:rsid w:val="00AE7F20"/>
    <w:rsid w:val="00AF0493"/>
    <w:rsid w:val="00AF0A5F"/>
    <w:rsid w:val="00AF1090"/>
    <w:rsid w:val="00AF1165"/>
    <w:rsid w:val="00AF1AA5"/>
    <w:rsid w:val="00AF228C"/>
    <w:rsid w:val="00AF2759"/>
    <w:rsid w:val="00AF3801"/>
    <w:rsid w:val="00AF3B73"/>
    <w:rsid w:val="00AF3DE9"/>
    <w:rsid w:val="00AF5328"/>
    <w:rsid w:val="00AF610A"/>
    <w:rsid w:val="00AF6383"/>
    <w:rsid w:val="00AF6508"/>
    <w:rsid w:val="00AF657C"/>
    <w:rsid w:val="00AF6FC8"/>
    <w:rsid w:val="00B00037"/>
    <w:rsid w:val="00B001B5"/>
    <w:rsid w:val="00B00604"/>
    <w:rsid w:val="00B00FA9"/>
    <w:rsid w:val="00B01916"/>
    <w:rsid w:val="00B0191C"/>
    <w:rsid w:val="00B02607"/>
    <w:rsid w:val="00B02A03"/>
    <w:rsid w:val="00B02B98"/>
    <w:rsid w:val="00B02DAD"/>
    <w:rsid w:val="00B02EB1"/>
    <w:rsid w:val="00B03DD6"/>
    <w:rsid w:val="00B041EE"/>
    <w:rsid w:val="00B04773"/>
    <w:rsid w:val="00B05095"/>
    <w:rsid w:val="00B05953"/>
    <w:rsid w:val="00B05ACB"/>
    <w:rsid w:val="00B06676"/>
    <w:rsid w:val="00B06893"/>
    <w:rsid w:val="00B068C1"/>
    <w:rsid w:val="00B07261"/>
    <w:rsid w:val="00B072A0"/>
    <w:rsid w:val="00B07435"/>
    <w:rsid w:val="00B11691"/>
    <w:rsid w:val="00B11A7B"/>
    <w:rsid w:val="00B12633"/>
    <w:rsid w:val="00B12BC9"/>
    <w:rsid w:val="00B12C7C"/>
    <w:rsid w:val="00B12F6A"/>
    <w:rsid w:val="00B13213"/>
    <w:rsid w:val="00B13395"/>
    <w:rsid w:val="00B13943"/>
    <w:rsid w:val="00B13EDF"/>
    <w:rsid w:val="00B14191"/>
    <w:rsid w:val="00B141E8"/>
    <w:rsid w:val="00B1455C"/>
    <w:rsid w:val="00B145CC"/>
    <w:rsid w:val="00B152B1"/>
    <w:rsid w:val="00B16330"/>
    <w:rsid w:val="00B16B44"/>
    <w:rsid w:val="00B16D7D"/>
    <w:rsid w:val="00B178C8"/>
    <w:rsid w:val="00B17B75"/>
    <w:rsid w:val="00B17E03"/>
    <w:rsid w:val="00B206A4"/>
    <w:rsid w:val="00B20B0D"/>
    <w:rsid w:val="00B20B20"/>
    <w:rsid w:val="00B20EAB"/>
    <w:rsid w:val="00B210FE"/>
    <w:rsid w:val="00B211AB"/>
    <w:rsid w:val="00B214C6"/>
    <w:rsid w:val="00B21DAC"/>
    <w:rsid w:val="00B22207"/>
    <w:rsid w:val="00B22F0E"/>
    <w:rsid w:val="00B23D18"/>
    <w:rsid w:val="00B2562D"/>
    <w:rsid w:val="00B257F6"/>
    <w:rsid w:val="00B25918"/>
    <w:rsid w:val="00B25B31"/>
    <w:rsid w:val="00B261CC"/>
    <w:rsid w:val="00B26B6A"/>
    <w:rsid w:val="00B26DFD"/>
    <w:rsid w:val="00B2710F"/>
    <w:rsid w:val="00B27193"/>
    <w:rsid w:val="00B2739A"/>
    <w:rsid w:val="00B27488"/>
    <w:rsid w:val="00B2794D"/>
    <w:rsid w:val="00B307C4"/>
    <w:rsid w:val="00B30E8F"/>
    <w:rsid w:val="00B315D6"/>
    <w:rsid w:val="00B31C3F"/>
    <w:rsid w:val="00B31FC0"/>
    <w:rsid w:val="00B32760"/>
    <w:rsid w:val="00B33833"/>
    <w:rsid w:val="00B33F57"/>
    <w:rsid w:val="00B34E5B"/>
    <w:rsid w:val="00B3583B"/>
    <w:rsid w:val="00B36353"/>
    <w:rsid w:val="00B36A5D"/>
    <w:rsid w:val="00B36E59"/>
    <w:rsid w:val="00B373D5"/>
    <w:rsid w:val="00B37A8F"/>
    <w:rsid w:val="00B409B2"/>
    <w:rsid w:val="00B40C44"/>
    <w:rsid w:val="00B40F6D"/>
    <w:rsid w:val="00B40FD8"/>
    <w:rsid w:val="00B41430"/>
    <w:rsid w:val="00B4340F"/>
    <w:rsid w:val="00B4349F"/>
    <w:rsid w:val="00B43EE1"/>
    <w:rsid w:val="00B444B5"/>
    <w:rsid w:val="00B45666"/>
    <w:rsid w:val="00B45E80"/>
    <w:rsid w:val="00B4741B"/>
    <w:rsid w:val="00B50ED4"/>
    <w:rsid w:val="00B5155C"/>
    <w:rsid w:val="00B518A5"/>
    <w:rsid w:val="00B526B0"/>
    <w:rsid w:val="00B52782"/>
    <w:rsid w:val="00B52F30"/>
    <w:rsid w:val="00B53855"/>
    <w:rsid w:val="00B54316"/>
    <w:rsid w:val="00B543F9"/>
    <w:rsid w:val="00B546B0"/>
    <w:rsid w:val="00B55B04"/>
    <w:rsid w:val="00B5729A"/>
    <w:rsid w:val="00B572A1"/>
    <w:rsid w:val="00B60333"/>
    <w:rsid w:val="00B6070C"/>
    <w:rsid w:val="00B607FE"/>
    <w:rsid w:val="00B61436"/>
    <w:rsid w:val="00B61FD0"/>
    <w:rsid w:val="00B6276E"/>
    <w:rsid w:val="00B62DC5"/>
    <w:rsid w:val="00B630A4"/>
    <w:rsid w:val="00B63582"/>
    <w:rsid w:val="00B63A21"/>
    <w:rsid w:val="00B63D25"/>
    <w:rsid w:val="00B63DD9"/>
    <w:rsid w:val="00B64C7F"/>
    <w:rsid w:val="00B651F0"/>
    <w:rsid w:val="00B65347"/>
    <w:rsid w:val="00B654F5"/>
    <w:rsid w:val="00B6566B"/>
    <w:rsid w:val="00B65919"/>
    <w:rsid w:val="00B65DE1"/>
    <w:rsid w:val="00B66697"/>
    <w:rsid w:val="00B66797"/>
    <w:rsid w:val="00B66A2B"/>
    <w:rsid w:val="00B6739A"/>
    <w:rsid w:val="00B6762A"/>
    <w:rsid w:val="00B705AA"/>
    <w:rsid w:val="00B70A51"/>
    <w:rsid w:val="00B71077"/>
    <w:rsid w:val="00B715A3"/>
    <w:rsid w:val="00B71C14"/>
    <w:rsid w:val="00B72A41"/>
    <w:rsid w:val="00B72A64"/>
    <w:rsid w:val="00B72A7E"/>
    <w:rsid w:val="00B72AF0"/>
    <w:rsid w:val="00B72CFA"/>
    <w:rsid w:val="00B73575"/>
    <w:rsid w:val="00B737EB"/>
    <w:rsid w:val="00B73C98"/>
    <w:rsid w:val="00B7556A"/>
    <w:rsid w:val="00B7577B"/>
    <w:rsid w:val="00B75A87"/>
    <w:rsid w:val="00B75BA6"/>
    <w:rsid w:val="00B761E9"/>
    <w:rsid w:val="00B763E8"/>
    <w:rsid w:val="00B767C9"/>
    <w:rsid w:val="00B773BC"/>
    <w:rsid w:val="00B77503"/>
    <w:rsid w:val="00B775EE"/>
    <w:rsid w:val="00B77C73"/>
    <w:rsid w:val="00B804B2"/>
    <w:rsid w:val="00B80B35"/>
    <w:rsid w:val="00B80E35"/>
    <w:rsid w:val="00B812CA"/>
    <w:rsid w:val="00B82A45"/>
    <w:rsid w:val="00B84B98"/>
    <w:rsid w:val="00B85A41"/>
    <w:rsid w:val="00B85C1F"/>
    <w:rsid w:val="00B868BF"/>
    <w:rsid w:val="00B8781D"/>
    <w:rsid w:val="00B8787C"/>
    <w:rsid w:val="00B87927"/>
    <w:rsid w:val="00B87F7A"/>
    <w:rsid w:val="00B902CC"/>
    <w:rsid w:val="00B90ABE"/>
    <w:rsid w:val="00B91079"/>
    <w:rsid w:val="00B91EB5"/>
    <w:rsid w:val="00B921F1"/>
    <w:rsid w:val="00B92F66"/>
    <w:rsid w:val="00B93694"/>
    <w:rsid w:val="00B970F0"/>
    <w:rsid w:val="00B97383"/>
    <w:rsid w:val="00B973E9"/>
    <w:rsid w:val="00B9770E"/>
    <w:rsid w:val="00BA0779"/>
    <w:rsid w:val="00BA09CC"/>
    <w:rsid w:val="00BA1000"/>
    <w:rsid w:val="00BA1451"/>
    <w:rsid w:val="00BA21B3"/>
    <w:rsid w:val="00BA26DC"/>
    <w:rsid w:val="00BA38B9"/>
    <w:rsid w:val="00BA4258"/>
    <w:rsid w:val="00BA4CCC"/>
    <w:rsid w:val="00BA4F4F"/>
    <w:rsid w:val="00BA51A1"/>
    <w:rsid w:val="00BA5347"/>
    <w:rsid w:val="00BA57DF"/>
    <w:rsid w:val="00BA5F7F"/>
    <w:rsid w:val="00BA5FEA"/>
    <w:rsid w:val="00BA64B7"/>
    <w:rsid w:val="00BA7172"/>
    <w:rsid w:val="00BA776D"/>
    <w:rsid w:val="00BB00F3"/>
    <w:rsid w:val="00BB0350"/>
    <w:rsid w:val="00BB29EF"/>
    <w:rsid w:val="00BB2B74"/>
    <w:rsid w:val="00BB2D49"/>
    <w:rsid w:val="00BB4098"/>
    <w:rsid w:val="00BB40EC"/>
    <w:rsid w:val="00BB4DFD"/>
    <w:rsid w:val="00BB5714"/>
    <w:rsid w:val="00BB5E7F"/>
    <w:rsid w:val="00BB6301"/>
    <w:rsid w:val="00BB64BC"/>
    <w:rsid w:val="00BB6929"/>
    <w:rsid w:val="00BB6C00"/>
    <w:rsid w:val="00BB6D76"/>
    <w:rsid w:val="00BB7FCC"/>
    <w:rsid w:val="00BC0165"/>
    <w:rsid w:val="00BC193E"/>
    <w:rsid w:val="00BC3203"/>
    <w:rsid w:val="00BC3A40"/>
    <w:rsid w:val="00BC4668"/>
    <w:rsid w:val="00BC4736"/>
    <w:rsid w:val="00BC56A1"/>
    <w:rsid w:val="00BC5C25"/>
    <w:rsid w:val="00BC6281"/>
    <w:rsid w:val="00BC670D"/>
    <w:rsid w:val="00BC69EE"/>
    <w:rsid w:val="00BC6E69"/>
    <w:rsid w:val="00BC6F1C"/>
    <w:rsid w:val="00BC7A63"/>
    <w:rsid w:val="00BD0C0C"/>
    <w:rsid w:val="00BD1259"/>
    <w:rsid w:val="00BD16C3"/>
    <w:rsid w:val="00BD16EA"/>
    <w:rsid w:val="00BD1845"/>
    <w:rsid w:val="00BD18A0"/>
    <w:rsid w:val="00BD1A5C"/>
    <w:rsid w:val="00BD232A"/>
    <w:rsid w:val="00BD246D"/>
    <w:rsid w:val="00BD26AA"/>
    <w:rsid w:val="00BD27B1"/>
    <w:rsid w:val="00BD2B12"/>
    <w:rsid w:val="00BD2BF4"/>
    <w:rsid w:val="00BD2C42"/>
    <w:rsid w:val="00BD2E90"/>
    <w:rsid w:val="00BD40A5"/>
    <w:rsid w:val="00BD454F"/>
    <w:rsid w:val="00BD455B"/>
    <w:rsid w:val="00BD4F45"/>
    <w:rsid w:val="00BD4FAC"/>
    <w:rsid w:val="00BD58F3"/>
    <w:rsid w:val="00BD6D76"/>
    <w:rsid w:val="00BD6FF2"/>
    <w:rsid w:val="00BD76D9"/>
    <w:rsid w:val="00BD7F6D"/>
    <w:rsid w:val="00BE0DF9"/>
    <w:rsid w:val="00BE1225"/>
    <w:rsid w:val="00BE242F"/>
    <w:rsid w:val="00BE264C"/>
    <w:rsid w:val="00BE2A14"/>
    <w:rsid w:val="00BE5038"/>
    <w:rsid w:val="00BE59EC"/>
    <w:rsid w:val="00BE68C1"/>
    <w:rsid w:val="00BE70D7"/>
    <w:rsid w:val="00BE71CE"/>
    <w:rsid w:val="00BE766A"/>
    <w:rsid w:val="00BE7CBE"/>
    <w:rsid w:val="00BE7EA5"/>
    <w:rsid w:val="00BE7FB9"/>
    <w:rsid w:val="00BE7FE6"/>
    <w:rsid w:val="00BF0580"/>
    <w:rsid w:val="00BF05B8"/>
    <w:rsid w:val="00BF0B40"/>
    <w:rsid w:val="00BF1156"/>
    <w:rsid w:val="00BF195B"/>
    <w:rsid w:val="00BF1F1E"/>
    <w:rsid w:val="00BF2336"/>
    <w:rsid w:val="00BF23DA"/>
    <w:rsid w:val="00BF283A"/>
    <w:rsid w:val="00BF3605"/>
    <w:rsid w:val="00BF4A73"/>
    <w:rsid w:val="00BF4CC5"/>
    <w:rsid w:val="00BF519E"/>
    <w:rsid w:val="00BF626D"/>
    <w:rsid w:val="00BF69E9"/>
    <w:rsid w:val="00BF6B2C"/>
    <w:rsid w:val="00BF7A69"/>
    <w:rsid w:val="00C01DCC"/>
    <w:rsid w:val="00C02514"/>
    <w:rsid w:val="00C029D3"/>
    <w:rsid w:val="00C02B31"/>
    <w:rsid w:val="00C03309"/>
    <w:rsid w:val="00C03ACD"/>
    <w:rsid w:val="00C0428F"/>
    <w:rsid w:val="00C04400"/>
    <w:rsid w:val="00C04659"/>
    <w:rsid w:val="00C04AF9"/>
    <w:rsid w:val="00C05B02"/>
    <w:rsid w:val="00C05E7B"/>
    <w:rsid w:val="00C065A1"/>
    <w:rsid w:val="00C07ACA"/>
    <w:rsid w:val="00C07E08"/>
    <w:rsid w:val="00C10677"/>
    <w:rsid w:val="00C10AB2"/>
    <w:rsid w:val="00C13471"/>
    <w:rsid w:val="00C13BAC"/>
    <w:rsid w:val="00C13C2D"/>
    <w:rsid w:val="00C142B3"/>
    <w:rsid w:val="00C152BF"/>
    <w:rsid w:val="00C15737"/>
    <w:rsid w:val="00C163BF"/>
    <w:rsid w:val="00C16B66"/>
    <w:rsid w:val="00C16BC8"/>
    <w:rsid w:val="00C1765B"/>
    <w:rsid w:val="00C202B3"/>
    <w:rsid w:val="00C20829"/>
    <w:rsid w:val="00C2199E"/>
    <w:rsid w:val="00C21EE0"/>
    <w:rsid w:val="00C2213B"/>
    <w:rsid w:val="00C223C9"/>
    <w:rsid w:val="00C2284F"/>
    <w:rsid w:val="00C239BF"/>
    <w:rsid w:val="00C23D08"/>
    <w:rsid w:val="00C23D59"/>
    <w:rsid w:val="00C24154"/>
    <w:rsid w:val="00C243D0"/>
    <w:rsid w:val="00C24990"/>
    <w:rsid w:val="00C2508F"/>
    <w:rsid w:val="00C25583"/>
    <w:rsid w:val="00C257FD"/>
    <w:rsid w:val="00C25908"/>
    <w:rsid w:val="00C25AFC"/>
    <w:rsid w:val="00C2695F"/>
    <w:rsid w:val="00C269B6"/>
    <w:rsid w:val="00C26BCC"/>
    <w:rsid w:val="00C30297"/>
    <w:rsid w:val="00C30E3D"/>
    <w:rsid w:val="00C30FE6"/>
    <w:rsid w:val="00C31539"/>
    <w:rsid w:val="00C3172D"/>
    <w:rsid w:val="00C319A0"/>
    <w:rsid w:val="00C32AF3"/>
    <w:rsid w:val="00C32B8D"/>
    <w:rsid w:val="00C32BB3"/>
    <w:rsid w:val="00C338B5"/>
    <w:rsid w:val="00C342A0"/>
    <w:rsid w:val="00C36400"/>
    <w:rsid w:val="00C36D31"/>
    <w:rsid w:val="00C372F5"/>
    <w:rsid w:val="00C373CF"/>
    <w:rsid w:val="00C3741C"/>
    <w:rsid w:val="00C40691"/>
    <w:rsid w:val="00C425FD"/>
    <w:rsid w:val="00C425FE"/>
    <w:rsid w:val="00C434E0"/>
    <w:rsid w:val="00C4393A"/>
    <w:rsid w:val="00C449AB"/>
    <w:rsid w:val="00C450B8"/>
    <w:rsid w:val="00C45DBA"/>
    <w:rsid w:val="00C4605E"/>
    <w:rsid w:val="00C46ECF"/>
    <w:rsid w:val="00C48634"/>
    <w:rsid w:val="00C50727"/>
    <w:rsid w:val="00C50B48"/>
    <w:rsid w:val="00C50C6C"/>
    <w:rsid w:val="00C515FA"/>
    <w:rsid w:val="00C5258F"/>
    <w:rsid w:val="00C52B4C"/>
    <w:rsid w:val="00C5317F"/>
    <w:rsid w:val="00C544BD"/>
    <w:rsid w:val="00C54EC5"/>
    <w:rsid w:val="00C555AC"/>
    <w:rsid w:val="00C55B22"/>
    <w:rsid w:val="00C56669"/>
    <w:rsid w:val="00C56ABC"/>
    <w:rsid w:val="00C56E63"/>
    <w:rsid w:val="00C56FD2"/>
    <w:rsid w:val="00C574D6"/>
    <w:rsid w:val="00C5752B"/>
    <w:rsid w:val="00C60034"/>
    <w:rsid w:val="00C6117F"/>
    <w:rsid w:val="00C615DD"/>
    <w:rsid w:val="00C61689"/>
    <w:rsid w:val="00C61AA8"/>
    <w:rsid w:val="00C61B54"/>
    <w:rsid w:val="00C61D76"/>
    <w:rsid w:val="00C633B2"/>
    <w:rsid w:val="00C63723"/>
    <w:rsid w:val="00C64379"/>
    <w:rsid w:val="00C64677"/>
    <w:rsid w:val="00C64C15"/>
    <w:rsid w:val="00C659F9"/>
    <w:rsid w:val="00C67175"/>
    <w:rsid w:val="00C675E7"/>
    <w:rsid w:val="00C703DE"/>
    <w:rsid w:val="00C70BBD"/>
    <w:rsid w:val="00C7102D"/>
    <w:rsid w:val="00C711F3"/>
    <w:rsid w:val="00C71245"/>
    <w:rsid w:val="00C713ED"/>
    <w:rsid w:val="00C72318"/>
    <w:rsid w:val="00C724E6"/>
    <w:rsid w:val="00C73503"/>
    <w:rsid w:val="00C736CB"/>
    <w:rsid w:val="00C7393F"/>
    <w:rsid w:val="00C747A5"/>
    <w:rsid w:val="00C74C10"/>
    <w:rsid w:val="00C75ADB"/>
    <w:rsid w:val="00C764F2"/>
    <w:rsid w:val="00C768DC"/>
    <w:rsid w:val="00C76FB9"/>
    <w:rsid w:val="00C805E9"/>
    <w:rsid w:val="00C80618"/>
    <w:rsid w:val="00C817F0"/>
    <w:rsid w:val="00C81BEB"/>
    <w:rsid w:val="00C81D85"/>
    <w:rsid w:val="00C83937"/>
    <w:rsid w:val="00C83BF7"/>
    <w:rsid w:val="00C84653"/>
    <w:rsid w:val="00C84CED"/>
    <w:rsid w:val="00C84CF6"/>
    <w:rsid w:val="00C85314"/>
    <w:rsid w:val="00C861C2"/>
    <w:rsid w:val="00C86280"/>
    <w:rsid w:val="00C86C8A"/>
    <w:rsid w:val="00C874BA"/>
    <w:rsid w:val="00C878A4"/>
    <w:rsid w:val="00C87FA2"/>
    <w:rsid w:val="00C91255"/>
    <w:rsid w:val="00C9214A"/>
    <w:rsid w:val="00C9253B"/>
    <w:rsid w:val="00C929FF"/>
    <w:rsid w:val="00C92CB3"/>
    <w:rsid w:val="00C936DE"/>
    <w:rsid w:val="00C9437D"/>
    <w:rsid w:val="00C953B5"/>
    <w:rsid w:val="00C95402"/>
    <w:rsid w:val="00C95F04"/>
    <w:rsid w:val="00C964E0"/>
    <w:rsid w:val="00C97369"/>
    <w:rsid w:val="00CA0116"/>
    <w:rsid w:val="00CA0887"/>
    <w:rsid w:val="00CA0E72"/>
    <w:rsid w:val="00CA10A3"/>
    <w:rsid w:val="00CA1736"/>
    <w:rsid w:val="00CA176F"/>
    <w:rsid w:val="00CA19C7"/>
    <w:rsid w:val="00CA1BDA"/>
    <w:rsid w:val="00CA2DFD"/>
    <w:rsid w:val="00CA3F3B"/>
    <w:rsid w:val="00CA4BC0"/>
    <w:rsid w:val="00CA57F6"/>
    <w:rsid w:val="00CA5CA8"/>
    <w:rsid w:val="00CA5D5C"/>
    <w:rsid w:val="00CA6441"/>
    <w:rsid w:val="00CA67E7"/>
    <w:rsid w:val="00CA701D"/>
    <w:rsid w:val="00CA7557"/>
    <w:rsid w:val="00CA7773"/>
    <w:rsid w:val="00CA7C91"/>
    <w:rsid w:val="00CB0157"/>
    <w:rsid w:val="00CB039C"/>
    <w:rsid w:val="00CB0F3A"/>
    <w:rsid w:val="00CB1374"/>
    <w:rsid w:val="00CB2059"/>
    <w:rsid w:val="00CB28E9"/>
    <w:rsid w:val="00CB356E"/>
    <w:rsid w:val="00CB37BD"/>
    <w:rsid w:val="00CB3D02"/>
    <w:rsid w:val="00CB3D30"/>
    <w:rsid w:val="00CB4889"/>
    <w:rsid w:val="00CB4C44"/>
    <w:rsid w:val="00CB4D04"/>
    <w:rsid w:val="00CB4D7E"/>
    <w:rsid w:val="00CB5205"/>
    <w:rsid w:val="00CB5547"/>
    <w:rsid w:val="00CB58DE"/>
    <w:rsid w:val="00CB5E36"/>
    <w:rsid w:val="00CB6025"/>
    <w:rsid w:val="00CB71FA"/>
    <w:rsid w:val="00CB7BAE"/>
    <w:rsid w:val="00CC07DB"/>
    <w:rsid w:val="00CC16E5"/>
    <w:rsid w:val="00CC1BAA"/>
    <w:rsid w:val="00CC2178"/>
    <w:rsid w:val="00CC32FA"/>
    <w:rsid w:val="00CC3422"/>
    <w:rsid w:val="00CC38AC"/>
    <w:rsid w:val="00CC3FEE"/>
    <w:rsid w:val="00CC436E"/>
    <w:rsid w:val="00CC4394"/>
    <w:rsid w:val="00CC4577"/>
    <w:rsid w:val="00CC4B28"/>
    <w:rsid w:val="00CC4B3D"/>
    <w:rsid w:val="00CC4C35"/>
    <w:rsid w:val="00CC4FE7"/>
    <w:rsid w:val="00CC53DD"/>
    <w:rsid w:val="00CC5508"/>
    <w:rsid w:val="00CC559D"/>
    <w:rsid w:val="00CC5E70"/>
    <w:rsid w:val="00CC61BE"/>
    <w:rsid w:val="00CC62D2"/>
    <w:rsid w:val="00CD074E"/>
    <w:rsid w:val="00CD0C13"/>
    <w:rsid w:val="00CD2441"/>
    <w:rsid w:val="00CD4683"/>
    <w:rsid w:val="00CD4D4F"/>
    <w:rsid w:val="00CD5181"/>
    <w:rsid w:val="00CD57B0"/>
    <w:rsid w:val="00CD5FB2"/>
    <w:rsid w:val="00CD654B"/>
    <w:rsid w:val="00CD6FDF"/>
    <w:rsid w:val="00CD758C"/>
    <w:rsid w:val="00CE0661"/>
    <w:rsid w:val="00CE1530"/>
    <w:rsid w:val="00CE1F0A"/>
    <w:rsid w:val="00CE223E"/>
    <w:rsid w:val="00CE2436"/>
    <w:rsid w:val="00CE2A42"/>
    <w:rsid w:val="00CE36DE"/>
    <w:rsid w:val="00CE37A7"/>
    <w:rsid w:val="00CE4555"/>
    <w:rsid w:val="00CE4FE2"/>
    <w:rsid w:val="00CE5F89"/>
    <w:rsid w:val="00CE7DB6"/>
    <w:rsid w:val="00CF0C9B"/>
    <w:rsid w:val="00CF180C"/>
    <w:rsid w:val="00CF25D8"/>
    <w:rsid w:val="00CF3F0D"/>
    <w:rsid w:val="00CF4855"/>
    <w:rsid w:val="00CF4CB0"/>
    <w:rsid w:val="00CF4FF1"/>
    <w:rsid w:val="00CF502E"/>
    <w:rsid w:val="00CF52E5"/>
    <w:rsid w:val="00CF5D08"/>
    <w:rsid w:val="00CF7585"/>
    <w:rsid w:val="00CF75AB"/>
    <w:rsid w:val="00CF79F3"/>
    <w:rsid w:val="00D015AF"/>
    <w:rsid w:val="00D01C27"/>
    <w:rsid w:val="00D01C54"/>
    <w:rsid w:val="00D0205C"/>
    <w:rsid w:val="00D032C3"/>
    <w:rsid w:val="00D0397D"/>
    <w:rsid w:val="00D03F5F"/>
    <w:rsid w:val="00D04471"/>
    <w:rsid w:val="00D05108"/>
    <w:rsid w:val="00D0663B"/>
    <w:rsid w:val="00D06697"/>
    <w:rsid w:val="00D06A21"/>
    <w:rsid w:val="00D077C4"/>
    <w:rsid w:val="00D07C22"/>
    <w:rsid w:val="00D101F7"/>
    <w:rsid w:val="00D106C6"/>
    <w:rsid w:val="00D10938"/>
    <w:rsid w:val="00D10B1F"/>
    <w:rsid w:val="00D10EFA"/>
    <w:rsid w:val="00D12FDF"/>
    <w:rsid w:val="00D130F1"/>
    <w:rsid w:val="00D145F5"/>
    <w:rsid w:val="00D14AAA"/>
    <w:rsid w:val="00D1539D"/>
    <w:rsid w:val="00D15D78"/>
    <w:rsid w:val="00D15F13"/>
    <w:rsid w:val="00D1677A"/>
    <w:rsid w:val="00D16AF5"/>
    <w:rsid w:val="00D16B5F"/>
    <w:rsid w:val="00D17580"/>
    <w:rsid w:val="00D20110"/>
    <w:rsid w:val="00D20616"/>
    <w:rsid w:val="00D20893"/>
    <w:rsid w:val="00D20BA5"/>
    <w:rsid w:val="00D21229"/>
    <w:rsid w:val="00D21F32"/>
    <w:rsid w:val="00D22509"/>
    <w:rsid w:val="00D22C29"/>
    <w:rsid w:val="00D22E7D"/>
    <w:rsid w:val="00D23C48"/>
    <w:rsid w:val="00D24EF8"/>
    <w:rsid w:val="00D25381"/>
    <w:rsid w:val="00D2556E"/>
    <w:rsid w:val="00D25DDE"/>
    <w:rsid w:val="00D26404"/>
    <w:rsid w:val="00D26FC6"/>
    <w:rsid w:val="00D27ADF"/>
    <w:rsid w:val="00D301BA"/>
    <w:rsid w:val="00D316A1"/>
    <w:rsid w:val="00D323BE"/>
    <w:rsid w:val="00D329F1"/>
    <w:rsid w:val="00D33009"/>
    <w:rsid w:val="00D33950"/>
    <w:rsid w:val="00D3406D"/>
    <w:rsid w:val="00D34F91"/>
    <w:rsid w:val="00D3516C"/>
    <w:rsid w:val="00D35263"/>
    <w:rsid w:val="00D355F0"/>
    <w:rsid w:val="00D35DB2"/>
    <w:rsid w:val="00D361DA"/>
    <w:rsid w:val="00D36301"/>
    <w:rsid w:val="00D37E6C"/>
    <w:rsid w:val="00D402FE"/>
    <w:rsid w:val="00D405E5"/>
    <w:rsid w:val="00D409D4"/>
    <w:rsid w:val="00D40ABE"/>
    <w:rsid w:val="00D42A54"/>
    <w:rsid w:val="00D4357A"/>
    <w:rsid w:val="00D4377C"/>
    <w:rsid w:val="00D43A10"/>
    <w:rsid w:val="00D43AC8"/>
    <w:rsid w:val="00D44439"/>
    <w:rsid w:val="00D455F0"/>
    <w:rsid w:val="00D45A93"/>
    <w:rsid w:val="00D46196"/>
    <w:rsid w:val="00D50508"/>
    <w:rsid w:val="00D50879"/>
    <w:rsid w:val="00D50EAB"/>
    <w:rsid w:val="00D510D7"/>
    <w:rsid w:val="00D51610"/>
    <w:rsid w:val="00D519BC"/>
    <w:rsid w:val="00D52888"/>
    <w:rsid w:val="00D53152"/>
    <w:rsid w:val="00D54986"/>
    <w:rsid w:val="00D54E8F"/>
    <w:rsid w:val="00D559DE"/>
    <w:rsid w:val="00D55D74"/>
    <w:rsid w:val="00D55EF6"/>
    <w:rsid w:val="00D56062"/>
    <w:rsid w:val="00D56113"/>
    <w:rsid w:val="00D56222"/>
    <w:rsid w:val="00D57BD3"/>
    <w:rsid w:val="00D609D4"/>
    <w:rsid w:val="00D60F73"/>
    <w:rsid w:val="00D61337"/>
    <w:rsid w:val="00D61E6F"/>
    <w:rsid w:val="00D62048"/>
    <w:rsid w:val="00D62363"/>
    <w:rsid w:val="00D626BF"/>
    <w:rsid w:val="00D62B4D"/>
    <w:rsid w:val="00D631AA"/>
    <w:rsid w:val="00D6339A"/>
    <w:rsid w:val="00D63E16"/>
    <w:rsid w:val="00D643F4"/>
    <w:rsid w:val="00D65115"/>
    <w:rsid w:val="00D66BD0"/>
    <w:rsid w:val="00D67513"/>
    <w:rsid w:val="00D67AA8"/>
    <w:rsid w:val="00D701C3"/>
    <w:rsid w:val="00D7140C"/>
    <w:rsid w:val="00D71ABB"/>
    <w:rsid w:val="00D744FD"/>
    <w:rsid w:val="00D745D2"/>
    <w:rsid w:val="00D74663"/>
    <w:rsid w:val="00D7493D"/>
    <w:rsid w:val="00D74D6E"/>
    <w:rsid w:val="00D74F8C"/>
    <w:rsid w:val="00D75AEF"/>
    <w:rsid w:val="00D75DDB"/>
    <w:rsid w:val="00D76B69"/>
    <w:rsid w:val="00D7743D"/>
    <w:rsid w:val="00D77C68"/>
    <w:rsid w:val="00D77F5D"/>
    <w:rsid w:val="00D80A83"/>
    <w:rsid w:val="00D81131"/>
    <w:rsid w:val="00D81A10"/>
    <w:rsid w:val="00D824A6"/>
    <w:rsid w:val="00D8251B"/>
    <w:rsid w:val="00D833D9"/>
    <w:rsid w:val="00D8342C"/>
    <w:rsid w:val="00D83B29"/>
    <w:rsid w:val="00D83BD9"/>
    <w:rsid w:val="00D83FAA"/>
    <w:rsid w:val="00D841E1"/>
    <w:rsid w:val="00D84920"/>
    <w:rsid w:val="00D84B34"/>
    <w:rsid w:val="00D84D07"/>
    <w:rsid w:val="00D84F8D"/>
    <w:rsid w:val="00D8564A"/>
    <w:rsid w:val="00D8613B"/>
    <w:rsid w:val="00D86C94"/>
    <w:rsid w:val="00D86F89"/>
    <w:rsid w:val="00D902E2"/>
    <w:rsid w:val="00D90564"/>
    <w:rsid w:val="00D90F55"/>
    <w:rsid w:val="00D9191D"/>
    <w:rsid w:val="00D9218D"/>
    <w:rsid w:val="00D92201"/>
    <w:rsid w:val="00D923EA"/>
    <w:rsid w:val="00D939E1"/>
    <w:rsid w:val="00D9402F"/>
    <w:rsid w:val="00D94DCF"/>
    <w:rsid w:val="00D94EAE"/>
    <w:rsid w:val="00D96BDC"/>
    <w:rsid w:val="00D97631"/>
    <w:rsid w:val="00DA042C"/>
    <w:rsid w:val="00DA1C0B"/>
    <w:rsid w:val="00DA3FEA"/>
    <w:rsid w:val="00DA586F"/>
    <w:rsid w:val="00DA5ACD"/>
    <w:rsid w:val="00DA5E6A"/>
    <w:rsid w:val="00DA6495"/>
    <w:rsid w:val="00DA77AB"/>
    <w:rsid w:val="00DA77E2"/>
    <w:rsid w:val="00DA7909"/>
    <w:rsid w:val="00DB023B"/>
    <w:rsid w:val="00DB08DA"/>
    <w:rsid w:val="00DB0AE9"/>
    <w:rsid w:val="00DB0EB5"/>
    <w:rsid w:val="00DB1C15"/>
    <w:rsid w:val="00DB29D7"/>
    <w:rsid w:val="00DB2BA8"/>
    <w:rsid w:val="00DB32D9"/>
    <w:rsid w:val="00DB3D2E"/>
    <w:rsid w:val="00DB53D8"/>
    <w:rsid w:val="00DB5FDF"/>
    <w:rsid w:val="00DB6008"/>
    <w:rsid w:val="00DB6050"/>
    <w:rsid w:val="00DB6379"/>
    <w:rsid w:val="00DB6A7B"/>
    <w:rsid w:val="00DB74E3"/>
    <w:rsid w:val="00DB7852"/>
    <w:rsid w:val="00DB7F09"/>
    <w:rsid w:val="00DC00E8"/>
    <w:rsid w:val="00DC0A1A"/>
    <w:rsid w:val="00DC0B36"/>
    <w:rsid w:val="00DC0B9F"/>
    <w:rsid w:val="00DC0FBE"/>
    <w:rsid w:val="00DC1641"/>
    <w:rsid w:val="00DC175E"/>
    <w:rsid w:val="00DC1C56"/>
    <w:rsid w:val="00DC2491"/>
    <w:rsid w:val="00DC256C"/>
    <w:rsid w:val="00DC2E2E"/>
    <w:rsid w:val="00DC3127"/>
    <w:rsid w:val="00DC3BBD"/>
    <w:rsid w:val="00DC4756"/>
    <w:rsid w:val="00DC4AC9"/>
    <w:rsid w:val="00DC5456"/>
    <w:rsid w:val="00DC57E3"/>
    <w:rsid w:val="00DC6379"/>
    <w:rsid w:val="00DC6A0F"/>
    <w:rsid w:val="00DC6AAD"/>
    <w:rsid w:val="00DC70FF"/>
    <w:rsid w:val="00DC7448"/>
    <w:rsid w:val="00DC7FB2"/>
    <w:rsid w:val="00DD176A"/>
    <w:rsid w:val="00DD1EE8"/>
    <w:rsid w:val="00DD21CD"/>
    <w:rsid w:val="00DD2C08"/>
    <w:rsid w:val="00DD2E7F"/>
    <w:rsid w:val="00DD32CB"/>
    <w:rsid w:val="00DD401C"/>
    <w:rsid w:val="00DD4273"/>
    <w:rsid w:val="00DD447C"/>
    <w:rsid w:val="00DD4A18"/>
    <w:rsid w:val="00DD59B5"/>
    <w:rsid w:val="00DD638C"/>
    <w:rsid w:val="00DD69DB"/>
    <w:rsid w:val="00DE0CDF"/>
    <w:rsid w:val="00DE0E8D"/>
    <w:rsid w:val="00DE1D94"/>
    <w:rsid w:val="00DE2763"/>
    <w:rsid w:val="00DE2847"/>
    <w:rsid w:val="00DE2981"/>
    <w:rsid w:val="00DE2B8F"/>
    <w:rsid w:val="00DE326F"/>
    <w:rsid w:val="00DE3606"/>
    <w:rsid w:val="00DE3A53"/>
    <w:rsid w:val="00DE3C77"/>
    <w:rsid w:val="00DE4F81"/>
    <w:rsid w:val="00DE56AE"/>
    <w:rsid w:val="00DE706E"/>
    <w:rsid w:val="00DE70F1"/>
    <w:rsid w:val="00DE75D1"/>
    <w:rsid w:val="00DF0262"/>
    <w:rsid w:val="00DF0558"/>
    <w:rsid w:val="00DF08E2"/>
    <w:rsid w:val="00DF0A0C"/>
    <w:rsid w:val="00DF1C46"/>
    <w:rsid w:val="00DF1F06"/>
    <w:rsid w:val="00DF2012"/>
    <w:rsid w:val="00DF418D"/>
    <w:rsid w:val="00DF4F9A"/>
    <w:rsid w:val="00DF4FD7"/>
    <w:rsid w:val="00DF5BC3"/>
    <w:rsid w:val="00DF6F61"/>
    <w:rsid w:val="00E0007C"/>
    <w:rsid w:val="00E00515"/>
    <w:rsid w:val="00E00BEF"/>
    <w:rsid w:val="00E010EF"/>
    <w:rsid w:val="00E013AF"/>
    <w:rsid w:val="00E01744"/>
    <w:rsid w:val="00E01FFB"/>
    <w:rsid w:val="00E02EBC"/>
    <w:rsid w:val="00E0375D"/>
    <w:rsid w:val="00E038F9"/>
    <w:rsid w:val="00E03C56"/>
    <w:rsid w:val="00E045D7"/>
    <w:rsid w:val="00E04AED"/>
    <w:rsid w:val="00E052D1"/>
    <w:rsid w:val="00E05E06"/>
    <w:rsid w:val="00E07A85"/>
    <w:rsid w:val="00E07B00"/>
    <w:rsid w:val="00E07E38"/>
    <w:rsid w:val="00E101C6"/>
    <w:rsid w:val="00E1149A"/>
    <w:rsid w:val="00E1274B"/>
    <w:rsid w:val="00E12E9D"/>
    <w:rsid w:val="00E14650"/>
    <w:rsid w:val="00E14767"/>
    <w:rsid w:val="00E16179"/>
    <w:rsid w:val="00E16DFC"/>
    <w:rsid w:val="00E17B30"/>
    <w:rsid w:val="00E17BA9"/>
    <w:rsid w:val="00E207AA"/>
    <w:rsid w:val="00E20E66"/>
    <w:rsid w:val="00E220F2"/>
    <w:rsid w:val="00E22594"/>
    <w:rsid w:val="00E22D51"/>
    <w:rsid w:val="00E233C9"/>
    <w:rsid w:val="00E24A35"/>
    <w:rsid w:val="00E2552E"/>
    <w:rsid w:val="00E25F4F"/>
    <w:rsid w:val="00E26980"/>
    <w:rsid w:val="00E26E9B"/>
    <w:rsid w:val="00E272F0"/>
    <w:rsid w:val="00E31A66"/>
    <w:rsid w:val="00E31F63"/>
    <w:rsid w:val="00E32FA9"/>
    <w:rsid w:val="00E3348E"/>
    <w:rsid w:val="00E345FE"/>
    <w:rsid w:val="00E348AC"/>
    <w:rsid w:val="00E349A7"/>
    <w:rsid w:val="00E350DC"/>
    <w:rsid w:val="00E3561C"/>
    <w:rsid w:val="00E35ADB"/>
    <w:rsid w:val="00E36BED"/>
    <w:rsid w:val="00E370B0"/>
    <w:rsid w:val="00E41AC0"/>
    <w:rsid w:val="00E41F84"/>
    <w:rsid w:val="00E42072"/>
    <w:rsid w:val="00E42C88"/>
    <w:rsid w:val="00E4337F"/>
    <w:rsid w:val="00E433BA"/>
    <w:rsid w:val="00E43610"/>
    <w:rsid w:val="00E43909"/>
    <w:rsid w:val="00E44154"/>
    <w:rsid w:val="00E444EA"/>
    <w:rsid w:val="00E44DA5"/>
    <w:rsid w:val="00E4500F"/>
    <w:rsid w:val="00E4599E"/>
    <w:rsid w:val="00E46F0F"/>
    <w:rsid w:val="00E47E48"/>
    <w:rsid w:val="00E50E7C"/>
    <w:rsid w:val="00E5122D"/>
    <w:rsid w:val="00E51545"/>
    <w:rsid w:val="00E51A5B"/>
    <w:rsid w:val="00E51B90"/>
    <w:rsid w:val="00E51D9E"/>
    <w:rsid w:val="00E524DF"/>
    <w:rsid w:val="00E52A6E"/>
    <w:rsid w:val="00E52C22"/>
    <w:rsid w:val="00E537D1"/>
    <w:rsid w:val="00E537F2"/>
    <w:rsid w:val="00E54948"/>
    <w:rsid w:val="00E55741"/>
    <w:rsid w:val="00E55E1F"/>
    <w:rsid w:val="00E5665B"/>
    <w:rsid w:val="00E567E6"/>
    <w:rsid w:val="00E56971"/>
    <w:rsid w:val="00E57F3D"/>
    <w:rsid w:val="00E601CE"/>
    <w:rsid w:val="00E602C0"/>
    <w:rsid w:val="00E60ECE"/>
    <w:rsid w:val="00E61484"/>
    <w:rsid w:val="00E6176A"/>
    <w:rsid w:val="00E61B92"/>
    <w:rsid w:val="00E62730"/>
    <w:rsid w:val="00E62F62"/>
    <w:rsid w:val="00E63700"/>
    <w:rsid w:val="00E63863"/>
    <w:rsid w:val="00E64309"/>
    <w:rsid w:val="00E64956"/>
    <w:rsid w:val="00E66FF4"/>
    <w:rsid w:val="00E7017C"/>
    <w:rsid w:val="00E70E3D"/>
    <w:rsid w:val="00E711D7"/>
    <w:rsid w:val="00E72127"/>
    <w:rsid w:val="00E72759"/>
    <w:rsid w:val="00E72909"/>
    <w:rsid w:val="00E72BC4"/>
    <w:rsid w:val="00E72D33"/>
    <w:rsid w:val="00E72D84"/>
    <w:rsid w:val="00E72EF0"/>
    <w:rsid w:val="00E744C4"/>
    <w:rsid w:val="00E7499D"/>
    <w:rsid w:val="00E75C66"/>
    <w:rsid w:val="00E75D8E"/>
    <w:rsid w:val="00E76498"/>
    <w:rsid w:val="00E769F5"/>
    <w:rsid w:val="00E76FFB"/>
    <w:rsid w:val="00E77F1C"/>
    <w:rsid w:val="00E8034A"/>
    <w:rsid w:val="00E81184"/>
    <w:rsid w:val="00E8133D"/>
    <w:rsid w:val="00E815E1"/>
    <w:rsid w:val="00E83847"/>
    <w:rsid w:val="00E84561"/>
    <w:rsid w:val="00E84741"/>
    <w:rsid w:val="00E849F5"/>
    <w:rsid w:val="00E865DD"/>
    <w:rsid w:val="00E86FA6"/>
    <w:rsid w:val="00E871DB"/>
    <w:rsid w:val="00E87A28"/>
    <w:rsid w:val="00E90213"/>
    <w:rsid w:val="00E902B0"/>
    <w:rsid w:val="00E902E8"/>
    <w:rsid w:val="00E90DD5"/>
    <w:rsid w:val="00E90E2D"/>
    <w:rsid w:val="00E91136"/>
    <w:rsid w:val="00E9296B"/>
    <w:rsid w:val="00E92A50"/>
    <w:rsid w:val="00E92E1F"/>
    <w:rsid w:val="00E9472D"/>
    <w:rsid w:val="00E94C23"/>
    <w:rsid w:val="00E954B9"/>
    <w:rsid w:val="00E954D8"/>
    <w:rsid w:val="00E95AE7"/>
    <w:rsid w:val="00E96FCC"/>
    <w:rsid w:val="00E9713E"/>
    <w:rsid w:val="00E97200"/>
    <w:rsid w:val="00E97887"/>
    <w:rsid w:val="00E979C7"/>
    <w:rsid w:val="00E97C19"/>
    <w:rsid w:val="00EA23AC"/>
    <w:rsid w:val="00EA398F"/>
    <w:rsid w:val="00EA4A5C"/>
    <w:rsid w:val="00EA511A"/>
    <w:rsid w:val="00EA5861"/>
    <w:rsid w:val="00EA6F28"/>
    <w:rsid w:val="00EA737E"/>
    <w:rsid w:val="00EA74FE"/>
    <w:rsid w:val="00EA7C3D"/>
    <w:rsid w:val="00EB015A"/>
    <w:rsid w:val="00EB0340"/>
    <w:rsid w:val="00EB0751"/>
    <w:rsid w:val="00EB12F5"/>
    <w:rsid w:val="00EB13DE"/>
    <w:rsid w:val="00EB29EC"/>
    <w:rsid w:val="00EB2BE3"/>
    <w:rsid w:val="00EB4B0B"/>
    <w:rsid w:val="00EB5084"/>
    <w:rsid w:val="00EB6878"/>
    <w:rsid w:val="00EB6AC8"/>
    <w:rsid w:val="00EB6F24"/>
    <w:rsid w:val="00EB7216"/>
    <w:rsid w:val="00EB73B4"/>
    <w:rsid w:val="00EC00E3"/>
    <w:rsid w:val="00EC01E9"/>
    <w:rsid w:val="00EC09C1"/>
    <w:rsid w:val="00EC1E0E"/>
    <w:rsid w:val="00EC236D"/>
    <w:rsid w:val="00EC2AC8"/>
    <w:rsid w:val="00EC2D3B"/>
    <w:rsid w:val="00EC421A"/>
    <w:rsid w:val="00EC44D3"/>
    <w:rsid w:val="00EC4A58"/>
    <w:rsid w:val="00EC4D1C"/>
    <w:rsid w:val="00EC5F72"/>
    <w:rsid w:val="00EC6B16"/>
    <w:rsid w:val="00EC7821"/>
    <w:rsid w:val="00EC7AC9"/>
    <w:rsid w:val="00ED0089"/>
    <w:rsid w:val="00ED0591"/>
    <w:rsid w:val="00ED061C"/>
    <w:rsid w:val="00ED0FC7"/>
    <w:rsid w:val="00ED19AE"/>
    <w:rsid w:val="00ED252A"/>
    <w:rsid w:val="00ED39C6"/>
    <w:rsid w:val="00ED4660"/>
    <w:rsid w:val="00ED52BF"/>
    <w:rsid w:val="00ED56E8"/>
    <w:rsid w:val="00ED5928"/>
    <w:rsid w:val="00ED5A20"/>
    <w:rsid w:val="00ED5B74"/>
    <w:rsid w:val="00ED5CFB"/>
    <w:rsid w:val="00ED6048"/>
    <w:rsid w:val="00ED60B6"/>
    <w:rsid w:val="00ED6A17"/>
    <w:rsid w:val="00ED6A1D"/>
    <w:rsid w:val="00ED6DB4"/>
    <w:rsid w:val="00EE1447"/>
    <w:rsid w:val="00EE1BF1"/>
    <w:rsid w:val="00EE1CD2"/>
    <w:rsid w:val="00EE2EA9"/>
    <w:rsid w:val="00EE4050"/>
    <w:rsid w:val="00EE4864"/>
    <w:rsid w:val="00EE4E32"/>
    <w:rsid w:val="00EE4FFB"/>
    <w:rsid w:val="00EE57AA"/>
    <w:rsid w:val="00EE5B88"/>
    <w:rsid w:val="00EE76DF"/>
    <w:rsid w:val="00EE7744"/>
    <w:rsid w:val="00EE7B09"/>
    <w:rsid w:val="00EE7B73"/>
    <w:rsid w:val="00EF03E1"/>
    <w:rsid w:val="00EF0836"/>
    <w:rsid w:val="00EF0BC5"/>
    <w:rsid w:val="00EF1223"/>
    <w:rsid w:val="00EF145E"/>
    <w:rsid w:val="00EF14C6"/>
    <w:rsid w:val="00EF25A8"/>
    <w:rsid w:val="00EF2BBB"/>
    <w:rsid w:val="00EF2DA7"/>
    <w:rsid w:val="00EF324A"/>
    <w:rsid w:val="00EF36B4"/>
    <w:rsid w:val="00EF3FB1"/>
    <w:rsid w:val="00EF40D7"/>
    <w:rsid w:val="00EF47BD"/>
    <w:rsid w:val="00EF5739"/>
    <w:rsid w:val="00EF6589"/>
    <w:rsid w:val="00EF7B90"/>
    <w:rsid w:val="00EF7C72"/>
    <w:rsid w:val="00F003FF"/>
    <w:rsid w:val="00F00517"/>
    <w:rsid w:val="00F0082D"/>
    <w:rsid w:val="00F00A5D"/>
    <w:rsid w:val="00F00BE8"/>
    <w:rsid w:val="00F00F91"/>
    <w:rsid w:val="00F015AB"/>
    <w:rsid w:val="00F01D25"/>
    <w:rsid w:val="00F022F4"/>
    <w:rsid w:val="00F02967"/>
    <w:rsid w:val="00F02AC4"/>
    <w:rsid w:val="00F02B71"/>
    <w:rsid w:val="00F0356C"/>
    <w:rsid w:val="00F03E84"/>
    <w:rsid w:val="00F045E0"/>
    <w:rsid w:val="00F05AB7"/>
    <w:rsid w:val="00F06C93"/>
    <w:rsid w:val="00F06D58"/>
    <w:rsid w:val="00F06FBE"/>
    <w:rsid w:val="00F07581"/>
    <w:rsid w:val="00F076EE"/>
    <w:rsid w:val="00F07AD4"/>
    <w:rsid w:val="00F07C90"/>
    <w:rsid w:val="00F07E99"/>
    <w:rsid w:val="00F07F9B"/>
    <w:rsid w:val="00F10A39"/>
    <w:rsid w:val="00F11280"/>
    <w:rsid w:val="00F115C5"/>
    <w:rsid w:val="00F11C9B"/>
    <w:rsid w:val="00F1573D"/>
    <w:rsid w:val="00F1759C"/>
    <w:rsid w:val="00F17606"/>
    <w:rsid w:val="00F17A34"/>
    <w:rsid w:val="00F20A74"/>
    <w:rsid w:val="00F20F8A"/>
    <w:rsid w:val="00F217DB"/>
    <w:rsid w:val="00F21842"/>
    <w:rsid w:val="00F23534"/>
    <w:rsid w:val="00F244DE"/>
    <w:rsid w:val="00F24E48"/>
    <w:rsid w:val="00F2516B"/>
    <w:rsid w:val="00F25358"/>
    <w:rsid w:val="00F25509"/>
    <w:rsid w:val="00F25E58"/>
    <w:rsid w:val="00F26318"/>
    <w:rsid w:val="00F26986"/>
    <w:rsid w:val="00F26C0E"/>
    <w:rsid w:val="00F27142"/>
    <w:rsid w:val="00F27E39"/>
    <w:rsid w:val="00F304A4"/>
    <w:rsid w:val="00F3067C"/>
    <w:rsid w:val="00F317BE"/>
    <w:rsid w:val="00F320B4"/>
    <w:rsid w:val="00F32EAE"/>
    <w:rsid w:val="00F336E8"/>
    <w:rsid w:val="00F33825"/>
    <w:rsid w:val="00F33DB8"/>
    <w:rsid w:val="00F33E57"/>
    <w:rsid w:val="00F3500B"/>
    <w:rsid w:val="00F36606"/>
    <w:rsid w:val="00F36B0E"/>
    <w:rsid w:val="00F37429"/>
    <w:rsid w:val="00F374C6"/>
    <w:rsid w:val="00F37BE9"/>
    <w:rsid w:val="00F40EA6"/>
    <w:rsid w:val="00F4122A"/>
    <w:rsid w:val="00F415EE"/>
    <w:rsid w:val="00F4300D"/>
    <w:rsid w:val="00F4360E"/>
    <w:rsid w:val="00F44B7E"/>
    <w:rsid w:val="00F45781"/>
    <w:rsid w:val="00F45978"/>
    <w:rsid w:val="00F45C4A"/>
    <w:rsid w:val="00F46215"/>
    <w:rsid w:val="00F46B32"/>
    <w:rsid w:val="00F47422"/>
    <w:rsid w:val="00F477BC"/>
    <w:rsid w:val="00F50825"/>
    <w:rsid w:val="00F516A3"/>
    <w:rsid w:val="00F51D7F"/>
    <w:rsid w:val="00F521D1"/>
    <w:rsid w:val="00F53233"/>
    <w:rsid w:val="00F532C7"/>
    <w:rsid w:val="00F53488"/>
    <w:rsid w:val="00F5365A"/>
    <w:rsid w:val="00F53B1C"/>
    <w:rsid w:val="00F54329"/>
    <w:rsid w:val="00F54984"/>
    <w:rsid w:val="00F54C5B"/>
    <w:rsid w:val="00F550B6"/>
    <w:rsid w:val="00F55385"/>
    <w:rsid w:val="00F5551A"/>
    <w:rsid w:val="00F56D6A"/>
    <w:rsid w:val="00F573F4"/>
    <w:rsid w:val="00F57911"/>
    <w:rsid w:val="00F579AD"/>
    <w:rsid w:val="00F57BED"/>
    <w:rsid w:val="00F60198"/>
    <w:rsid w:val="00F60754"/>
    <w:rsid w:val="00F60759"/>
    <w:rsid w:val="00F60D4A"/>
    <w:rsid w:val="00F61094"/>
    <w:rsid w:val="00F61CC1"/>
    <w:rsid w:val="00F62486"/>
    <w:rsid w:val="00F6311F"/>
    <w:rsid w:val="00F631F1"/>
    <w:rsid w:val="00F63265"/>
    <w:rsid w:val="00F637CF"/>
    <w:rsid w:val="00F638D1"/>
    <w:rsid w:val="00F63971"/>
    <w:rsid w:val="00F63B8D"/>
    <w:rsid w:val="00F64192"/>
    <w:rsid w:val="00F64B5E"/>
    <w:rsid w:val="00F64BE8"/>
    <w:rsid w:val="00F65E8B"/>
    <w:rsid w:val="00F66964"/>
    <w:rsid w:val="00F669CD"/>
    <w:rsid w:val="00F7066B"/>
    <w:rsid w:val="00F707EA"/>
    <w:rsid w:val="00F70C36"/>
    <w:rsid w:val="00F710C6"/>
    <w:rsid w:val="00F716A7"/>
    <w:rsid w:val="00F72617"/>
    <w:rsid w:val="00F726CF"/>
    <w:rsid w:val="00F72B5A"/>
    <w:rsid w:val="00F72D27"/>
    <w:rsid w:val="00F737DB"/>
    <w:rsid w:val="00F738C8"/>
    <w:rsid w:val="00F73CEC"/>
    <w:rsid w:val="00F73D33"/>
    <w:rsid w:val="00F74330"/>
    <w:rsid w:val="00F74B54"/>
    <w:rsid w:val="00F75971"/>
    <w:rsid w:val="00F75DF3"/>
    <w:rsid w:val="00F7613A"/>
    <w:rsid w:val="00F763A2"/>
    <w:rsid w:val="00F76FB1"/>
    <w:rsid w:val="00F77502"/>
    <w:rsid w:val="00F77553"/>
    <w:rsid w:val="00F775B1"/>
    <w:rsid w:val="00F77DAD"/>
    <w:rsid w:val="00F80717"/>
    <w:rsid w:val="00F81FE0"/>
    <w:rsid w:val="00F82746"/>
    <w:rsid w:val="00F836F9"/>
    <w:rsid w:val="00F83A9D"/>
    <w:rsid w:val="00F845D7"/>
    <w:rsid w:val="00F856F4"/>
    <w:rsid w:val="00F85E0D"/>
    <w:rsid w:val="00F8797C"/>
    <w:rsid w:val="00F9136F"/>
    <w:rsid w:val="00F91558"/>
    <w:rsid w:val="00F92279"/>
    <w:rsid w:val="00F92ACA"/>
    <w:rsid w:val="00F9344F"/>
    <w:rsid w:val="00F9390A"/>
    <w:rsid w:val="00F93CD3"/>
    <w:rsid w:val="00F94281"/>
    <w:rsid w:val="00F94654"/>
    <w:rsid w:val="00F946E4"/>
    <w:rsid w:val="00F9492B"/>
    <w:rsid w:val="00F94D69"/>
    <w:rsid w:val="00F94EDC"/>
    <w:rsid w:val="00F95504"/>
    <w:rsid w:val="00F956C8"/>
    <w:rsid w:val="00F95A31"/>
    <w:rsid w:val="00F95B1D"/>
    <w:rsid w:val="00F96684"/>
    <w:rsid w:val="00F96836"/>
    <w:rsid w:val="00F96B97"/>
    <w:rsid w:val="00F979CA"/>
    <w:rsid w:val="00FA0BBC"/>
    <w:rsid w:val="00FA14DB"/>
    <w:rsid w:val="00FA1C4F"/>
    <w:rsid w:val="00FA374F"/>
    <w:rsid w:val="00FA4CEB"/>
    <w:rsid w:val="00FA55AC"/>
    <w:rsid w:val="00FB06BF"/>
    <w:rsid w:val="00FB14F7"/>
    <w:rsid w:val="00FB1FC7"/>
    <w:rsid w:val="00FB21ED"/>
    <w:rsid w:val="00FB2F62"/>
    <w:rsid w:val="00FB3268"/>
    <w:rsid w:val="00FB413B"/>
    <w:rsid w:val="00FB4270"/>
    <w:rsid w:val="00FB4A7A"/>
    <w:rsid w:val="00FB4D21"/>
    <w:rsid w:val="00FB5AEE"/>
    <w:rsid w:val="00FB5D80"/>
    <w:rsid w:val="00FB7419"/>
    <w:rsid w:val="00FB762B"/>
    <w:rsid w:val="00FC0E0C"/>
    <w:rsid w:val="00FC143F"/>
    <w:rsid w:val="00FC15D5"/>
    <w:rsid w:val="00FC16DF"/>
    <w:rsid w:val="00FC18C7"/>
    <w:rsid w:val="00FC23EE"/>
    <w:rsid w:val="00FC26CF"/>
    <w:rsid w:val="00FC34D4"/>
    <w:rsid w:val="00FC3DC8"/>
    <w:rsid w:val="00FC522B"/>
    <w:rsid w:val="00FC54CB"/>
    <w:rsid w:val="00FC58B1"/>
    <w:rsid w:val="00FC6057"/>
    <w:rsid w:val="00FC653C"/>
    <w:rsid w:val="00FC6561"/>
    <w:rsid w:val="00FC6ADA"/>
    <w:rsid w:val="00FD021A"/>
    <w:rsid w:val="00FD1D62"/>
    <w:rsid w:val="00FD25D0"/>
    <w:rsid w:val="00FD4AFA"/>
    <w:rsid w:val="00FD4CE3"/>
    <w:rsid w:val="00FD50A0"/>
    <w:rsid w:val="00FD641D"/>
    <w:rsid w:val="00FD70EF"/>
    <w:rsid w:val="00FD7677"/>
    <w:rsid w:val="00FE08AE"/>
    <w:rsid w:val="00FE0D15"/>
    <w:rsid w:val="00FE0D9F"/>
    <w:rsid w:val="00FE15A5"/>
    <w:rsid w:val="00FE1707"/>
    <w:rsid w:val="00FE2506"/>
    <w:rsid w:val="00FE260A"/>
    <w:rsid w:val="00FE3767"/>
    <w:rsid w:val="00FE3DDF"/>
    <w:rsid w:val="00FE4392"/>
    <w:rsid w:val="00FE4454"/>
    <w:rsid w:val="00FE4BFA"/>
    <w:rsid w:val="00FE5050"/>
    <w:rsid w:val="00FE51A1"/>
    <w:rsid w:val="00FE5F86"/>
    <w:rsid w:val="00FE634D"/>
    <w:rsid w:val="00FE67C6"/>
    <w:rsid w:val="00FE69CE"/>
    <w:rsid w:val="00FE6FA2"/>
    <w:rsid w:val="00FE7844"/>
    <w:rsid w:val="00FF0031"/>
    <w:rsid w:val="00FF00FD"/>
    <w:rsid w:val="00FF0C49"/>
    <w:rsid w:val="00FF0E32"/>
    <w:rsid w:val="00FF1F4F"/>
    <w:rsid w:val="00FF25D1"/>
    <w:rsid w:val="00FF4D25"/>
    <w:rsid w:val="00FF5554"/>
    <w:rsid w:val="00FF5BB7"/>
    <w:rsid w:val="00FF6CE7"/>
    <w:rsid w:val="00FF6F5C"/>
    <w:rsid w:val="00FF7221"/>
    <w:rsid w:val="00FF738D"/>
    <w:rsid w:val="00FF769C"/>
    <w:rsid w:val="00FF76B7"/>
    <w:rsid w:val="013B5A81"/>
    <w:rsid w:val="0173A60D"/>
    <w:rsid w:val="017930EE"/>
    <w:rsid w:val="01D59738"/>
    <w:rsid w:val="01DE7E16"/>
    <w:rsid w:val="02217317"/>
    <w:rsid w:val="02F06FF0"/>
    <w:rsid w:val="03418D00"/>
    <w:rsid w:val="03675526"/>
    <w:rsid w:val="0388AF62"/>
    <w:rsid w:val="03C22431"/>
    <w:rsid w:val="03EE2A97"/>
    <w:rsid w:val="04A94580"/>
    <w:rsid w:val="04CD1110"/>
    <w:rsid w:val="0558B61B"/>
    <w:rsid w:val="055B3337"/>
    <w:rsid w:val="05A54314"/>
    <w:rsid w:val="063BEC61"/>
    <w:rsid w:val="06A72600"/>
    <w:rsid w:val="0717C502"/>
    <w:rsid w:val="07508D2E"/>
    <w:rsid w:val="077CE23F"/>
    <w:rsid w:val="07B644AE"/>
    <w:rsid w:val="07E49DAB"/>
    <w:rsid w:val="08E1C3CA"/>
    <w:rsid w:val="08F862CD"/>
    <w:rsid w:val="0979BE0C"/>
    <w:rsid w:val="09C38A5D"/>
    <w:rsid w:val="09EDBF0F"/>
    <w:rsid w:val="0A337C03"/>
    <w:rsid w:val="0A386880"/>
    <w:rsid w:val="0ABE9C46"/>
    <w:rsid w:val="0AEF3D3F"/>
    <w:rsid w:val="0B00FC8A"/>
    <w:rsid w:val="0B04520A"/>
    <w:rsid w:val="0B160C6E"/>
    <w:rsid w:val="0B1D51F8"/>
    <w:rsid w:val="0B300A06"/>
    <w:rsid w:val="0B61C6DB"/>
    <w:rsid w:val="0B6EE8F2"/>
    <w:rsid w:val="0B923E5D"/>
    <w:rsid w:val="0BA77596"/>
    <w:rsid w:val="0BD2650E"/>
    <w:rsid w:val="0C6F9806"/>
    <w:rsid w:val="0C76E794"/>
    <w:rsid w:val="0C917410"/>
    <w:rsid w:val="0CDD68DF"/>
    <w:rsid w:val="0D22BFEE"/>
    <w:rsid w:val="0D30B708"/>
    <w:rsid w:val="0D84941F"/>
    <w:rsid w:val="0E1E2301"/>
    <w:rsid w:val="0E39D5E0"/>
    <w:rsid w:val="0EA36BC1"/>
    <w:rsid w:val="0EB97FC1"/>
    <w:rsid w:val="0EBFDE4C"/>
    <w:rsid w:val="0EF47D51"/>
    <w:rsid w:val="0F1AE8EC"/>
    <w:rsid w:val="0F46791D"/>
    <w:rsid w:val="0FB5D795"/>
    <w:rsid w:val="0FCCFFAB"/>
    <w:rsid w:val="0FE67AC9"/>
    <w:rsid w:val="101DD3BF"/>
    <w:rsid w:val="1095302D"/>
    <w:rsid w:val="10A72C92"/>
    <w:rsid w:val="11040A36"/>
    <w:rsid w:val="116B9B5F"/>
    <w:rsid w:val="11DEF41D"/>
    <w:rsid w:val="12A328F8"/>
    <w:rsid w:val="12B43C7B"/>
    <w:rsid w:val="137396D8"/>
    <w:rsid w:val="13ACC4DA"/>
    <w:rsid w:val="13B26992"/>
    <w:rsid w:val="13B30704"/>
    <w:rsid w:val="13CAAA85"/>
    <w:rsid w:val="147D05D5"/>
    <w:rsid w:val="14989BB9"/>
    <w:rsid w:val="14D182F4"/>
    <w:rsid w:val="1531FAE5"/>
    <w:rsid w:val="158F3F66"/>
    <w:rsid w:val="15990938"/>
    <w:rsid w:val="15BC34E1"/>
    <w:rsid w:val="15D57226"/>
    <w:rsid w:val="161A495F"/>
    <w:rsid w:val="1654DF50"/>
    <w:rsid w:val="167A2369"/>
    <w:rsid w:val="16CD09CE"/>
    <w:rsid w:val="17DE929C"/>
    <w:rsid w:val="18584EC1"/>
    <w:rsid w:val="192D7E32"/>
    <w:rsid w:val="19CEEF40"/>
    <w:rsid w:val="1A307564"/>
    <w:rsid w:val="1A87743E"/>
    <w:rsid w:val="1B88F854"/>
    <w:rsid w:val="1B94D8D5"/>
    <w:rsid w:val="1BB1B4B2"/>
    <w:rsid w:val="1BDC43FC"/>
    <w:rsid w:val="1C19BDF0"/>
    <w:rsid w:val="1C916A94"/>
    <w:rsid w:val="1CAE7584"/>
    <w:rsid w:val="1CBA1682"/>
    <w:rsid w:val="1CDD0185"/>
    <w:rsid w:val="1D1F1959"/>
    <w:rsid w:val="1D555F1F"/>
    <w:rsid w:val="1DD98E38"/>
    <w:rsid w:val="1E1D6804"/>
    <w:rsid w:val="1E34ECFE"/>
    <w:rsid w:val="1E57AC98"/>
    <w:rsid w:val="1E604A89"/>
    <w:rsid w:val="1EA7EA23"/>
    <w:rsid w:val="1EC2E93B"/>
    <w:rsid w:val="1EEDE77B"/>
    <w:rsid w:val="1F6BC48E"/>
    <w:rsid w:val="1F8A36B7"/>
    <w:rsid w:val="1F9E7A51"/>
    <w:rsid w:val="1FBBD5D8"/>
    <w:rsid w:val="1FE5B1CF"/>
    <w:rsid w:val="1FEA0641"/>
    <w:rsid w:val="2012B38C"/>
    <w:rsid w:val="208F2BC1"/>
    <w:rsid w:val="20BECC64"/>
    <w:rsid w:val="20EB43BE"/>
    <w:rsid w:val="213CAE57"/>
    <w:rsid w:val="21549662"/>
    <w:rsid w:val="216EF924"/>
    <w:rsid w:val="21CDE530"/>
    <w:rsid w:val="227B7304"/>
    <w:rsid w:val="22D60EE4"/>
    <w:rsid w:val="22F391FE"/>
    <w:rsid w:val="23005550"/>
    <w:rsid w:val="2328FE5F"/>
    <w:rsid w:val="238DE417"/>
    <w:rsid w:val="23D458EA"/>
    <w:rsid w:val="241E76BA"/>
    <w:rsid w:val="243E8FA1"/>
    <w:rsid w:val="246CBF5E"/>
    <w:rsid w:val="2578AD2F"/>
    <w:rsid w:val="259C5427"/>
    <w:rsid w:val="25C4616C"/>
    <w:rsid w:val="260BC216"/>
    <w:rsid w:val="26353149"/>
    <w:rsid w:val="263ABE9C"/>
    <w:rsid w:val="278DD71B"/>
    <w:rsid w:val="27E49319"/>
    <w:rsid w:val="280F6773"/>
    <w:rsid w:val="2862A20E"/>
    <w:rsid w:val="28AD3766"/>
    <w:rsid w:val="28C4EE28"/>
    <w:rsid w:val="290A2906"/>
    <w:rsid w:val="29A7D61B"/>
    <w:rsid w:val="2A027119"/>
    <w:rsid w:val="2A57A464"/>
    <w:rsid w:val="2A69FB80"/>
    <w:rsid w:val="2AE3D615"/>
    <w:rsid w:val="2B13525B"/>
    <w:rsid w:val="2BD3CBCD"/>
    <w:rsid w:val="2BD5DC49"/>
    <w:rsid w:val="2BEA40EC"/>
    <w:rsid w:val="2C02B616"/>
    <w:rsid w:val="2C11F30E"/>
    <w:rsid w:val="2CA2B140"/>
    <w:rsid w:val="2D8C0276"/>
    <w:rsid w:val="2DF2D2A8"/>
    <w:rsid w:val="2E4FFF33"/>
    <w:rsid w:val="2E5E23D0"/>
    <w:rsid w:val="2E97F435"/>
    <w:rsid w:val="2EA14EC1"/>
    <w:rsid w:val="2F37B054"/>
    <w:rsid w:val="2F78FDB3"/>
    <w:rsid w:val="2F969BDC"/>
    <w:rsid w:val="30066572"/>
    <w:rsid w:val="3064C447"/>
    <w:rsid w:val="31355273"/>
    <w:rsid w:val="3163776B"/>
    <w:rsid w:val="321B4C27"/>
    <w:rsid w:val="3262E933"/>
    <w:rsid w:val="32788F11"/>
    <w:rsid w:val="33C4ED98"/>
    <w:rsid w:val="33D7E5B8"/>
    <w:rsid w:val="33E4F1F3"/>
    <w:rsid w:val="3401C809"/>
    <w:rsid w:val="3434BD9C"/>
    <w:rsid w:val="3444E29C"/>
    <w:rsid w:val="345F0910"/>
    <w:rsid w:val="34886C24"/>
    <w:rsid w:val="34B2CFE0"/>
    <w:rsid w:val="35140ECE"/>
    <w:rsid w:val="355A2108"/>
    <w:rsid w:val="35AFFAA7"/>
    <w:rsid w:val="35BBC391"/>
    <w:rsid w:val="363BF63B"/>
    <w:rsid w:val="3651099D"/>
    <w:rsid w:val="369A897D"/>
    <w:rsid w:val="36C4115C"/>
    <w:rsid w:val="36C5C38A"/>
    <w:rsid w:val="36D67A65"/>
    <w:rsid w:val="37679F42"/>
    <w:rsid w:val="379238FB"/>
    <w:rsid w:val="388269CE"/>
    <w:rsid w:val="38874670"/>
    <w:rsid w:val="38A75EE1"/>
    <w:rsid w:val="38BCC7D1"/>
    <w:rsid w:val="390ACD12"/>
    <w:rsid w:val="39728900"/>
    <w:rsid w:val="3A2091A8"/>
    <w:rsid w:val="3A811559"/>
    <w:rsid w:val="3A949837"/>
    <w:rsid w:val="3BCEAF7E"/>
    <w:rsid w:val="3C53661F"/>
    <w:rsid w:val="3CA82A70"/>
    <w:rsid w:val="3DCB4FC5"/>
    <w:rsid w:val="3DCC9CFD"/>
    <w:rsid w:val="3E19E6D5"/>
    <w:rsid w:val="3E2B3DAB"/>
    <w:rsid w:val="3EB466DA"/>
    <w:rsid w:val="3ED30656"/>
    <w:rsid w:val="3F4358FA"/>
    <w:rsid w:val="3F7A9FFE"/>
    <w:rsid w:val="3F8DE0DA"/>
    <w:rsid w:val="3FD51452"/>
    <w:rsid w:val="402DBC5E"/>
    <w:rsid w:val="408738A3"/>
    <w:rsid w:val="40D8077D"/>
    <w:rsid w:val="40EB0584"/>
    <w:rsid w:val="41392495"/>
    <w:rsid w:val="41E85191"/>
    <w:rsid w:val="42001A99"/>
    <w:rsid w:val="42046191"/>
    <w:rsid w:val="42195284"/>
    <w:rsid w:val="423E9F06"/>
    <w:rsid w:val="43116CC1"/>
    <w:rsid w:val="43179A00"/>
    <w:rsid w:val="432DE7A5"/>
    <w:rsid w:val="43468ED7"/>
    <w:rsid w:val="43749652"/>
    <w:rsid w:val="43A12F19"/>
    <w:rsid w:val="43A34F6F"/>
    <w:rsid w:val="43B7762D"/>
    <w:rsid w:val="4407FC9B"/>
    <w:rsid w:val="448CDA89"/>
    <w:rsid w:val="44AE3593"/>
    <w:rsid w:val="46036E2B"/>
    <w:rsid w:val="4615CCB9"/>
    <w:rsid w:val="4648FC13"/>
    <w:rsid w:val="46788E68"/>
    <w:rsid w:val="4683373A"/>
    <w:rsid w:val="46D06843"/>
    <w:rsid w:val="4704F104"/>
    <w:rsid w:val="47113C3E"/>
    <w:rsid w:val="47181E60"/>
    <w:rsid w:val="4727110A"/>
    <w:rsid w:val="4736E511"/>
    <w:rsid w:val="4793B866"/>
    <w:rsid w:val="479DC3B7"/>
    <w:rsid w:val="47F54D67"/>
    <w:rsid w:val="482D6946"/>
    <w:rsid w:val="48370890"/>
    <w:rsid w:val="48416FB4"/>
    <w:rsid w:val="486D886E"/>
    <w:rsid w:val="48A08881"/>
    <w:rsid w:val="48B98C87"/>
    <w:rsid w:val="4907B784"/>
    <w:rsid w:val="49B44935"/>
    <w:rsid w:val="4A3FF321"/>
    <w:rsid w:val="4A477DA0"/>
    <w:rsid w:val="4A73A20E"/>
    <w:rsid w:val="4A7650F3"/>
    <w:rsid w:val="4A7D754E"/>
    <w:rsid w:val="4AA4D2C1"/>
    <w:rsid w:val="4B0E98BE"/>
    <w:rsid w:val="4B3F183F"/>
    <w:rsid w:val="4B42FA4E"/>
    <w:rsid w:val="4C8C275A"/>
    <w:rsid w:val="4D1698D3"/>
    <w:rsid w:val="4D62C4B2"/>
    <w:rsid w:val="4D769E5D"/>
    <w:rsid w:val="4D802A0B"/>
    <w:rsid w:val="4FA4E9D7"/>
    <w:rsid w:val="4FAC31F4"/>
    <w:rsid w:val="4FC0ABBF"/>
    <w:rsid w:val="507EB29F"/>
    <w:rsid w:val="513FC797"/>
    <w:rsid w:val="514E9B89"/>
    <w:rsid w:val="5168489B"/>
    <w:rsid w:val="51936C90"/>
    <w:rsid w:val="51A50F09"/>
    <w:rsid w:val="520619EB"/>
    <w:rsid w:val="52707E21"/>
    <w:rsid w:val="527682BB"/>
    <w:rsid w:val="52A83FDB"/>
    <w:rsid w:val="52B65A87"/>
    <w:rsid w:val="52E7AC7E"/>
    <w:rsid w:val="533871EE"/>
    <w:rsid w:val="53D326B8"/>
    <w:rsid w:val="53F60FAB"/>
    <w:rsid w:val="54293C0C"/>
    <w:rsid w:val="54711358"/>
    <w:rsid w:val="54AEE7FF"/>
    <w:rsid w:val="5589F167"/>
    <w:rsid w:val="55FC5FC9"/>
    <w:rsid w:val="56AA875D"/>
    <w:rsid w:val="56B1660D"/>
    <w:rsid w:val="572998CC"/>
    <w:rsid w:val="5748821C"/>
    <w:rsid w:val="578DAD48"/>
    <w:rsid w:val="58533964"/>
    <w:rsid w:val="58B25113"/>
    <w:rsid w:val="58D16595"/>
    <w:rsid w:val="58E916F2"/>
    <w:rsid w:val="59581DA6"/>
    <w:rsid w:val="59CBEE6C"/>
    <w:rsid w:val="5A6043C4"/>
    <w:rsid w:val="5A6FBB91"/>
    <w:rsid w:val="5A8DCA8C"/>
    <w:rsid w:val="5B5DE038"/>
    <w:rsid w:val="5B8A17AB"/>
    <w:rsid w:val="5B910173"/>
    <w:rsid w:val="5BC12CFE"/>
    <w:rsid w:val="5BC1F57B"/>
    <w:rsid w:val="5C3736FF"/>
    <w:rsid w:val="5C4ACE87"/>
    <w:rsid w:val="5CCE0098"/>
    <w:rsid w:val="5CF79FF1"/>
    <w:rsid w:val="5D220B1B"/>
    <w:rsid w:val="5D2DFACD"/>
    <w:rsid w:val="5D4DBDD3"/>
    <w:rsid w:val="5E20DEA4"/>
    <w:rsid w:val="5F0B3E72"/>
    <w:rsid w:val="5F36E61C"/>
    <w:rsid w:val="5F3D892C"/>
    <w:rsid w:val="5F68D2E8"/>
    <w:rsid w:val="5F6BEE2C"/>
    <w:rsid w:val="5F9EAB05"/>
    <w:rsid w:val="5FC1F9F9"/>
    <w:rsid w:val="60CBC54B"/>
    <w:rsid w:val="60D6C4F7"/>
    <w:rsid w:val="60DC896F"/>
    <w:rsid w:val="60E3F5DD"/>
    <w:rsid w:val="6107A6B5"/>
    <w:rsid w:val="613D69E0"/>
    <w:rsid w:val="6156A34B"/>
    <w:rsid w:val="617239B6"/>
    <w:rsid w:val="617E27D9"/>
    <w:rsid w:val="62285EA7"/>
    <w:rsid w:val="62474791"/>
    <w:rsid w:val="62604DE3"/>
    <w:rsid w:val="62EACBB2"/>
    <w:rsid w:val="630A0808"/>
    <w:rsid w:val="63432360"/>
    <w:rsid w:val="636F5AF3"/>
    <w:rsid w:val="6405E301"/>
    <w:rsid w:val="646D8089"/>
    <w:rsid w:val="646EC49E"/>
    <w:rsid w:val="64FF2797"/>
    <w:rsid w:val="650EE275"/>
    <w:rsid w:val="6529A551"/>
    <w:rsid w:val="65797B9E"/>
    <w:rsid w:val="658B7DA9"/>
    <w:rsid w:val="66217C36"/>
    <w:rsid w:val="6628D59B"/>
    <w:rsid w:val="66EA53A8"/>
    <w:rsid w:val="67280AC7"/>
    <w:rsid w:val="681D2E00"/>
    <w:rsid w:val="686F7EC0"/>
    <w:rsid w:val="6872D7A6"/>
    <w:rsid w:val="6875B064"/>
    <w:rsid w:val="68CC3E42"/>
    <w:rsid w:val="6910480A"/>
    <w:rsid w:val="6912518B"/>
    <w:rsid w:val="6954C139"/>
    <w:rsid w:val="69DC623A"/>
    <w:rsid w:val="6A587BA9"/>
    <w:rsid w:val="6A665095"/>
    <w:rsid w:val="6A6F70AA"/>
    <w:rsid w:val="6A87E59C"/>
    <w:rsid w:val="6B0A67A4"/>
    <w:rsid w:val="6B7CBC75"/>
    <w:rsid w:val="6BCC1904"/>
    <w:rsid w:val="6BD8B8CC"/>
    <w:rsid w:val="6C06CDBD"/>
    <w:rsid w:val="6C2DA07A"/>
    <w:rsid w:val="6C38F810"/>
    <w:rsid w:val="6C8A9C09"/>
    <w:rsid w:val="6CB1F169"/>
    <w:rsid w:val="6DF896CB"/>
    <w:rsid w:val="6E232513"/>
    <w:rsid w:val="6F02AB72"/>
    <w:rsid w:val="6F05E3A0"/>
    <w:rsid w:val="6F12C54C"/>
    <w:rsid w:val="6F4BA7B7"/>
    <w:rsid w:val="6FA7795C"/>
    <w:rsid w:val="700830EA"/>
    <w:rsid w:val="713DFB0A"/>
    <w:rsid w:val="719400DF"/>
    <w:rsid w:val="71AA6957"/>
    <w:rsid w:val="72098A48"/>
    <w:rsid w:val="7251DCE7"/>
    <w:rsid w:val="738069ED"/>
    <w:rsid w:val="73A16200"/>
    <w:rsid w:val="74CEA2BB"/>
    <w:rsid w:val="752C61BF"/>
    <w:rsid w:val="75538059"/>
    <w:rsid w:val="7584EFB0"/>
    <w:rsid w:val="76373D0F"/>
    <w:rsid w:val="765B6057"/>
    <w:rsid w:val="76611CA1"/>
    <w:rsid w:val="76905E28"/>
    <w:rsid w:val="76B7FF6C"/>
    <w:rsid w:val="784CBDE8"/>
    <w:rsid w:val="78772DF6"/>
    <w:rsid w:val="7942B1C0"/>
    <w:rsid w:val="7A885747"/>
    <w:rsid w:val="7AFEE3F0"/>
    <w:rsid w:val="7B12CF82"/>
    <w:rsid w:val="7B8758F7"/>
    <w:rsid w:val="7C31FC83"/>
    <w:rsid w:val="7C3F4338"/>
    <w:rsid w:val="7D48941A"/>
    <w:rsid w:val="7DCC1036"/>
    <w:rsid w:val="7EBB76A9"/>
    <w:rsid w:val="7F257DAB"/>
    <w:rsid w:val="7F3C72C5"/>
    <w:rsid w:val="7F56D5FC"/>
    <w:rsid w:val="7F8ECB1E"/>
    <w:rsid w:val="7FBC5EFB"/>
    <w:rsid w:val="7FDCB0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D16C3"/>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level 1,Body,Bullet + line,bulleted,Bullet Char1,Bullet Char1 Char Char Char Char,b1 Char Char Char,Bullet Char1 Char Char Char Char Char,Bullet Char1 Char Char Char,BodyNum"/>
    <w:basedOn w:val="Normal"/>
    <w:link w:val="BulletChar"/>
    <w:qFormat/>
    <w:rsid w:val="008F09C0"/>
    <w:pPr>
      <w:numPr>
        <w:numId w:val="1"/>
      </w:numPr>
      <w:tabs>
        <w:tab w:val="left" w:pos="425"/>
      </w:tabs>
      <w:spacing w:before="0" w:after="0" w:line="280" w:lineRule="exact"/>
      <w:ind w:left="284" w:hanging="284"/>
      <w:jc w:val="both"/>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902C6A"/>
    <w:pPr>
      <w:numPr>
        <w:numId w:val="13"/>
      </w:numPr>
      <w:spacing w:before="0" w:after="240" w:line="280" w:lineRule="exact"/>
      <w:jc w:val="both"/>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D81A10"/>
    <w:rPr>
      <w:sz w:val="18"/>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8F09C0"/>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character" w:customStyle="1" w:styleId="OutlineNumbered1Char">
    <w:name w:val="Outline Numbered 1 Char"/>
    <w:basedOn w:val="DefaultParagraphFont"/>
    <w:link w:val="OutlineNumbered1"/>
    <w:rsid w:val="00902C6A"/>
    <w:rPr>
      <w:rFonts w:ascii="Calibri Light" w:eastAsia="Times New Roman" w:hAnsi="Calibri Light" w:cs="Times New Roman"/>
      <w:szCs w:val="20"/>
      <w:lang w:eastAsia="en-AU"/>
    </w:rPr>
  </w:style>
  <w:style w:type="paragraph" w:customStyle="1" w:styleId="TableColumnHeadingLeft-White">
    <w:name w:val="Table Column Heading Left - White"/>
    <w:basedOn w:val="TableColumnHeadingLeft"/>
    <w:rsid w:val="00715E4A"/>
    <w:pPr>
      <w:spacing w:before="120" w:after="120"/>
    </w:pPr>
    <w:rPr>
      <w:rFonts w:ascii="Arial" w:hAnsi="Arial"/>
      <w:color w:val="FFFFFF" w:themeColor="background1"/>
      <w:sz w:val="22"/>
      <w:szCs w:val="22"/>
    </w:rPr>
  </w:style>
  <w:style w:type="character" w:customStyle="1" w:styleId="normaltextrun">
    <w:name w:val="normaltextrun"/>
    <w:basedOn w:val="DefaultParagraphFont"/>
    <w:rsid w:val="00715E4A"/>
  </w:style>
  <w:style w:type="character" w:customStyle="1" w:styleId="eop">
    <w:name w:val="eop"/>
    <w:basedOn w:val="DefaultParagraphFont"/>
    <w:rsid w:val="00715E4A"/>
  </w:style>
  <w:style w:type="paragraph" w:customStyle="1" w:styleId="Romannumeral">
    <w:name w:val="Roman numeral"/>
    <w:basedOn w:val="Normal"/>
    <w:rsid w:val="00715E4A"/>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Disclaimer">
    <w:name w:val="Disclaimer"/>
    <w:basedOn w:val="ReportDate"/>
    <w:rsid w:val="002D7F18"/>
    <w:pPr>
      <w:spacing w:after="0"/>
      <w:ind w:right="142"/>
    </w:pPr>
    <w:rPr>
      <w:rFonts w:ascii="Century Gothic" w:hAnsi="Century Gothic"/>
      <w:bCs/>
      <w:color w:val="5B5E60"/>
      <w:sz w:val="18"/>
      <w:szCs w:val="22"/>
    </w:rPr>
  </w:style>
  <w:style w:type="character" w:styleId="UnresolvedMention">
    <w:name w:val="Unresolved Mention"/>
    <w:basedOn w:val="DefaultParagraphFont"/>
    <w:uiPriority w:val="99"/>
    <w:unhideWhenUsed/>
    <w:rsid w:val="00D409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3971"/>
    <w:rPr>
      <w:rFonts w:ascii="Calibri Light" w:hAnsi="Calibri Light"/>
      <w:b/>
      <w:bCs/>
    </w:rPr>
  </w:style>
  <w:style w:type="character" w:customStyle="1" w:styleId="CommentSubjectChar">
    <w:name w:val="Comment Subject Char"/>
    <w:basedOn w:val="CommentTextChar"/>
    <w:link w:val="CommentSubject"/>
    <w:uiPriority w:val="99"/>
    <w:semiHidden/>
    <w:rsid w:val="00F63971"/>
    <w:rPr>
      <w:rFonts w:ascii="Calibri Light" w:eastAsia="Times New Roman" w:hAnsi="Calibri Light" w:cs="Times New Roman"/>
      <w:b/>
      <w:bCs/>
      <w:sz w:val="20"/>
      <w:szCs w:val="20"/>
      <w:lang w:eastAsia="en-AU"/>
    </w:rPr>
  </w:style>
  <w:style w:type="paragraph" w:styleId="Revision">
    <w:name w:val="Revision"/>
    <w:hidden/>
    <w:uiPriority w:val="99"/>
    <w:semiHidden/>
    <w:rsid w:val="00F93CD3"/>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AE1FDB"/>
    <w:rPr>
      <w:color w:val="844D9E" w:themeColor="followedHyperlink"/>
      <w:u w:val="single"/>
    </w:rPr>
  </w:style>
  <w:style w:type="paragraph" w:styleId="EndnoteText">
    <w:name w:val="endnote text"/>
    <w:basedOn w:val="Normal"/>
    <w:link w:val="EndnoteTextChar"/>
    <w:uiPriority w:val="99"/>
    <w:semiHidden/>
    <w:unhideWhenUsed/>
    <w:rsid w:val="00F37429"/>
    <w:pPr>
      <w:spacing w:before="0" w:after="0"/>
    </w:pPr>
    <w:rPr>
      <w:sz w:val="20"/>
    </w:rPr>
  </w:style>
  <w:style w:type="character" w:customStyle="1" w:styleId="EndnoteTextChar">
    <w:name w:val="Endnote Text Char"/>
    <w:basedOn w:val="DefaultParagraphFont"/>
    <w:link w:val="EndnoteText"/>
    <w:uiPriority w:val="99"/>
    <w:semiHidden/>
    <w:rsid w:val="00F37429"/>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F37429"/>
    <w:rPr>
      <w:vertAlign w:val="superscript"/>
    </w:rPr>
  </w:style>
  <w:style w:type="paragraph" w:customStyle="1" w:styleId="EndNoteBibliographyTitle">
    <w:name w:val="EndNote Bibliography Title"/>
    <w:basedOn w:val="Normal"/>
    <w:link w:val="EndNoteBibliographyTitleChar"/>
    <w:rsid w:val="00B40FD8"/>
    <w:pPr>
      <w:spacing w:after="0"/>
      <w:jc w:val="center"/>
    </w:pPr>
    <w:rPr>
      <w:rFonts w:cs="Calibri Light"/>
      <w:noProof/>
    </w:rPr>
  </w:style>
  <w:style w:type="character" w:customStyle="1" w:styleId="EndNoteBibliographyTitleChar">
    <w:name w:val="EndNote Bibliography Title Char"/>
    <w:basedOn w:val="Heading2Char"/>
    <w:link w:val="EndNoteBibliographyTitle"/>
    <w:rsid w:val="00B40FD8"/>
    <w:rPr>
      <w:rFonts w:ascii="Calibri Light" w:eastAsia="Times New Roman" w:hAnsi="Calibri Light" w:cs="Calibri Light"/>
      <w:iCs w:val="0"/>
      <w:noProof/>
      <w:color w:val="2C384A" w:themeColor="accent1"/>
      <w:kern w:val="32"/>
      <w:sz w:val="36"/>
      <w:szCs w:val="20"/>
      <w:lang w:eastAsia="en-AU"/>
    </w:rPr>
  </w:style>
  <w:style w:type="paragraph" w:customStyle="1" w:styleId="EndNoteBibliography">
    <w:name w:val="EndNote Bibliography"/>
    <w:basedOn w:val="Normal"/>
    <w:link w:val="EndNoteBibliographyChar"/>
    <w:rsid w:val="00B40FD8"/>
    <w:rPr>
      <w:rFonts w:cs="Calibri Light"/>
      <w:noProof/>
    </w:rPr>
  </w:style>
  <w:style w:type="character" w:customStyle="1" w:styleId="EndNoteBibliographyChar">
    <w:name w:val="EndNote Bibliography Char"/>
    <w:basedOn w:val="Heading2Char"/>
    <w:link w:val="EndNoteBibliography"/>
    <w:rsid w:val="00B40FD8"/>
    <w:rPr>
      <w:rFonts w:ascii="Calibri Light" w:eastAsia="Times New Roman" w:hAnsi="Calibri Light" w:cs="Calibri Light"/>
      <w:iCs w:val="0"/>
      <w:noProof/>
      <w:color w:val="2C384A" w:themeColor="accent1"/>
      <w:kern w:val="32"/>
      <w:sz w:val="36"/>
      <w:szCs w:val="20"/>
      <w:lang w:eastAsia="en-AU"/>
    </w:rPr>
  </w:style>
  <w:style w:type="character" w:styleId="Mention">
    <w:name w:val="Mention"/>
    <w:basedOn w:val="DefaultParagraphFont"/>
    <w:uiPriority w:val="99"/>
    <w:unhideWhenUsed/>
    <w:rsid w:val="00590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382">
      <w:bodyDiv w:val="1"/>
      <w:marLeft w:val="0"/>
      <w:marRight w:val="0"/>
      <w:marTop w:val="0"/>
      <w:marBottom w:val="0"/>
      <w:divBdr>
        <w:top w:val="none" w:sz="0" w:space="0" w:color="auto"/>
        <w:left w:val="none" w:sz="0" w:space="0" w:color="auto"/>
        <w:bottom w:val="none" w:sz="0" w:space="0" w:color="auto"/>
        <w:right w:val="none" w:sz="0" w:space="0" w:color="auto"/>
      </w:divBdr>
    </w:div>
    <w:div w:id="31719465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530678582">
      <w:bodyDiv w:val="1"/>
      <w:marLeft w:val="0"/>
      <w:marRight w:val="0"/>
      <w:marTop w:val="0"/>
      <w:marBottom w:val="0"/>
      <w:divBdr>
        <w:top w:val="none" w:sz="0" w:space="0" w:color="auto"/>
        <w:left w:val="none" w:sz="0" w:space="0" w:color="auto"/>
        <w:bottom w:val="none" w:sz="0" w:space="0" w:color="auto"/>
        <w:right w:val="none" w:sz="0" w:space="0" w:color="auto"/>
      </w:divBdr>
    </w:div>
    <w:div w:id="1532376750">
      <w:bodyDiv w:val="1"/>
      <w:marLeft w:val="0"/>
      <w:marRight w:val="0"/>
      <w:marTop w:val="0"/>
      <w:marBottom w:val="0"/>
      <w:divBdr>
        <w:top w:val="none" w:sz="0" w:space="0" w:color="auto"/>
        <w:left w:val="none" w:sz="0" w:space="0" w:color="auto"/>
        <w:bottom w:val="none" w:sz="0" w:space="0" w:color="auto"/>
        <w:right w:val="none" w:sz="0" w:space="0" w:color="auto"/>
      </w:divBdr>
    </w:div>
    <w:div w:id="1798179451">
      <w:bodyDiv w:val="1"/>
      <w:marLeft w:val="0"/>
      <w:marRight w:val="0"/>
      <w:marTop w:val="0"/>
      <w:marBottom w:val="0"/>
      <w:divBdr>
        <w:top w:val="none" w:sz="0" w:space="0" w:color="auto"/>
        <w:left w:val="none" w:sz="0" w:space="0" w:color="auto"/>
        <w:bottom w:val="none" w:sz="0" w:space="0" w:color="auto"/>
        <w:right w:val="none" w:sz="0" w:space="0" w:color="auto"/>
      </w:divBdr>
    </w:div>
    <w:div w:id="19782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footer" Target="footer2.xml"/><Relationship Id="rId26" Type="http://schemas.openxmlformats.org/officeDocument/2006/relationships/hyperlink" Target="https://ausncp.gov.au/sites/default/files/2023-09/21-initial-assessment.pdf" TargetMode="External"/><Relationship Id="rId39" Type="http://schemas.openxmlformats.org/officeDocument/2006/relationships/header" Target="header5.xml"/><Relationship Id="rId21" Type="http://schemas.openxmlformats.org/officeDocument/2006/relationships/footer" Target="footer4.xml"/><Relationship Id="rId34" Type="http://schemas.openxmlformats.org/officeDocument/2006/relationships/hyperlink" Target="https://doi.org/10.1787/c8d7f80a-en" TargetMode="External"/><Relationship Id="rId42"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anzacportal.dva.gov.au/wars-and-missions/vietnam-war-1962-1975/events/aftermath/agent-or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yperlink" Target="mailto:secretariat@ausncp.gov.au" TargetMode="External"/><Relationship Id="rId32" Type="http://schemas.openxmlformats.org/officeDocument/2006/relationships/hyperlink" Target="https://www.oecdguidelines.nl/documents/2024/7/11/final-statement-notification-odoh-family-vs-de-shell-petroleum-development-company-of-nigeria-limited" TargetMode="External"/><Relationship Id="rId37" Type="http://schemas.openxmlformats.org/officeDocument/2006/relationships/hyperlink" Target="https://www.state.gov/wp-content/uploads/2019/04/Czechoslovakia-Final-Statement.pdf" TargetMode="Externa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secretariat@ausncp.gov.au" TargetMode="External"/><Relationship Id="rId28" Type="http://schemas.openxmlformats.org/officeDocument/2006/relationships/hyperlink" Target="https://www.bayer.com/media/en-us/bayer-closes-monsanto-acquisition/" TargetMode="External"/><Relationship Id="rId36" Type="http://schemas.openxmlformats.org/officeDocument/2006/relationships/hyperlink" Target="https://documents.un.org/doc/undoc/gen/n25/190/95/pdf/n2519095.pdf" TargetMode="Externa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yperlink" Target="https://classic.austlii.edu.au/au/other/cth/AURoyalC/1985/6.html" TargetMode="External"/><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yperlink" Target="http://www.ausncp.gov.au" TargetMode="External"/><Relationship Id="rId27" Type="http://schemas.openxmlformats.org/officeDocument/2006/relationships/hyperlink" Target="https://ausncp.gov.au/sites/default/files/2024-04/ausncp-complaint-procedures.pdf" TargetMode="External"/><Relationship Id="rId30" Type="http://schemas.openxmlformats.org/officeDocument/2006/relationships/hyperlink" Target="https://www.politico.eu/article/paris-court-rejects-agent-orange-appeal-against-bayer-monsanto/" TargetMode="External"/><Relationship Id="rId35" Type="http://schemas.openxmlformats.org/officeDocument/2006/relationships/hyperlink" Target="http://dx.doi.org/10.1787/81f92357-en" TargetMode="External"/><Relationship Id="rId43" Type="http://schemas.openxmlformats.org/officeDocument/2006/relationships/header" Target="header7.xml"/><Relationship Id="rId8" Type="http://schemas.openxmlformats.org/officeDocument/2006/relationships/hyperlink" Target="http://creativecommons.org/licenses/by/3.0/au/deed.en" TargetMode="External"/><Relationship Id="rId3" Type="http://schemas.openxmlformats.org/officeDocument/2006/relationships/settings" Target="settings.xml"/><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25" Type="http://schemas.openxmlformats.org/officeDocument/2006/relationships/hyperlink" Target="http://www.ausncp.gov.au" TargetMode="External"/><Relationship Id="rId33" Type="http://schemas.openxmlformats.org/officeDocument/2006/relationships/hyperlink" Target="https://www.science.org/doi/epdf/10.1126/science.ady4158" TargetMode="External"/><Relationship Id="rId38" Type="http://schemas.openxmlformats.org/officeDocument/2006/relationships/hyperlink" Target="http://ausncp.gov.au/about/governance-and-advisory-board" TargetMode="Externa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un.org/doc/undoc/gen/n25/190/95/pdf/n2519095.pdf" TargetMode="External"/><Relationship Id="rId13" Type="http://schemas.openxmlformats.org/officeDocument/2006/relationships/hyperlink" Target="https://www.bayer.com/media/en-us/bayer-closes-monsanto-acquisition/" TargetMode="External"/><Relationship Id="rId3" Type="http://schemas.openxmlformats.org/officeDocument/2006/relationships/hyperlink" Target="https://www.state.gov/wp-content/uploads/2019/04/Czechoslovakia-Final-Statement.pdf" TargetMode="External"/><Relationship Id="rId7" Type="http://schemas.openxmlformats.org/officeDocument/2006/relationships/hyperlink" Target="https://ausncp.gov.au/sites/default/files/2023-09/21-initial-assessment.pdf" TargetMode="External"/><Relationship Id="rId12" Type="http://schemas.openxmlformats.org/officeDocument/2006/relationships/hyperlink" Target="https://www.science.org/doi/epdf/10.1126/science.ady4158" TargetMode="External"/><Relationship Id="rId2" Type="http://schemas.openxmlformats.org/officeDocument/2006/relationships/hyperlink" Target="https://ausncp.gov.au/sites/default/files/2024-04/ausncp-complaint-procedures.pdf" TargetMode="External"/><Relationship Id="rId1" Type="http://schemas.openxmlformats.org/officeDocument/2006/relationships/hyperlink" Target="https://www.oecd.org/content/dam/oecd/en/publications/reports/2023/06/oecd-guidelines-for-multinational-enterprises-on-responsible-business-conduct_a0b49990/81f92357-en.pdf" TargetMode="External"/><Relationship Id="rId6" Type="http://schemas.openxmlformats.org/officeDocument/2006/relationships/hyperlink" Target="https://www.oecdguidelines.nl/documents/2024/7/11/final-statement-notification-odoh-family-vs-de-shell-petroleum-development-company-of-nigeria-limited" TargetMode="External"/><Relationship Id="rId11" Type="http://schemas.openxmlformats.org/officeDocument/2006/relationships/hyperlink" Target="https://www.politico.eu/article/paris-court-rejects-agent-orange-appeal-against-bayer-monsanto/" TargetMode="External"/><Relationship Id="rId5" Type="http://schemas.openxmlformats.org/officeDocument/2006/relationships/hyperlink" Target="https://doi.org/10.1787/c8d7f80a-en" TargetMode="External"/><Relationship Id="rId10" Type="http://schemas.openxmlformats.org/officeDocument/2006/relationships/hyperlink" Target="https://classic.austlii.edu.au/au/other/cth/AURoyalC/1985/6.html" TargetMode="External"/><Relationship Id="rId4" Type="http://schemas.openxmlformats.org/officeDocument/2006/relationships/hyperlink" Target="https://www.oecd.org/content/dam/oecd/en/publications/reports/2019/01/guide-for-national-contact-points-on-the-initial-assessment-of-specific-instances_e2268cca/c8d7f80a-en.pdf" TargetMode="External"/><Relationship Id="rId9" Type="http://schemas.openxmlformats.org/officeDocument/2006/relationships/hyperlink" Target="https://anzacportal.dva.gov.au/wars-and-missions/vietnam-war-1962-1975/events/aftermath/agent-orange" TargetMode="External"/><Relationship Id="rId14" Type="http://schemas.openxmlformats.org/officeDocument/2006/relationships/hyperlink" Target="https://www.publichealth.va.gov/exposures/agentorange/birth-defects/spina-bifida.asp"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10630</Words>
  <Characters>60594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Complaint 36 – Final statement</vt:lpstr>
    </vt:vector>
  </TitlesOfParts>
  <Company/>
  <LinksUpToDate>false</LinksUpToDate>
  <CharactersWithSpaces>71082</CharactersWithSpaces>
  <SharedDoc>false</SharedDoc>
  <HLinks>
    <vt:vector size="312" baseType="variant">
      <vt:variant>
        <vt:i4>4784201</vt:i4>
      </vt:variant>
      <vt:variant>
        <vt:i4>165</vt:i4>
      </vt:variant>
      <vt:variant>
        <vt:i4>0</vt:i4>
      </vt:variant>
      <vt:variant>
        <vt:i4>5</vt:i4>
      </vt:variant>
      <vt:variant>
        <vt:lpwstr>http://ausncp.gov.au/about/governance-and-advisory-board</vt:lpwstr>
      </vt:variant>
      <vt:variant>
        <vt:lpwstr/>
      </vt:variant>
      <vt:variant>
        <vt:i4>7798856</vt:i4>
      </vt:variant>
      <vt:variant>
        <vt:i4>162</vt:i4>
      </vt:variant>
      <vt:variant>
        <vt:i4>0</vt:i4>
      </vt:variant>
      <vt:variant>
        <vt:i4>5</vt:i4>
      </vt:variant>
      <vt:variant>
        <vt:lpwstr>https://www.ohchr.org/sites/default/files/documents/publications/guidingprinciplesbusinesshr_en.pdf</vt:lpwstr>
      </vt:variant>
      <vt:variant>
        <vt:lpwstr/>
      </vt:variant>
      <vt:variant>
        <vt:i4>6422640</vt:i4>
      </vt:variant>
      <vt:variant>
        <vt:i4>159</vt:i4>
      </vt:variant>
      <vt:variant>
        <vt:i4>0</vt:i4>
      </vt:variant>
      <vt:variant>
        <vt:i4>5</vt:i4>
      </vt:variant>
      <vt:variant>
        <vt:lpwstr>https://www.state.gov/wp-content/uploads/2019/04/Czechoslovakia-Final-Statement.pdf</vt:lpwstr>
      </vt:variant>
      <vt:variant>
        <vt:lpwstr/>
      </vt:variant>
      <vt:variant>
        <vt:i4>3735596</vt:i4>
      </vt:variant>
      <vt:variant>
        <vt:i4>156</vt:i4>
      </vt:variant>
      <vt:variant>
        <vt:i4>0</vt:i4>
      </vt:variant>
      <vt:variant>
        <vt:i4>5</vt:i4>
      </vt:variant>
      <vt:variant>
        <vt:lpwstr>https://documents.un.org/doc/undoc/gen/n25/190/95/pdf/n2519095.pdf</vt:lpwstr>
      </vt:variant>
      <vt:variant>
        <vt:lpwstr/>
      </vt:variant>
      <vt:variant>
        <vt:i4>131103</vt:i4>
      </vt:variant>
      <vt:variant>
        <vt:i4>153</vt:i4>
      </vt:variant>
      <vt:variant>
        <vt:i4>0</vt:i4>
      </vt:variant>
      <vt:variant>
        <vt:i4>5</vt:i4>
      </vt:variant>
      <vt:variant>
        <vt:lpwstr>http://dx.doi.org/10.1787/81f92357-en</vt:lpwstr>
      </vt:variant>
      <vt:variant>
        <vt:lpwstr/>
      </vt:variant>
      <vt:variant>
        <vt:i4>2621478</vt:i4>
      </vt:variant>
      <vt:variant>
        <vt:i4>150</vt:i4>
      </vt:variant>
      <vt:variant>
        <vt:i4>0</vt:i4>
      </vt:variant>
      <vt:variant>
        <vt:i4>5</vt:i4>
      </vt:variant>
      <vt:variant>
        <vt:lpwstr>https://doi.org/10.1787/c8d7f80a-en</vt:lpwstr>
      </vt:variant>
      <vt:variant>
        <vt:lpwstr/>
      </vt:variant>
      <vt:variant>
        <vt:i4>1048648</vt:i4>
      </vt:variant>
      <vt:variant>
        <vt:i4>147</vt:i4>
      </vt:variant>
      <vt:variant>
        <vt:i4>0</vt:i4>
      </vt:variant>
      <vt:variant>
        <vt:i4>5</vt:i4>
      </vt:variant>
      <vt:variant>
        <vt:lpwstr>https://www.science.org/doi/epdf/10.1126/science.ady4158</vt:lpwstr>
      </vt:variant>
      <vt:variant>
        <vt:lpwstr/>
      </vt:variant>
      <vt:variant>
        <vt:i4>8257638</vt:i4>
      </vt:variant>
      <vt:variant>
        <vt:i4>144</vt:i4>
      </vt:variant>
      <vt:variant>
        <vt:i4>0</vt:i4>
      </vt:variant>
      <vt:variant>
        <vt:i4>5</vt:i4>
      </vt:variant>
      <vt:variant>
        <vt:lpwstr>https://www.oecdguidelines.nl/documents/2024/7/11/final-statement-notification-odoh-family-vs-de-shell-petroleum-development-company-of-nigeria-limited</vt:lpwstr>
      </vt:variant>
      <vt:variant>
        <vt:lpwstr/>
      </vt:variant>
      <vt:variant>
        <vt:i4>1245190</vt:i4>
      </vt:variant>
      <vt:variant>
        <vt:i4>141</vt:i4>
      </vt:variant>
      <vt:variant>
        <vt:i4>0</vt:i4>
      </vt:variant>
      <vt:variant>
        <vt:i4>5</vt:i4>
      </vt:variant>
      <vt:variant>
        <vt:lpwstr>https://classic.austlii.edu.au/au/other/cth/AURoyalC/1985/6.html</vt:lpwstr>
      </vt:variant>
      <vt:variant>
        <vt:lpwstr/>
      </vt:variant>
      <vt:variant>
        <vt:i4>7471152</vt:i4>
      </vt:variant>
      <vt:variant>
        <vt:i4>138</vt:i4>
      </vt:variant>
      <vt:variant>
        <vt:i4>0</vt:i4>
      </vt:variant>
      <vt:variant>
        <vt:i4>5</vt:i4>
      </vt:variant>
      <vt:variant>
        <vt:lpwstr>https://www.politico.eu/article/paris-court-rejects-agent-orange-appeal-against-bayer-monsanto/</vt:lpwstr>
      </vt:variant>
      <vt:variant>
        <vt:lpwstr/>
      </vt:variant>
      <vt:variant>
        <vt:i4>5373975</vt:i4>
      </vt:variant>
      <vt:variant>
        <vt:i4>135</vt:i4>
      </vt:variant>
      <vt:variant>
        <vt:i4>0</vt:i4>
      </vt:variant>
      <vt:variant>
        <vt:i4>5</vt:i4>
      </vt:variant>
      <vt:variant>
        <vt:lpwstr>https://anzacportal.dva.gov.au/wars-and-missions/vietnam-war-1962-1975/events/aftermath/agent-orange</vt:lpwstr>
      </vt:variant>
      <vt:variant>
        <vt:lpwstr/>
      </vt:variant>
      <vt:variant>
        <vt:i4>1704019</vt:i4>
      </vt:variant>
      <vt:variant>
        <vt:i4>132</vt:i4>
      </vt:variant>
      <vt:variant>
        <vt:i4>0</vt:i4>
      </vt:variant>
      <vt:variant>
        <vt:i4>5</vt:i4>
      </vt:variant>
      <vt:variant>
        <vt:lpwstr>https://www.bayer.com/media/en-us/bayer-closes-monsanto-acquisition/</vt:lpwstr>
      </vt:variant>
      <vt:variant>
        <vt:lpwstr/>
      </vt:variant>
      <vt:variant>
        <vt:i4>5046361</vt:i4>
      </vt:variant>
      <vt:variant>
        <vt:i4>129</vt:i4>
      </vt:variant>
      <vt:variant>
        <vt:i4>0</vt:i4>
      </vt:variant>
      <vt:variant>
        <vt:i4>5</vt:i4>
      </vt:variant>
      <vt:variant>
        <vt:lpwstr>https://ausncp.gov.au/sites/default/files/2024-04/ausncp-complaint-procedures.pdf</vt:lpwstr>
      </vt:variant>
      <vt:variant>
        <vt:lpwstr/>
      </vt:variant>
      <vt:variant>
        <vt:i4>6422652</vt:i4>
      </vt:variant>
      <vt:variant>
        <vt:i4>126</vt:i4>
      </vt:variant>
      <vt:variant>
        <vt:i4>0</vt:i4>
      </vt:variant>
      <vt:variant>
        <vt:i4>5</vt:i4>
      </vt:variant>
      <vt:variant>
        <vt:lpwstr>https://ausncp.gov.au/sites/default/files/2023-09/21-initial-assessment.pdf</vt:lpwstr>
      </vt:variant>
      <vt:variant>
        <vt:lpwstr/>
      </vt:variant>
      <vt:variant>
        <vt:i4>4194379</vt:i4>
      </vt:variant>
      <vt:variant>
        <vt:i4>123</vt:i4>
      </vt:variant>
      <vt:variant>
        <vt:i4>0</vt:i4>
      </vt:variant>
      <vt:variant>
        <vt:i4>5</vt:i4>
      </vt:variant>
      <vt:variant>
        <vt:lpwstr>http://www.ausncp.gov.au/</vt:lpwstr>
      </vt:variant>
      <vt:variant>
        <vt:lpwstr/>
      </vt:variant>
      <vt:variant>
        <vt:i4>97</vt:i4>
      </vt:variant>
      <vt:variant>
        <vt:i4>120</vt:i4>
      </vt:variant>
      <vt:variant>
        <vt:i4>0</vt:i4>
      </vt:variant>
      <vt:variant>
        <vt:i4>5</vt:i4>
      </vt:variant>
      <vt:variant>
        <vt:lpwstr>mailto:secretariat@ausncp.gov.au</vt:lpwstr>
      </vt:variant>
      <vt:variant>
        <vt:lpwstr/>
      </vt:variant>
      <vt:variant>
        <vt:i4>97</vt:i4>
      </vt:variant>
      <vt:variant>
        <vt:i4>111</vt:i4>
      </vt:variant>
      <vt:variant>
        <vt:i4>0</vt:i4>
      </vt:variant>
      <vt:variant>
        <vt:i4>5</vt:i4>
      </vt:variant>
      <vt:variant>
        <vt:lpwstr>mailto:secretariat@ausncp.gov.au</vt:lpwstr>
      </vt:variant>
      <vt:variant>
        <vt:lpwstr/>
      </vt:variant>
      <vt:variant>
        <vt:i4>4194379</vt:i4>
      </vt:variant>
      <vt:variant>
        <vt:i4>108</vt:i4>
      </vt:variant>
      <vt:variant>
        <vt:i4>0</vt:i4>
      </vt:variant>
      <vt:variant>
        <vt:i4>5</vt:i4>
      </vt:variant>
      <vt:variant>
        <vt:lpwstr>http://www.ausncp.gov.au/</vt:lpwstr>
      </vt:variant>
      <vt:variant>
        <vt:lpwstr/>
      </vt:variant>
      <vt:variant>
        <vt:i4>1245238</vt:i4>
      </vt:variant>
      <vt:variant>
        <vt:i4>101</vt:i4>
      </vt:variant>
      <vt:variant>
        <vt:i4>0</vt:i4>
      </vt:variant>
      <vt:variant>
        <vt:i4>5</vt:i4>
      </vt:variant>
      <vt:variant>
        <vt:lpwstr/>
      </vt:variant>
      <vt:variant>
        <vt:lpwstr>_Toc230341055</vt:lpwstr>
      </vt:variant>
      <vt:variant>
        <vt:i4>1245238</vt:i4>
      </vt:variant>
      <vt:variant>
        <vt:i4>95</vt:i4>
      </vt:variant>
      <vt:variant>
        <vt:i4>0</vt:i4>
      </vt:variant>
      <vt:variant>
        <vt:i4>5</vt:i4>
      </vt:variant>
      <vt:variant>
        <vt:lpwstr/>
      </vt:variant>
      <vt:variant>
        <vt:lpwstr>_Toc230341054</vt:lpwstr>
      </vt:variant>
      <vt:variant>
        <vt:i4>1245238</vt:i4>
      </vt:variant>
      <vt:variant>
        <vt:i4>89</vt:i4>
      </vt:variant>
      <vt:variant>
        <vt:i4>0</vt:i4>
      </vt:variant>
      <vt:variant>
        <vt:i4>5</vt:i4>
      </vt:variant>
      <vt:variant>
        <vt:lpwstr/>
      </vt:variant>
      <vt:variant>
        <vt:lpwstr>_Toc230341053</vt:lpwstr>
      </vt:variant>
      <vt:variant>
        <vt:i4>1245238</vt:i4>
      </vt:variant>
      <vt:variant>
        <vt:i4>83</vt:i4>
      </vt:variant>
      <vt:variant>
        <vt:i4>0</vt:i4>
      </vt:variant>
      <vt:variant>
        <vt:i4>5</vt:i4>
      </vt:variant>
      <vt:variant>
        <vt:lpwstr/>
      </vt:variant>
      <vt:variant>
        <vt:lpwstr>_Toc230341052</vt:lpwstr>
      </vt:variant>
      <vt:variant>
        <vt:i4>1245238</vt:i4>
      </vt:variant>
      <vt:variant>
        <vt:i4>77</vt:i4>
      </vt:variant>
      <vt:variant>
        <vt:i4>0</vt:i4>
      </vt:variant>
      <vt:variant>
        <vt:i4>5</vt:i4>
      </vt:variant>
      <vt:variant>
        <vt:lpwstr/>
      </vt:variant>
      <vt:variant>
        <vt:lpwstr>_Toc230341051</vt:lpwstr>
      </vt:variant>
      <vt:variant>
        <vt:i4>1245238</vt:i4>
      </vt:variant>
      <vt:variant>
        <vt:i4>71</vt:i4>
      </vt:variant>
      <vt:variant>
        <vt:i4>0</vt:i4>
      </vt:variant>
      <vt:variant>
        <vt:i4>5</vt:i4>
      </vt:variant>
      <vt:variant>
        <vt:lpwstr/>
      </vt:variant>
      <vt:variant>
        <vt:lpwstr>_Toc230341050</vt:lpwstr>
      </vt:variant>
      <vt:variant>
        <vt:i4>1179702</vt:i4>
      </vt:variant>
      <vt:variant>
        <vt:i4>65</vt:i4>
      </vt:variant>
      <vt:variant>
        <vt:i4>0</vt:i4>
      </vt:variant>
      <vt:variant>
        <vt:i4>5</vt:i4>
      </vt:variant>
      <vt:variant>
        <vt:lpwstr/>
      </vt:variant>
      <vt:variant>
        <vt:lpwstr>_Toc230341049</vt:lpwstr>
      </vt:variant>
      <vt:variant>
        <vt:i4>1179702</vt:i4>
      </vt:variant>
      <vt:variant>
        <vt:i4>59</vt:i4>
      </vt:variant>
      <vt:variant>
        <vt:i4>0</vt:i4>
      </vt:variant>
      <vt:variant>
        <vt:i4>5</vt:i4>
      </vt:variant>
      <vt:variant>
        <vt:lpwstr/>
      </vt:variant>
      <vt:variant>
        <vt:lpwstr>_Toc230341048</vt:lpwstr>
      </vt:variant>
      <vt:variant>
        <vt:i4>1179702</vt:i4>
      </vt:variant>
      <vt:variant>
        <vt:i4>53</vt:i4>
      </vt:variant>
      <vt:variant>
        <vt:i4>0</vt:i4>
      </vt:variant>
      <vt:variant>
        <vt:i4>5</vt:i4>
      </vt:variant>
      <vt:variant>
        <vt:lpwstr/>
      </vt:variant>
      <vt:variant>
        <vt:lpwstr>_Toc230341047</vt:lpwstr>
      </vt:variant>
      <vt:variant>
        <vt:i4>1179702</vt:i4>
      </vt:variant>
      <vt:variant>
        <vt:i4>47</vt:i4>
      </vt:variant>
      <vt:variant>
        <vt:i4>0</vt:i4>
      </vt:variant>
      <vt:variant>
        <vt:i4>5</vt:i4>
      </vt:variant>
      <vt:variant>
        <vt:lpwstr/>
      </vt:variant>
      <vt:variant>
        <vt:lpwstr>_Toc230341046</vt:lpwstr>
      </vt:variant>
      <vt:variant>
        <vt:i4>1179702</vt:i4>
      </vt:variant>
      <vt:variant>
        <vt:i4>41</vt:i4>
      </vt:variant>
      <vt:variant>
        <vt:i4>0</vt:i4>
      </vt:variant>
      <vt:variant>
        <vt:i4>5</vt:i4>
      </vt:variant>
      <vt:variant>
        <vt:lpwstr/>
      </vt:variant>
      <vt:variant>
        <vt:lpwstr>_Toc230341045</vt:lpwstr>
      </vt:variant>
      <vt:variant>
        <vt:i4>1179702</vt:i4>
      </vt:variant>
      <vt:variant>
        <vt:i4>35</vt:i4>
      </vt:variant>
      <vt:variant>
        <vt:i4>0</vt:i4>
      </vt:variant>
      <vt:variant>
        <vt:i4>5</vt:i4>
      </vt:variant>
      <vt:variant>
        <vt:lpwstr/>
      </vt:variant>
      <vt:variant>
        <vt:lpwstr>_Toc230341044</vt:lpwstr>
      </vt:variant>
      <vt:variant>
        <vt:i4>1179702</vt:i4>
      </vt:variant>
      <vt:variant>
        <vt:i4>29</vt:i4>
      </vt:variant>
      <vt:variant>
        <vt:i4>0</vt:i4>
      </vt:variant>
      <vt:variant>
        <vt:i4>5</vt:i4>
      </vt:variant>
      <vt:variant>
        <vt:lpwstr/>
      </vt:variant>
      <vt:variant>
        <vt:lpwstr>_Toc230341043</vt:lpwstr>
      </vt:variant>
      <vt:variant>
        <vt:i4>1179702</vt:i4>
      </vt:variant>
      <vt:variant>
        <vt:i4>23</vt:i4>
      </vt:variant>
      <vt:variant>
        <vt:i4>0</vt:i4>
      </vt:variant>
      <vt:variant>
        <vt:i4>5</vt:i4>
      </vt:variant>
      <vt:variant>
        <vt:lpwstr/>
      </vt:variant>
      <vt:variant>
        <vt:lpwstr>_Toc230341042</vt:lpwstr>
      </vt:variant>
      <vt:variant>
        <vt:i4>1179702</vt:i4>
      </vt:variant>
      <vt:variant>
        <vt:i4>17</vt:i4>
      </vt:variant>
      <vt:variant>
        <vt:i4>0</vt:i4>
      </vt:variant>
      <vt:variant>
        <vt:i4>5</vt:i4>
      </vt:variant>
      <vt:variant>
        <vt:lpwstr/>
      </vt:variant>
      <vt:variant>
        <vt:lpwstr>_Toc230341041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262234</vt:i4>
      </vt:variant>
      <vt:variant>
        <vt:i4>42</vt:i4>
      </vt:variant>
      <vt:variant>
        <vt:i4>0</vt:i4>
      </vt:variant>
      <vt:variant>
        <vt:i4>5</vt:i4>
      </vt:variant>
      <vt:variant>
        <vt:lpwstr>https://www.publichealth.va.gov/exposures/agentorange/birth-defects/spina-bifida.asp</vt:lpwstr>
      </vt:variant>
      <vt:variant>
        <vt:lpwstr/>
      </vt:variant>
      <vt:variant>
        <vt:i4>1704019</vt:i4>
      </vt:variant>
      <vt:variant>
        <vt:i4>39</vt:i4>
      </vt:variant>
      <vt:variant>
        <vt:i4>0</vt:i4>
      </vt:variant>
      <vt:variant>
        <vt:i4>5</vt:i4>
      </vt:variant>
      <vt:variant>
        <vt:lpwstr>https://www.bayer.com/media/en-us/bayer-closes-monsanto-acquisition/</vt:lpwstr>
      </vt:variant>
      <vt:variant>
        <vt:lpwstr/>
      </vt:variant>
      <vt:variant>
        <vt:i4>1048648</vt:i4>
      </vt:variant>
      <vt:variant>
        <vt:i4>36</vt:i4>
      </vt:variant>
      <vt:variant>
        <vt:i4>0</vt:i4>
      </vt:variant>
      <vt:variant>
        <vt:i4>5</vt:i4>
      </vt:variant>
      <vt:variant>
        <vt:lpwstr>https://www.science.org/doi/epdf/10.1126/science.ady4158</vt:lpwstr>
      </vt:variant>
      <vt:variant>
        <vt:lpwstr/>
      </vt:variant>
      <vt:variant>
        <vt:i4>7471152</vt:i4>
      </vt:variant>
      <vt:variant>
        <vt:i4>33</vt:i4>
      </vt:variant>
      <vt:variant>
        <vt:i4>0</vt:i4>
      </vt:variant>
      <vt:variant>
        <vt:i4>5</vt:i4>
      </vt:variant>
      <vt:variant>
        <vt:lpwstr>https://www.politico.eu/article/paris-court-rejects-agent-orange-appeal-against-bayer-monsanto/</vt:lpwstr>
      </vt:variant>
      <vt:variant>
        <vt:lpwstr/>
      </vt:variant>
      <vt:variant>
        <vt:i4>1245190</vt:i4>
      </vt:variant>
      <vt:variant>
        <vt:i4>27</vt:i4>
      </vt:variant>
      <vt:variant>
        <vt:i4>0</vt:i4>
      </vt:variant>
      <vt:variant>
        <vt:i4>5</vt:i4>
      </vt:variant>
      <vt:variant>
        <vt:lpwstr>https://classic.austlii.edu.au/au/other/cth/AURoyalC/1985/6.html</vt:lpwstr>
      </vt:variant>
      <vt:variant>
        <vt:lpwstr/>
      </vt:variant>
      <vt:variant>
        <vt:i4>5373975</vt:i4>
      </vt:variant>
      <vt:variant>
        <vt:i4>24</vt:i4>
      </vt:variant>
      <vt:variant>
        <vt:i4>0</vt:i4>
      </vt:variant>
      <vt:variant>
        <vt:i4>5</vt:i4>
      </vt:variant>
      <vt:variant>
        <vt:lpwstr>https://anzacportal.dva.gov.au/wars-and-missions/vietnam-war-1962-1975/events/aftermath/agent-orange</vt:lpwstr>
      </vt:variant>
      <vt:variant>
        <vt:lpwstr/>
      </vt:variant>
      <vt:variant>
        <vt:i4>3735596</vt:i4>
      </vt:variant>
      <vt:variant>
        <vt:i4>21</vt:i4>
      </vt:variant>
      <vt:variant>
        <vt:i4>0</vt:i4>
      </vt:variant>
      <vt:variant>
        <vt:i4>5</vt:i4>
      </vt:variant>
      <vt:variant>
        <vt:lpwstr>https://documents.un.org/doc/undoc/gen/n25/190/95/pdf/n2519095.pdf</vt:lpwstr>
      </vt:variant>
      <vt:variant>
        <vt:lpwstr/>
      </vt:variant>
      <vt:variant>
        <vt:i4>6422652</vt:i4>
      </vt:variant>
      <vt:variant>
        <vt:i4>18</vt:i4>
      </vt:variant>
      <vt:variant>
        <vt:i4>0</vt:i4>
      </vt:variant>
      <vt:variant>
        <vt:i4>5</vt:i4>
      </vt:variant>
      <vt:variant>
        <vt:lpwstr>https://ausncp.gov.au/sites/default/files/2023-09/21-initial-assessment.pdf</vt:lpwstr>
      </vt:variant>
      <vt:variant>
        <vt:lpwstr/>
      </vt:variant>
      <vt:variant>
        <vt:i4>8257638</vt:i4>
      </vt:variant>
      <vt:variant>
        <vt:i4>15</vt:i4>
      </vt:variant>
      <vt:variant>
        <vt:i4>0</vt:i4>
      </vt:variant>
      <vt:variant>
        <vt:i4>5</vt:i4>
      </vt:variant>
      <vt:variant>
        <vt:lpwstr>https://www.oecdguidelines.nl/documents/2024/7/11/final-statement-notification-odoh-family-vs-de-shell-petroleum-development-company-of-nigeria-limited</vt:lpwstr>
      </vt:variant>
      <vt:variant>
        <vt:lpwstr/>
      </vt:variant>
      <vt:variant>
        <vt:i4>2621478</vt:i4>
      </vt:variant>
      <vt:variant>
        <vt:i4>12</vt:i4>
      </vt:variant>
      <vt:variant>
        <vt:i4>0</vt:i4>
      </vt:variant>
      <vt:variant>
        <vt:i4>5</vt:i4>
      </vt:variant>
      <vt:variant>
        <vt:lpwstr>https://doi.org/10.1787/c8d7f80a-en</vt:lpwstr>
      </vt:variant>
      <vt:variant>
        <vt:lpwstr/>
      </vt:variant>
      <vt:variant>
        <vt:i4>6553677</vt:i4>
      </vt:variant>
      <vt:variant>
        <vt:i4>9</vt:i4>
      </vt:variant>
      <vt:variant>
        <vt:i4>0</vt:i4>
      </vt:variant>
      <vt:variant>
        <vt:i4>5</vt:i4>
      </vt:variant>
      <vt:variant>
        <vt:lpwstr>https://www.oecd.org/content/dam/oecd/en/publications/reports/2019/01/guide-for-national-contact-points-on-the-initial-assessment-of-specific-instances_e2268cca/c8d7f80a-en.pdf</vt:lpwstr>
      </vt:variant>
      <vt:variant>
        <vt:lpwstr/>
      </vt:variant>
      <vt:variant>
        <vt:i4>6422640</vt:i4>
      </vt:variant>
      <vt:variant>
        <vt:i4>6</vt:i4>
      </vt:variant>
      <vt:variant>
        <vt:i4>0</vt:i4>
      </vt:variant>
      <vt:variant>
        <vt:i4>5</vt:i4>
      </vt:variant>
      <vt:variant>
        <vt:lpwstr>https://www.state.gov/wp-content/uploads/2019/04/Czechoslovakia-Final-Statement.pdf</vt:lpwstr>
      </vt:variant>
      <vt:variant>
        <vt:lpwstr/>
      </vt:variant>
      <vt:variant>
        <vt:i4>5046361</vt:i4>
      </vt:variant>
      <vt:variant>
        <vt:i4>3</vt:i4>
      </vt:variant>
      <vt:variant>
        <vt:i4>0</vt:i4>
      </vt:variant>
      <vt:variant>
        <vt:i4>5</vt:i4>
      </vt:variant>
      <vt:variant>
        <vt:lpwstr>https://ausncp.gov.au/sites/default/files/2024-04/ausncp-complaint-procedures.pdf</vt:lpwstr>
      </vt:variant>
      <vt:variant>
        <vt:lpwstr/>
      </vt:variant>
      <vt:variant>
        <vt:i4>7209046</vt:i4>
      </vt:variant>
      <vt:variant>
        <vt:i4>0</vt:i4>
      </vt:variant>
      <vt:variant>
        <vt:i4>0</vt:i4>
      </vt:variant>
      <vt:variant>
        <vt:i4>5</vt:i4>
      </vt:variant>
      <vt:variant>
        <vt:lpwstr>https://www.oecd.org/content/dam/oecd/en/publications/reports/2023/06/oecd-guidelines-for-multinational-enterprises-on-responsible-business-conduct_a0b49990/81f92357-en.pdf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36 – Final statement</dc:title>
  <dc:subject/>
  <dc:creator>Australian Government</dc:creator>
  <cp:keywords/>
  <dc:description/>
  <cp:lastModifiedBy/>
  <cp:revision>1</cp:revision>
  <dcterms:created xsi:type="dcterms:W3CDTF">2026-05-22T06:57:00Z</dcterms:created>
  <dcterms:modified xsi:type="dcterms:W3CDTF">2026-05-22T06:57:00Z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2026-05-22T06:57:40Z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7f0ed88c-0e11-4603-b713-6849df64ab33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