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944F9" w14:textId="4653903C" w:rsidR="00CA00A9" w:rsidRDefault="00CA00A9" w:rsidP="00CA00A9">
      <w:pPr>
        <w:rPr>
          <w:b/>
          <w:bCs/>
        </w:rPr>
      </w:pPr>
    </w:p>
    <w:p w14:paraId="19C7CD84" w14:textId="77777777" w:rsidR="00CA00A9" w:rsidRDefault="00CA00A9" w:rsidP="00CA00A9">
      <w:pPr>
        <w:rPr>
          <w:b/>
          <w:bCs/>
        </w:rPr>
      </w:pPr>
    </w:p>
    <w:p w14:paraId="2123F841" w14:textId="77777777" w:rsidR="00CA00A9" w:rsidRDefault="00CA00A9" w:rsidP="00CA00A9">
      <w:pPr>
        <w:rPr>
          <w:b/>
          <w:bCs/>
        </w:rPr>
      </w:pPr>
    </w:p>
    <w:p w14:paraId="7BF78B09" w14:textId="77777777" w:rsidR="00CA00A9" w:rsidRDefault="00CA00A9" w:rsidP="00CA00A9">
      <w:pPr>
        <w:rPr>
          <w:b/>
          <w:bCs/>
        </w:rPr>
      </w:pPr>
    </w:p>
    <w:p w14:paraId="629DC5AA" w14:textId="77777777" w:rsidR="00CA00A9" w:rsidRDefault="00CA00A9" w:rsidP="00CA00A9">
      <w:pPr>
        <w:rPr>
          <w:b/>
          <w:bCs/>
        </w:rPr>
      </w:pPr>
    </w:p>
    <w:p w14:paraId="59B4EC17" w14:textId="77777777" w:rsidR="00CA00A9" w:rsidRDefault="00CA00A9" w:rsidP="00A016B2">
      <w:pPr>
        <w:tabs>
          <w:tab w:val="left" w:pos="4200"/>
        </w:tabs>
      </w:pPr>
    </w:p>
    <w:sdt>
      <w:sdtPr>
        <w:id w:val="-1442289537"/>
        <w:docPartObj>
          <w:docPartGallery w:val="Cover Pages"/>
          <w:docPartUnique/>
        </w:docPartObj>
      </w:sdtPr>
      <w:sdtEndPr/>
      <w:sdtContent>
        <w:p w14:paraId="0CD20653" w14:textId="0FC8FB00" w:rsidR="00CA00A9" w:rsidRDefault="00CA00A9" w:rsidP="00CA00A9">
          <w:pPr>
            <w:tabs>
              <w:tab w:val="left" w:pos="4200"/>
            </w:tabs>
          </w:pPr>
          <w:r>
            <w:rPr>
              <w:noProof/>
            </w:rPr>
            <w:drawing>
              <wp:anchor distT="0" distB="0" distL="114300" distR="114300" simplePos="0" relativeHeight="251658240" behindDoc="1" locked="0" layoutInCell="1" allowOverlap="1" wp14:anchorId="173BA1E7" wp14:editId="0899ED83">
                <wp:simplePos x="0" y="0"/>
                <wp:positionH relativeFrom="page">
                  <wp:posOffset>12152</wp:posOffset>
                </wp:positionH>
                <wp:positionV relativeFrom="page">
                  <wp:posOffset>39080</wp:posOffset>
                </wp:positionV>
                <wp:extent cx="7570799" cy="1070901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70799" cy="107090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495B11" w14:textId="195F7AEC" w:rsidR="00CA00A9" w:rsidRPr="006923DF" w:rsidRDefault="00CA00A9" w:rsidP="00CA00A9">
          <w:pPr>
            <w:pStyle w:val="Title"/>
            <w:tabs>
              <w:tab w:val="left" w:pos="6379"/>
            </w:tabs>
            <w:spacing w:after="120" w:line="720" w:lineRule="exact"/>
            <w:ind w:right="1982"/>
          </w:pPr>
          <w:r>
            <w:t xml:space="preserve">AusNCP complaint procedures </w:t>
          </w:r>
        </w:p>
        <w:p w14:paraId="49378EDD" w14:textId="77777777" w:rsidR="00CA00A9" w:rsidRPr="006923DF" w:rsidRDefault="00CA00A9" w:rsidP="00CA00A9">
          <w:pPr>
            <w:pStyle w:val="Subtitle"/>
            <w:spacing w:after="360"/>
          </w:pPr>
          <w:r w:rsidRPr="006923DF">
            <w:fldChar w:fldCharType="begin"/>
          </w:r>
          <w:r w:rsidRPr="006923DF">
            <w:instrText xml:space="preserve"> macrobutton NoMacro [Sub title]</w:instrText>
          </w:r>
          <w:r w:rsidRPr="006923DF">
            <w:fldChar w:fldCharType="end"/>
          </w:r>
        </w:p>
        <w:p w14:paraId="53B50C09" w14:textId="34E2E867" w:rsidR="00AE297E" w:rsidRPr="00586605" w:rsidRDefault="00CA00A9" w:rsidP="00CA00A9">
          <w:pPr>
            <w:pStyle w:val="ReportDate"/>
          </w:pPr>
          <w:r>
            <w:rPr>
              <w:rStyle w:val="ReportDateChar"/>
            </w:rPr>
            <w:t xml:space="preserve">Version: </w:t>
          </w:r>
          <w:r w:rsidR="00CD00BA">
            <w:rPr>
              <w:rStyle w:val="ReportDateChar"/>
            </w:rPr>
            <w:t xml:space="preserve">9 </w:t>
          </w:r>
          <w:r w:rsidR="00780376">
            <w:rPr>
              <w:rStyle w:val="ReportDateChar"/>
            </w:rPr>
            <w:t>April</w:t>
          </w:r>
          <w:r w:rsidR="003548B5">
            <w:rPr>
              <w:rStyle w:val="ReportDateChar"/>
            </w:rPr>
            <w:t xml:space="preserve"> </w:t>
          </w:r>
          <w:r>
            <w:rPr>
              <w:rStyle w:val="ReportDateChar"/>
            </w:rPr>
            <w:t>202</w:t>
          </w:r>
          <w:r w:rsidR="004254B9">
            <w:rPr>
              <w:rStyle w:val="ReportDateChar"/>
            </w:rPr>
            <w:t>4</w:t>
          </w:r>
        </w:p>
        <w:p w14:paraId="2BD1BAC9" w14:textId="77777777" w:rsidR="00CA00A9" w:rsidRDefault="00CA00A9" w:rsidP="00CA00A9">
          <w:pPr>
            <w:rPr>
              <w:noProof/>
            </w:rPr>
          </w:pPr>
        </w:p>
        <w:p w14:paraId="27F77103" w14:textId="77777777" w:rsidR="00CA00A9" w:rsidRDefault="00CA00A9" w:rsidP="00CA00A9">
          <w:pPr>
            <w:rPr>
              <w:noProof/>
            </w:rPr>
          </w:pPr>
        </w:p>
        <w:p w14:paraId="5AB73836" w14:textId="77777777" w:rsidR="00CA00A9" w:rsidRDefault="00CA00A9" w:rsidP="00CA00A9">
          <w:r>
            <w:br w:type="page"/>
          </w:r>
        </w:p>
      </w:sdtContent>
    </w:sdt>
    <w:p w14:paraId="41F44B54" w14:textId="77777777" w:rsidR="00CA00A9" w:rsidRDefault="00CA00A9" w:rsidP="00CA00A9">
      <w:r w:rsidRPr="00661BF0">
        <w:lastRenderedPageBreak/>
        <w:t xml:space="preserve">© Commonwealth of Australia </w:t>
      </w:r>
      <w:r w:rsidRPr="002E2B17">
        <w:t>202</w:t>
      </w:r>
      <w:r>
        <w:t>4</w:t>
      </w:r>
    </w:p>
    <w:p w14:paraId="53FABBF1" w14:textId="77777777" w:rsidR="00CA00A9" w:rsidRPr="00086F82" w:rsidRDefault="00CA00A9" w:rsidP="00CA00A9">
      <w:pPr>
        <w:tabs>
          <w:tab w:val="left" w:pos="1650"/>
        </w:tabs>
        <w:spacing w:before="240"/>
        <w:rPr>
          <w:sz w:val="24"/>
          <w:szCs w:val="24"/>
        </w:rPr>
      </w:pPr>
      <w:r w:rsidRPr="002F1BC2">
        <w:t>This publication is available for your use under a</w:t>
      </w:r>
      <w:r w:rsidRPr="00476F09">
        <w:rPr>
          <w:rFonts w:cstheme="minorHAnsi"/>
          <w:sz w:val="24"/>
          <w:szCs w:val="24"/>
        </w:rPr>
        <w:t xml:space="preserve"> </w:t>
      </w:r>
      <w:hyperlink r:id="rId13"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t xml:space="preserve">. </w:t>
      </w:r>
      <w:r w:rsidRPr="002F1BC2">
        <w:t>The full licence terms are available from</w:t>
      </w:r>
      <w:r w:rsidRPr="00476F09">
        <w:rPr>
          <w:rFonts w:cstheme="minorHAnsi"/>
          <w:sz w:val="24"/>
          <w:szCs w:val="24"/>
        </w:rPr>
        <w:t xml:space="preserve"> </w:t>
      </w:r>
      <w:hyperlink r:id="rId14"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5508F201" w14:textId="77777777" w:rsidR="00CA00A9" w:rsidRDefault="00CA00A9" w:rsidP="00CA00A9">
      <w:pPr>
        <w:pStyle w:val="ChartGraphic"/>
        <w:jc w:val="left"/>
      </w:pPr>
      <w:r w:rsidRPr="00E56DFB">
        <w:rPr>
          <w:noProof/>
        </w:rPr>
        <w:drawing>
          <wp:inline distT="0" distB="0" distL="0" distR="0" wp14:anchorId="67A70055" wp14:editId="0CC499A5">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338E7F4" w14:textId="77777777" w:rsidR="00CA00A9" w:rsidRPr="006627B4" w:rsidRDefault="00CA00A9" w:rsidP="00CA00A9">
      <w:pPr>
        <w:tabs>
          <w:tab w:val="left" w:pos="1650"/>
        </w:tabs>
        <w:spacing w:before="240"/>
      </w:pPr>
      <w:r w:rsidRPr="006627B4">
        <w:t>Use of Treasury material under a</w:t>
      </w:r>
      <w:r w:rsidRPr="00476F09">
        <w:rPr>
          <w:rFonts w:cstheme="minorHAnsi"/>
          <w:sz w:val="24"/>
          <w:szCs w:val="24"/>
        </w:rPr>
        <w:t xml:space="preserve"> </w:t>
      </w:r>
      <w:hyperlink r:id="rId16" w:history="1">
        <w:r w:rsidRPr="002F1BC2">
          <w:rPr>
            <w:rStyle w:val="Hyperlink"/>
          </w:rPr>
          <w:t>Creative Commons Attribution 3.0 Australia</w:t>
        </w:r>
      </w:hyperlink>
      <w:r>
        <w:t xml:space="preserve"> l</w:t>
      </w:r>
      <w:r w:rsidRPr="006627B4">
        <w:t>icence requires you to attribute the work (but not in any way that suggests that the Treasury endorse</w:t>
      </w:r>
      <w:r>
        <w:t>s you or your use of the work).</w:t>
      </w:r>
    </w:p>
    <w:p w14:paraId="49276271" w14:textId="77777777" w:rsidR="00CA00A9" w:rsidRPr="006469CC" w:rsidRDefault="00CA00A9" w:rsidP="00CA00A9">
      <w:pPr>
        <w:spacing w:before="240"/>
        <w:rPr>
          <w:b/>
        </w:rPr>
      </w:pPr>
      <w:r w:rsidRPr="006469CC">
        <w:rPr>
          <w:b/>
        </w:rPr>
        <w:t>Treasury material used ‘as supplied’</w:t>
      </w:r>
    </w:p>
    <w:p w14:paraId="06F86AFC" w14:textId="77777777" w:rsidR="00CA00A9" w:rsidRPr="00476F09" w:rsidRDefault="00CA00A9" w:rsidP="00CA00A9">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32D0889" w14:textId="77777777" w:rsidR="00CA00A9" w:rsidRPr="002E2B17" w:rsidRDefault="00CA00A9" w:rsidP="00CA00A9">
      <w:pPr>
        <w:ind w:firstLine="720"/>
      </w:pPr>
      <w:r w:rsidRPr="002F1BC2">
        <w:rPr>
          <w:i/>
        </w:rPr>
        <w:t xml:space="preserve">Source: The </w:t>
      </w:r>
      <w:r w:rsidRPr="002F1BC2">
        <w:rPr>
          <w:i/>
          <w:iCs/>
        </w:rPr>
        <w:t>Australian Government the Treasury</w:t>
      </w:r>
      <w:r>
        <w:t>.</w:t>
      </w:r>
    </w:p>
    <w:p w14:paraId="71AD3214" w14:textId="77777777" w:rsidR="00CA00A9" w:rsidRPr="006627B4" w:rsidRDefault="00CA00A9" w:rsidP="00CA00A9">
      <w:pPr>
        <w:spacing w:before="240"/>
      </w:pPr>
      <w:r w:rsidRPr="00CC63CC">
        <w:rPr>
          <w:b/>
        </w:rPr>
        <w:t>Derivative</w:t>
      </w:r>
      <w:r w:rsidRPr="006627B4">
        <w:t xml:space="preserve"> </w:t>
      </w:r>
      <w:r w:rsidRPr="00CC63CC">
        <w:rPr>
          <w:b/>
        </w:rPr>
        <w:t>material</w:t>
      </w:r>
    </w:p>
    <w:p w14:paraId="1C671FF5" w14:textId="77777777" w:rsidR="00CA00A9" w:rsidRPr="006627B4" w:rsidRDefault="00CA00A9" w:rsidP="00CA00A9">
      <w:r w:rsidRPr="006627B4">
        <w:t xml:space="preserve">If you have modified or transformed Treasury material, or derived new material from those of the Treasury in any way, then Treasury prefers the following attribution: </w:t>
      </w:r>
    </w:p>
    <w:p w14:paraId="3B41B9C5" w14:textId="77777777" w:rsidR="00CA00A9" w:rsidRPr="006627B4" w:rsidRDefault="00CA00A9" w:rsidP="00CA00A9">
      <w:pPr>
        <w:ind w:firstLine="720"/>
      </w:pPr>
      <w:r w:rsidRPr="002F1BC2">
        <w:rPr>
          <w:i/>
        </w:rPr>
        <w:t>Based on The Australian Government the Treasury data</w:t>
      </w:r>
      <w:r>
        <w:t>.</w:t>
      </w:r>
    </w:p>
    <w:p w14:paraId="63808425" w14:textId="77777777" w:rsidR="00CA00A9" w:rsidRPr="006627B4" w:rsidRDefault="00CA00A9" w:rsidP="00CA00A9">
      <w:pPr>
        <w:spacing w:before="240"/>
        <w:rPr>
          <w:b/>
        </w:rPr>
      </w:pPr>
      <w:r w:rsidRPr="006627B4">
        <w:rPr>
          <w:b/>
        </w:rPr>
        <w:t>Use of the Coat of Arms</w:t>
      </w:r>
    </w:p>
    <w:p w14:paraId="545A6784" w14:textId="77777777" w:rsidR="00CA00A9" w:rsidRPr="005C503A" w:rsidRDefault="00CA00A9" w:rsidP="00CA00A9">
      <w:pPr>
        <w:spacing w:before="240"/>
      </w:pPr>
      <w:r w:rsidRPr="005C503A">
        <w:t xml:space="preserve">The terms under which the Coat of Arms can be used are set out on the Department of the Prime Minister and Cabinet website (see </w:t>
      </w:r>
      <w:hyperlink r:id="rId17" w:history="1">
        <w:r>
          <w:rPr>
            <w:rStyle w:val="Hyperlink"/>
          </w:rPr>
          <w:t>www.pmc.gov.au/government/commonwealth-coat-arms</w:t>
        </w:r>
      </w:hyperlink>
      <w:r w:rsidRPr="005C503A">
        <w:t>).</w:t>
      </w:r>
    </w:p>
    <w:p w14:paraId="2B421842" w14:textId="77777777" w:rsidR="00CA00A9" w:rsidRPr="006627B4" w:rsidRDefault="00CA00A9" w:rsidP="00CA00A9">
      <w:pPr>
        <w:spacing w:before="240"/>
        <w:rPr>
          <w:b/>
        </w:rPr>
      </w:pPr>
      <w:r>
        <w:rPr>
          <w:b/>
        </w:rPr>
        <w:t>Other u</w:t>
      </w:r>
      <w:r w:rsidRPr="006627B4">
        <w:rPr>
          <w:b/>
        </w:rPr>
        <w:t>ses</w:t>
      </w:r>
    </w:p>
    <w:p w14:paraId="21A965A2" w14:textId="77777777" w:rsidR="00CA00A9" w:rsidRPr="006627B4" w:rsidRDefault="00CA00A9" w:rsidP="00CA00A9">
      <w:r>
        <w:t>E</w:t>
      </w:r>
      <w:r w:rsidRPr="006627B4">
        <w:t>nquiries regarding this licence and any other use of this document are welcome at:</w:t>
      </w:r>
    </w:p>
    <w:p w14:paraId="7AACC087" w14:textId="77777777" w:rsidR="00CA00A9" w:rsidRPr="002F1BC2" w:rsidRDefault="00CA00A9" w:rsidP="00CA00A9">
      <w:pPr>
        <w:ind w:left="720"/>
        <w:rPr>
          <w:rStyle w:val="Hyperlink"/>
        </w:rPr>
      </w:pPr>
      <w:r w:rsidRPr="006627B4">
        <w:t>Manager</w:t>
      </w:r>
      <w:r>
        <w:br/>
        <w:t>Media Unit</w:t>
      </w:r>
      <w:r>
        <w:br/>
      </w:r>
      <w:r w:rsidRPr="006627B4">
        <w:t>The Treasury</w:t>
      </w:r>
      <w:r>
        <w:br/>
      </w:r>
      <w:r w:rsidRPr="006627B4">
        <w:t xml:space="preserve">Langton Crescent </w:t>
      </w:r>
      <w:r>
        <w:br/>
      </w:r>
      <w:r w:rsidRPr="006627B4">
        <w:t xml:space="preserve">Parkes ACT </w:t>
      </w:r>
      <w:r>
        <w:t xml:space="preserve"> </w:t>
      </w:r>
      <w:r w:rsidRPr="006627B4">
        <w:t>2600</w:t>
      </w:r>
      <w:r>
        <w:br/>
      </w:r>
      <w:r w:rsidRPr="006627B4">
        <w:t xml:space="preserve">Email: </w:t>
      </w:r>
      <w:hyperlink r:id="rId18" w:history="1">
        <w:r>
          <w:rPr>
            <w:rStyle w:val="Hyperlink"/>
          </w:rPr>
          <w:t>media@treasury.gov.au</w:t>
        </w:r>
      </w:hyperlink>
    </w:p>
    <w:p w14:paraId="50630296" w14:textId="77777777" w:rsidR="00CA00A9" w:rsidRDefault="00CA00A9" w:rsidP="00E55B1E"/>
    <w:p w14:paraId="016724F7" w14:textId="77777777" w:rsidR="00CA00A9" w:rsidRDefault="00CA00A9" w:rsidP="00CA00A9"/>
    <w:p w14:paraId="6D01BD7E" w14:textId="77777777" w:rsidR="00CA00A9" w:rsidRDefault="00CA00A9" w:rsidP="00CA00A9"/>
    <w:p w14:paraId="76CF7997" w14:textId="77777777" w:rsidR="00CA00A9" w:rsidRDefault="00CA00A9" w:rsidP="00CA00A9"/>
    <w:p w14:paraId="1078941D" w14:textId="77777777" w:rsidR="00CA00A9" w:rsidRDefault="00CA00A9" w:rsidP="00CA00A9">
      <w:pPr>
        <w:pStyle w:val="Heading2"/>
        <w:jc w:val="left"/>
      </w:pPr>
      <w:bookmarkStart w:id="0" w:name="_Ref162441355"/>
      <w:bookmarkStart w:id="1" w:name="_Toc163213128"/>
      <w:r>
        <w:lastRenderedPageBreak/>
        <w:t>About this document</w:t>
      </w:r>
      <w:bookmarkEnd w:id="0"/>
      <w:bookmarkEnd w:id="1"/>
    </w:p>
    <w:p w14:paraId="7CD6D28E" w14:textId="094DEA06" w:rsidR="00CA00A9" w:rsidRPr="006629D8" w:rsidRDefault="00CA00A9" w:rsidP="00CA00A9">
      <w:r w:rsidRPr="006629D8">
        <w:t xml:space="preserve">The Australian National Contact Point for Responsible Business Conduct (AusNCP) created this version (version 4.0) of the complaint procedures in </w:t>
      </w:r>
      <w:r w:rsidR="00932D61" w:rsidRPr="006629D8">
        <w:t>April</w:t>
      </w:r>
      <w:r w:rsidRPr="006629D8">
        <w:t xml:space="preserve"> 2024.</w:t>
      </w:r>
    </w:p>
    <w:p w14:paraId="5858905D" w14:textId="77777777" w:rsidR="00CA00A9" w:rsidRPr="006629D8" w:rsidRDefault="00CA00A9" w:rsidP="00CA00A9">
      <w:r w:rsidRPr="006629D8">
        <w:t xml:space="preserve">Version 4.0 reflects changes to the Guidelines for Multinational Enterprises on Responsible Business Conduct, which were introduced by the Organisation for Economic Co-operation and Development (OECD) in June 2023. </w:t>
      </w:r>
    </w:p>
    <w:p w14:paraId="58A72683" w14:textId="77777777" w:rsidR="00CA00A9" w:rsidRPr="006629D8" w:rsidRDefault="00CA00A9" w:rsidP="00CA00A9">
      <w:r w:rsidRPr="006629D8">
        <w:t xml:space="preserve">This version replaces version 3.0, which AusNCP originally published in July 2022. </w:t>
      </w:r>
    </w:p>
    <w:p w14:paraId="1F7D4A8E" w14:textId="77777777" w:rsidR="00CA00A9" w:rsidRPr="006629D8" w:rsidRDefault="00CA00A9" w:rsidP="00CA00A9">
      <w:r w:rsidRPr="006629D8">
        <w:t xml:space="preserve">Please direct queries to the AusNCP secretariat via email at </w:t>
      </w:r>
      <w:hyperlink r:id="rId19" w:history="1">
        <w:r w:rsidRPr="006629D8">
          <w:rPr>
            <w:rStyle w:val="Hyperlink"/>
          </w:rPr>
          <w:t>secretariat@ausncp.gov.au</w:t>
        </w:r>
      </w:hyperlink>
      <w:r w:rsidRPr="006629D8">
        <w:t xml:space="preserve"> or by phone on +61 2 6263 2224. Additional information is available at </w:t>
      </w:r>
      <w:hyperlink r:id="rId20" w:history="1">
        <w:r w:rsidRPr="006629D8">
          <w:rPr>
            <w:rStyle w:val="Hyperlink"/>
          </w:rPr>
          <w:t>www.ausncp.gov.au</w:t>
        </w:r>
      </w:hyperlink>
      <w:r w:rsidRPr="006629D8">
        <w:t xml:space="preserve">. </w:t>
      </w:r>
    </w:p>
    <w:p w14:paraId="24A1F0B2" w14:textId="77777777" w:rsidR="00CA00A9" w:rsidRPr="006629D8" w:rsidRDefault="00CA00A9" w:rsidP="00CA00A9">
      <w:pPr>
        <w:pStyle w:val="Heading2"/>
        <w:jc w:val="left"/>
      </w:pPr>
      <w:bookmarkStart w:id="2" w:name="_Toc163213129"/>
      <w:r w:rsidRPr="006629D8">
        <w:t>Transitional arrangements</w:t>
      </w:r>
      <w:bookmarkEnd w:id="2"/>
    </w:p>
    <w:p w14:paraId="739B9E99" w14:textId="2160FD6E" w:rsidR="00CA00A9" w:rsidRPr="006629D8" w:rsidRDefault="00CA00A9" w:rsidP="00CA00A9">
      <w:pPr>
        <w:spacing w:before="120" w:after="120" w:line="240" w:lineRule="auto"/>
      </w:pPr>
      <w:r w:rsidRPr="006629D8">
        <w:t xml:space="preserve">These AusNCP complaint procedures come into effect for all complaints submitted to AusNCP from </w:t>
      </w:r>
      <w:r w:rsidR="00574EBB">
        <w:t>9</w:t>
      </w:r>
      <w:r w:rsidR="00AE3F57" w:rsidRPr="006629D8">
        <w:t xml:space="preserve"> April </w:t>
      </w:r>
      <w:r w:rsidRPr="006629D8">
        <w:t>2024.</w:t>
      </w:r>
    </w:p>
    <w:p w14:paraId="34204DCB" w14:textId="5E08A231" w:rsidR="00CA00A9" w:rsidRDefault="00CA00A9" w:rsidP="00CA00A9">
      <w:r w:rsidRPr="006629D8">
        <w:t xml:space="preserve">Complaints submitted before </w:t>
      </w:r>
      <w:r w:rsidR="00574EBB">
        <w:t>9</w:t>
      </w:r>
      <w:r w:rsidRPr="006629D8">
        <w:t xml:space="preserve"> </w:t>
      </w:r>
      <w:r w:rsidR="00AE3F57" w:rsidRPr="006629D8">
        <w:t>April</w:t>
      </w:r>
      <w:r w:rsidRPr="006629D8">
        <w:t xml:space="preserve"> 2024 will be transitioned to these procedures at an appropriate point determined by </w:t>
      </w:r>
      <w:r w:rsidR="00D31AC9" w:rsidRPr="006629D8">
        <w:t>an</w:t>
      </w:r>
      <w:r w:rsidR="00AD1641" w:rsidRPr="006629D8">
        <w:t xml:space="preserve"> </w:t>
      </w:r>
      <w:r w:rsidRPr="006629D8">
        <w:t>independent examiner in consultation with the parties.</w:t>
      </w:r>
    </w:p>
    <w:p w14:paraId="5655221D" w14:textId="77777777" w:rsidR="00CA00A9" w:rsidRDefault="00CA00A9" w:rsidP="00CA00A9"/>
    <w:p w14:paraId="1B0A834F" w14:textId="77777777" w:rsidR="00CA00A9" w:rsidRPr="00635553" w:rsidRDefault="00CA00A9" w:rsidP="00CA00A9">
      <w:pPr>
        <w:sectPr w:rsidR="00CA00A9" w:rsidRPr="00635553">
          <w:headerReference w:type="even" r:id="rId21"/>
          <w:footerReference w:type="even" r:id="rId22"/>
          <w:footerReference w:type="default" r:id="rId23"/>
          <w:headerReference w:type="first" r:id="rId24"/>
          <w:footerReference w:type="first" r:id="rId25"/>
          <w:pgSz w:w="11906" w:h="16838" w:code="9"/>
          <w:pgMar w:top="1843" w:right="1418" w:bottom="1418" w:left="1418" w:header="709" w:footer="709" w:gutter="0"/>
          <w:pgNumType w:fmt="lowerRoman" w:start="0"/>
          <w:cols w:space="708"/>
          <w:titlePg/>
          <w:docGrid w:linePitch="360"/>
        </w:sectPr>
      </w:pPr>
    </w:p>
    <w:p w14:paraId="7D5C4031" w14:textId="77777777" w:rsidR="00CA00A9" w:rsidRDefault="00CA00A9" w:rsidP="00CA00A9">
      <w:pPr>
        <w:pStyle w:val="TOC1"/>
        <w:rPr>
          <w:rFonts w:ascii="Calibri" w:hAnsi="Calibri" w:cs="Arial"/>
          <w:color w:val="004A7F"/>
          <w:kern w:val="32"/>
          <w:sz w:val="44"/>
        </w:rPr>
      </w:pPr>
      <w:r>
        <w:rPr>
          <w:rFonts w:ascii="Calibri" w:hAnsi="Calibri" w:cs="Arial"/>
          <w:color w:val="004A7F"/>
          <w:kern w:val="32"/>
          <w:sz w:val="44"/>
        </w:rPr>
        <w:lastRenderedPageBreak/>
        <w:t>Contents</w:t>
      </w:r>
    </w:p>
    <w:p w14:paraId="4447ED94" w14:textId="271B57DF" w:rsidR="005A6761" w:rsidRDefault="00CA00A9">
      <w:pPr>
        <w:pStyle w:val="TOC2"/>
        <w:rPr>
          <w:rFonts w:asciiTheme="minorHAnsi" w:eastAsiaTheme="minorEastAsia" w:hAnsiTheme="minorHAnsi" w:cstheme="minorBidi"/>
          <w:color w:val="auto"/>
          <w:kern w:val="2"/>
          <w:szCs w:val="22"/>
        </w:rPr>
      </w:pPr>
      <w:r w:rsidRPr="004169A9">
        <w:rPr>
          <w:rFonts w:ascii="Calibri" w:hAnsi="Calibri" w:cs="Arial"/>
          <w:bCs/>
          <w:color w:val="004A7F"/>
          <w:kern w:val="32"/>
          <w:sz w:val="44"/>
          <w:szCs w:val="22"/>
        </w:rPr>
        <w:fldChar w:fldCharType="begin"/>
      </w:r>
      <w:r w:rsidRPr="004169A9">
        <w:rPr>
          <w:bCs/>
        </w:rPr>
        <w:instrText xml:space="preserve"> TOC \o "1-3" \h \z \u </w:instrText>
      </w:r>
      <w:r w:rsidRPr="004169A9">
        <w:rPr>
          <w:rFonts w:ascii="Calibri" w:hAnsi="Calibri" w:cs="Arial"/>
          <w:bCs/>
          <w:color w:val="004A7F"/>
          <w:kern w:val="32"/>
          <w:sz w:val="44"/>
          <w:szCs w:val="22"/>
        </w:rPr>
        <w:fldChar w:fldCharType="separate"/>
      </w:r>
      <w:hyperlink w:anchor="_Toc163213128" w:history="1">
        <w:r w:rsidR="005A6761" w:rsidRPr="00315693">
          <w:rPr>
            <w:rStyle w:val="Hyperlink"/>
          </w:rPr>
          <w:t>About this document</w:t>
        </w:r>
        <w:r w:rsidR="005A6761">
          <w:rPr>
            <w:webHidden/>
          </w:rPr>
          <w:tab/>
        </w:r>
        <w:r w:rsidR="005A6761">
          <w:rPr>
            <w:webHidden/>
          </w:rPr>
          <w:fldChar w:fldCharType="begin"/>
        </w:r>
        <w:r w:rsidR="005A6761">
          <w:rPr>
            <w:webHidden/>
          </w:rPr>
          <w:instrText xml:space="preserve"> PAGEREF _Toc163213128 \h </w:instrText>
        </w:r>
        <w:r w:rsidR="005A6761">
          <w:rPr>
            <w:webHidden/>
          </w:rPr>
        </w:r>
        <w:r w:rsidR="005A6761">
          <w:rPr>
            <w:webHidden/>
          </w:rPr>
          <w:fldChar w:fldCharType="separate"/>
        </w:r>
        <w:r w:rsidR="001677C5">
          <w:rPr>
            <w:webHidden/>
          </w:rPr>
          <w:t>ii</w:t>
        </w:r>
        <w:r w:rsidR="005A6761">
          <w:rPr>
            <w:webHidden/>
          </w:rPr>
          <w:fldChar w:fldCharType="end"/>
        </w:r>
      </w:hyperlink>
    </w:p>
    <w:p w14:paraId="16720EED" w14:textId="3F503881" w:rsidR="005A6761" w:rsidRDefault="001374E8">
      <w:pPr>
        <w:pStyle w:val="TOC2"/>
        <w:rPr>
          <w:rFonts w:asciiTheme="minorHAnsi" w:eastAsiaTheme="minorEastAsia" w:hAnsiTheme="minorHAnsi" w:cstheme="minorBidi"/>
          <w:color w:val="auto"/>
          <w:kern w:val="2"/>
          <w:szCs w:val="22"/>
        </w:rPr>
      </w:pPr>
      <w:hyperlink w:anchor="_Toc163213129" w:history="1">
        <w:r w:rsidR="005A6761" w:rsidRPr="00315693">
          <w:rPr>
            <w:rStyle w:val="Hyperlink"/>
          </w:rPr>
          <w:t>Transitional arrangements</w:t>
        </w:r>
        <w:r w:rsidR="005A6761">
          <w:rPr>
            <w:webHidden/>
          </w:rPr>
          <w:tab/>
        </w:r>
        <w:r w:rsidR="005A6761">
          <w:rPr>
            <w:webHidden/>
          </w:rPr>
          <w:fldChar w:fldCharType="begin"/>
        </w:r>
        <w:r w:rsidR="005A6761">
          <w:rPr>
            <w:webHidden/>
          </w:rPr>
          <w:instrText xml:space="preserve"> PAGEREF _Toc163213129 \h </w:instrText>
        </w:r>
        <w:r w:rsidR="005A6761">
          <w:rPr>
            <w:webHidden/>
          </w:rPr>
        </w:r>
        <w:r w:rsidR="005A6761">
          <w:rPr>
            <w:webHidden/>
          </w:rPr>
          <w:fldChar w:fldCharType="separate"/>
        </w:r>
        <w:r w:rsidR="001677C5">
          <w:rPr>
            <w:webHidden/>
          </w:rPr>
          <w:t>ii</w:t>
        </w:r>
        <w:r w:rsidR="005A6761">
          <w:rPr>
            <w:webHidden/>
          </w:rPr>
          <w:fldChar w:fldCharType="end"/>
        </w:r>
      </w:hyperlink>
    </w:p>
    <w:p w14:paraId="30B34A81" w14:textId="72850A21" w:rsidR="005A6761" w:rsidRDefault="001374E8">
      <w:pPr>
        <w:pStyle w:val="TOC1"/>
        <w:rPr>
          <w:rFonts w:asciiTheme="minorHAnsi" w:eastAsiaTheme="minorEastAsia" w:hAnsiTheme="minorHAnsi" w:cstheme="minorBidi"/>
          <w:b w:val="0"/>
          <w:color w:val="auto"/>
          <w:kern w:val="2"/>
        </w:rPr>
      </w:pPr>
      <w:hyperlink w:anchor="_Toc163213130" w:history="1">
        <w:r w:rsidR="005A6761" w:rsidRPr="00315693">
          <w:rPr>
            <w:rStyle w:val="Hyperlink"/>
          </w:rPr>
          <w:t>Purpose of AusNCP complaint procedures</w:t>
        </w:r>
        <w:r w:rsidR="005A6761">
          <w:rPr>
            <w:webHidden/>
          </w:rPr>
          <w:tab/>
        </w:r>
        <w:r w:rsidR="005A6761">
          <w:rPr>
            <w:webHidden/>
          </w:rPr>
          <w:fldChar w:fldCharType="begin"/>
        </w:r>
        <w:r w:rsidR="005A6761">
          <w:rPr>
            <w:webHidden/>
          </w:rPr>
          <w:instrText xml:space="preserve"> PAGEREF _Toc163213130 \h </w:instrText>
        </w:r>
        <w:r w:rsidR="005A6761">
          <w:rPr>
            <w:webHidden/>
          </w:rPr>
        </w:r>
        <w:r w:rsidR="005A6761">
          <w:rPr>
            <w:webHidden/>
          </w:rPr>
          <w:fldChar w:fldCharType="separate"/>
        </w:r>
        <w:r w:rsidR="001677C5">
          <w:rPr>
            <w:webHidden/>
          </w:rPr>
          <w:t>4</w:t>
        </w:r>
        <w:r w:rsidR="005A6761">
          <w:rPr>
            <w:webHidden/>
          </w:rPr>
          <w:fldChar w:fldCharType="end"/>
        </w:r>
      </w:hyperlink>
    </w:p>
    <w:p w14:paraId="693DF760" w14:textId="3453226D" w:rsidR="005A6761" w:rsidRDefault="001374E8">
      <w:pPr>
        <w:pStyle w:val="TOC1"/>
        <w:rPr>
          <w:rFonts w:asciiTheme="minorHAnsi" w:eastAsiaTheme="minorEastAsia" w:hAnsiTheme="minorHAnsi" w:cstheme="minorBidi"/>
          <w:b w:val="0"/>
          <w:color w:val="auto"/>
          <w:kern w:val="2"/>
        </w:rPr>
      </w:pPr>
      <w:hyperlink w:anchor="_Toc163213131" w:history="1">
        <w:r w:rsidR="005A6761" w:rsidRPr="00315693">
          <w:rPr>
            <w:rStyle w:val="Hyperlink"/>
          </w:rPr>
          <w:t>Context</w:t>
        </w:r>
        <w:r w:rsidR="005A6761">
          <w:rPr>
            <w:webHidden/>
          </w:rPr>
          <w:tab/>
        </w:r>
        <w:r w:rsidR="005A6761">
          <w:rPr>
            <w:webHidden/>
          </w:rPr>
          <w:fldChar w:fldCharType="begin"/>
        </w:r>
        <w:r w:rsidR="005A6761">
          <w:rPr>
            <w:webHidden/>
          </w:rPr>
          <w:instrText xml:space="preserve"> PAGEREF _Toc163213131 \h </w:instrText>
        </w:r>
        <w:r w:rsidR="005A6761">
          <w:rPr>
            <w:webHidden/>
          </w:rPr>
        </w:r>
        <w:r w:rsidR="005A6761">
          <w:rPr>
            <w:webHidden/>
          </w:rPr>
          <w:fldChar w:fldCharType="separate"/>
        </w:r>
        <w:r w:rsidR="001677C5">
          <w:rPr>
            <w:webHidden/>
          </w:rPr>
          <w:t>4</w:t>
        </w:r>
        <w:r w:rsidR="005A6761">
          <w:rPr>
            <w:webHidden/>
          </w:rPr>
          <w:fldChar w:fldCharType="end"/>
        </w:r>
      </w:hyperlink>
    </w:p>
    <w:p w14:paraId="094806C7" w14:textId="1CAFA3C2" w:rsidR="005A6761" w:rsidRDefault="001374E8">
      <w:pPr>
        <w:pStyle w:val="TOC1"/>
        <w:rPr>
          <w:rFonts w:asciiTheme="minorHAnsi" w:eastAsiaTheme="minorEastAsia" w:hAnsiTheme="minorHAnsi" w:cstheme="minorBidi"/>
          <w:b w:val="0"/>
          <w:color w:val="auto"/>
          <w:kern w:val="2"/>
        </w:rPr>
      </w:pPr>
      <w:hyperlink w:anchor="_Toc163213132" w:history="1">
        <w:r w:rsidR="005A6761" w:rsidRPr="00315693">
          <w:rPr>
            <w:rStyle w:val="Hyperlink"/>
          </w:rPr>
          <w:t>AusNCP complaint procedures</w:t>
        </w:r>
        <w:r w:rsidR="005A6761">
          <w:rPr>
            <w:webHidden/>
          </w:rPr>
          <w:tab/>
        </w:r>
        <w:r w:rsidR="005A6761">
          <w:rPr>
            <w:webHidden/>
          </w:rPr>
          <w:fldChar w:fldCharType="begin"/>
        </w:r>
        <w:r w:rsidR="005A6761">
          <w:rPr>
            <w:webHidden/>
          </w:rPr>
          <w:instrText xml:space="preserve"> PAGEREF _Toc163213132 \h </w:instrText>
        </w:r>
        <w:r w:rsidR="005A6761">
          <w:rPr>
            <w:webHidden/>
          </w:rPr>
        </w:r>
        <w:r w:rsidR="005A6761">
          <w:rPr>
            <w:webHidden/>
          </w:rPr>
          <w:fldChar w:fldCharType="separate"/>
        </w:r>
        <w:r w:rsidR="001677C5">
          <w:rPr>
            <w:webHidden/>
          </w:rPr>
          <w:t>5</w:t>
        </w:r>
        <w:r w:rsidR="005A6761">
          <w:rPr>
            <w:webHidden/>
          </w:rPr>
          <w:fldChar w:fldCharType="end"/>
        </w:r>
      </w:hyperlink>
    </w:p>
    <w:p w14:paraId="2B38BF29" w14:textId="7E88C3E4" w:rsidR="005A6761" w:rsidRDefault="001374E8">
      <w:pPr>
        <w:pStyle w:val="TOC1"/>
        <w:rPr>
          <w:rFonts w:asciiTheme="minorHAnsi" w:eastAsiaTheme="minorEastAsia" w:hAnsiTheme="minorHAnsi" w:cstheme="minorBidi"/>
          <w:b w:val="0"/>
          <w:color w:val="auto"/>
          <w:kern w:val="2"/>
        </w:rPr>
      </w:pPr>
      <w:hyperlink w:anchor="_Toc163213133" w:history="1">
        <w:r w:rsidR="005A6761" w:rsidRPr="00315693">
          <w:rPr>
            <w:rStyle w:val="Hyperlink"/>
          </w:rPr>
          <w:t>Submitting a complaint</w:t>
        </w:r>
        <w:r w:rsidR="005A6761">
          <w:rPr>
            <w:webHidden/>
          </w:rPr>
          <w:tab/>
        </w:r>
        <w:r w:rsidR="005A6761">
          <w:rPr>
            <w:webHidden/>
          </w:rPr>
          <w:fldChar w:fldCharType="begin"/>
        </w:r>
        <w:r w:rsidR="005A6761">
          <w:rPr>
            <w:webHidden/>
          </w:rPr>
          <w:instrText xml:space="preserve"> PAGEREF _Toc163213133 \h </w:instrText>
        </w:r>
        <w:r w:rsidR="005A6761">
          <w:rPr>
            <w:webHidden/>
          </w:rPr>
        </w:r>
        <w:r w:rsidR="005A6761">
          <w:rPr>
            <w:webHidden/>
          </w:rPr>
          <w:fldChar w:fldCharType="separate"/>
        </w:r>
        <w:r w:rsidR="001677C5">
          <w:rPr>
            <w:webHidden/>
          </w:rPr>
          <w:t>6</w:t>
        </w:r>
        <w:r w:rsidR="005A6761">
          <w:rPr>
            <w:webHidden/>
          </w:rPr>
          <w:fldChar w:fldCharType="end"/>
        </w:r>
      </w:hyperlink>
    </w:p>
    <w:p w14:paraId="3B0A4A95" w14:textId="48808EF3" w:rsidR="005A6761" w:rsidRDefault="001374E8">
      <w:pPr>
        <w:pStyle w:val="TOC1"/>
        <w:rPr>
          <w:rFonts w:asciiTheme="minorHAnsi" w:eastAsiaTheme="minorEastAsia" w:hAnsiTheme="minorHAnsi" w:cstheme="minorBidi"/>
          <w:b w:val="0"/>
          <w:color w:val="auto"/>
          <w:kern w:val="2"/>
        </w:rPr>
      </w:pPr>
      <w:hyperlink w:anchor="_Toc163213134" w:history="1">
        <w:r w:rsidR="005A6761" w:rsidRPr="00315693">
          <w:rPr>
            <w:rStyle w:val="Hyperlink"/>
          </w:rPr>
          <w:t>Independent examiners</w:t>
        </w:r>
        <w:r w:rsidR="005A6761">
          <w:rPr>
            <w:webHidden/>
          </w:rPr>
          <w:tab/>
        </w:r>
        <w:r w:rsidR="005A6761">
          <w:rPr>
            <w:webHidden/>
          </w:rPr>
          <w:fldChar w:fldCharType="begin"/>
        </w:r>
        <w:r w:rsidR="005A6761">
          <w:rPr>
            <w:webHidden/>
          </w:rPr>
          <w:instrText xml:space="preserve"> PAGEREF _Toc163213134 \h </w:instrText>
        </w:r>
        <w:r w:rsidR="005A6761">
          <w:rPr>
            <w:webHidden/>
          </w:rPr>
        </w:r>
        <w:r w:rsidR="005A6761">
          <w:rPr>
            <w:webHidden/>
          </w:rPr>
          <w:fldChar w:fldCharType="separate"/>
        </w:r>
        <w:r w:rsidR="001677C5">
          <w:rPr>
            <w:webHidden/>
          </w:rPr>
          <w:t>6</w:t>
        </w:r>
        <w:r w:rsidR="005A6761">
          <w:rPr>
            <w:webHidden/>
          </w:rPr>
          <w:fldChar w:fldCharType="end"/>
        </w:r>
      </w:hyperlink>
    </w:p>
    <w:p w14:paraId="14DC02EF" w14:textId="1222761A" w:rsidR="005A6761" w:rsidRDefault="001374E8">
      <w:pPr>
        <w:pStyle w:val="TOC1"/>
        <w:rPr>
          <w:rFonts w:asciiTheme="minorHAnsi" w:eastAsiaTheme="minorEastAsia" w:hAnsiTheme="minorHAnsi" w:cstheme="minorBidi"/>
          <w:b w:val="0"/>
          <w:color w:val="auto"/>
          <w:kern w:val="2"/>
        </w:rPr>
      </w:pPr>
      <w:hyperlink w:anchor="_Toc163213135" w:history="1">
        <w:r w:rsidR="005A6761" w:rsidRPr="00315693">
          <w:rPr>
            <w:rStyle w:val="Hyperlink"/>
          </w:rPr>
          <w:t>Initial assessment</w:t>
        </w:r>
        <w:r w:rsidR="005A6761">
          <w:rPr>
            <w:webHidden/>
          </w:rPr>
          <w:tab/>
        </w:r>
        <w:r w:rsidR="005A6761">
          <w:rPr>
            <w:webHidden/>
          </w:rPr>
          <w:fldChar w:fldCharType="begin"/>
        </w:r>
        <w:r w:rsidR="005A6761">
          <w:rPr>
            <w:webHidden/>
          </w:rPr>
          <w:instrText xml:space="preserve"> PAGEREF _Toc163213135 \h </w:instrText>
        </w:r>
        <w:r w:rsidR="005A6761">
          <w:rPr>
            <w:webHidden/>
          </w:rPr>
        </w:r>
        <w:r w:rsidR="005A6761">
          <w:rPr>
            <w:webHidden/>
          </w:rPr>
          <w:fldChar w:fldCharType="separate"/>
        </w:r>
        <w:r w:rsidR="001677C5">
          <w:rPr>
            <w:webHidden/>
          </w:rPr>
          <w:t>6</w:t>
        </w:r>
        <w:r w:rsidR="005A6761">
          <w:rPr>
            <w:webHidden/>
          </w:rPr>
          <w:fldChar w:fldCharType="end"/>
        </w:r>
      </w:hyperlink>
    </w:p>
    <w:p w14:paraId="57694544" w14:textId="20279F92" w:rsidR="005A6761" w:rsidRDefault="001374E8">
      <w:pPr>
        <w:pStyle w:val="TOC1"/>
        <w:rPr>
          <w:rFonts w:asciiTheme="minorHAnsi" w:eastAsiaTheme="minorEastAsia" w:hAnsiTheme="minorHAnsi" w:cstheme="minorBidi"/>
          <w:b w:val="0"/>
          <w:color w:val="auto"/>
          <w:kern w:val="2"/>
        </w:rPr>
      </w:pPr>
      <w:hyperlink w:anchor="_Toc163213136" w:history="1">
        <w:r w:rsidR="005A6761" w:rsidRPr="00315693">
          <w:rPr>
            <w:rStyle w:val="Hyperlink"/>
            <w:bCs/>
          </w:rPr>
          <w:t>Dispute resolution (good offices)</w:t>
        </w:r>
        <w:r w:rsidR="005A6761">
          <w:rPr>
            <w:webHidden/>
          </w:rPr>
          <w:tab/>
        </w:r>
        <w:r w:rsidR="005A6761">
          <w:rPr>
            <w:webHidden/>
          </w:rPr>
          <w:fldChar w:fldCharType="begin"/>
        </w:r>
        <w:r w:rsidR="005A6761">
          <w:rPr>
            <w:webHidden/>
          </w:rPr>
          <w:instrText xml:space="preserve"> PAGEREF _Toc163213136 \h </w:instrText>
        </w:r>
        <w:r w:rsidR="005A6761">
          <w:rPr>
            <w:webHidden/>
          </w:rPr>
        </w:r>
        <w:r w:rsidR="005A6761">
          <w:rPr>
            <w:webHidden/>
          </w:rPr>
          <w:fldChar w:fldCharType="separate"/>
        </w:r>
        <w:r w:rsidR="001677C5">
          <w:rPr>
            <w:webHidden/>
          </w:rPr>
          <w:t>9</w:t>
        </w:r>
        <w:r w:rsidR="005A6761">
          <w:rPr>
            <w:webHidden/>
          </w:rPr>
          <w:fldChar w:fldCharType="end"/>
        </w:r>
      </w:hyperlink>
    </w:p>
    <w:p w14:paraId="7C93359D" w14:textId="3BFE73E8" w:rsidR="005A6761" w:rsidRDefault="001374E8">
      <w:pPr>
        <w:pStyle w:val="TOC1"/>
        <w:rPr>
          <w:rFonts w:asciiTheme="minorHAnsi" w:eastAsiaTheme="minorEastAsia" w:hAnsiTheme="minorHAnsi" w:cstheme="minorBidi"/>
          <w:b w:val="0"/>
          <w:color w:val="auto"/>
          <w:kern w:val="2"/>
        </w:rPr>
      </w:pPr>
      <w:hyperlink w:anchor="_Toc163213137" w:history="1">
        <w:r w:rsidR="005A6761" w:rsidRPr="00315693">
          <w:rPr>
            <w:rStyle w:val="Hyperlink"/>
          </w:rPr>
          <w:t>Examination</w:t>
        </w:r>
        <w:r w:rsidR="005A6761">
          <w:rPr>
            <w:webHidden/>
          </w:rPr>
          <w:tab/>
        </w:r>
        <w:r w:rsidR="005A6761">
          <w:rPr>
            <w:webHidden/>
          </w:rPr>
          <w:fldChar w:fldCharType="begin"/>
        </w:r>
        <w:r w:rsidR="005A6761">
          <w:rPr>
            <w:webHidden/>
          </w:rPr>
          <w:instrText xml:space="preserve"> PAGEREF _Toc163213137 \h </w:instrText>
        </w:r>
        <w:r w:rsidR="005A6761">
          <w:rPr>
            <w:webHidden/>
          </w:rPr>
        </w:r>
        <w:r w:rsidR="005A6761">
          <w:rPr>
            <w:webHidden/>
          </w:rPr>
          <w:fldChar w:fldCharType="separate"/>
        </w:r>
        <w:r w:rsidR="001677C5">
          <w:rPr>
            <w:webHidden/>
          </w:rPr>
          <w:t>10</w:t>
        </w:r>
        <w:r w:rsidR="005A6761">
          <w:rPr>
            <w:webHidden/>
          </w:rPr>
          <w:fldChar w:fldCharType="end"/>
        </w:r>
      </w:hyperlink>
    </w:p>
    <w:p w14:paraId="367CC82A" w14:textId="4E6A547A" w:rsidR="005A6761" w:rsidRDefault="001374E8">
      <w:pPr>
        <w:pStyle w:val="TOC1"/>
        <w:rPr>
          <w:rFonts w:asciiTheme="minorHAnsi" w:eastAsiaTheme="minorEastAsia" w:hAnsiTheme="minorHAnsi" w:cstheme="minorBidi"/>
          <w:b w:val="0"/>
          <w:color w:val="auto"/>
          <w:kern w:val="2"/>
        </w:rPr>
      </w:pPr>
      <w:hyperlink w:anchor="_Toc163213138" w:history="1">
        <w:r w:rsidR="005A6761" w:rsidRPr="00315693">
          <w:rPr>
            <w:rStyle w:val="Hyperlink"/>
          </w:rPr>
          <w:t>Final statement</w:t>
        </w:r>
        <w:r w:rsidR="005A6761">
          <w:rPr>
            <w:webHidden/>
          </w:rPr>
          <w:tab/>
        </w:r>
        <w:r w:rsidR="005A6761">
          <w:rPr>
            <w:webHidden/>
          </w:rPr>
          <w:fldChar w:fldCharType="begin"/>
        </w:r>
        <w:r w:rsidR="005A6761">
          <w:rPr>
            <w:webHidden/>
          </w:rPr>
          <w:instrText xml:space="preserve"> PAGEREF _Toc163213138 \h </w:instrText>
        </w:r>
        <w:r w:rsidR="005A6761">
          <w:rPr>
            <w:webHidden/>
          </w:rPr>
        </w:r>
        <w:r w:rsidR="005A6761">
          <w:rPr>
            <w:webHidden/>
          </w:rPr>
          <w:fldChar w:fldCharType="separate"/>
        </w:r>
        <w:r w:rsidR="001677C5">
          <w:rPr>
            <w:webHidden/>
          </w:rPr>
          <w:t>11</w:t>
        </w:r>
        <w:r w:rsidR="005A6761">
          <w:rPr>
            <w:webHidden/>
          </w:rPr>
          <w:fldChar w:fldCharType="end"/>
        </w:r>
      </w:hyperlink>
    </w:p>
    <w:p w14:paraId="6C17BE1C" w14:textId="54470989" w:rsidR="005A6761" w:rsidRDefault="001374E8">
      <w:pPr>
        <w:pStyle w:val="TOC1"/>
        <w:rPr>
          <w:rFonts w:asciiTheme="minorHAnsi" w:eastAsiaTheme="minorEastAsia" w:hAnsiTheme="minorHAnsi" w:cstheme="minorBidi"/>
          <w:b w:val="0"/>
          <w:color w:val="auto"/>
          <w:kern w:val="2"/>
        </w:rPr>
      </w:pPr>
      <w:hyperlink w:anchor="_Toc163213139" w:history="1">
        <w:r w:rsidR="005A6761" w:rsidRPr="00315693">
          <w:rPr>
            <w:rStyle w:val="Hyperlink"/>
            <w:lang w:val="en-GB"/>
          </w:rPr>
          <w:t>Complaint follow-up</w:t>
        </w:r>
        <w:r w:rsidR="005A6761">
          <w:rPr>
            <w:webHidden/>
          </w:rPr>
          <w:tab/>
        </w:r>
        <w:r w:rsidR="005A6761">
          <w:rPr>
            <w:webHidden/>
          </w:rPr>
          <w:fldChar w:fldCharType="begin"/>
        </w:r>
        <w:r w:rsidR="005A6761">
          <w:rPr>
            <w:webHidden/>
          </w:rPr>
          <w:instrText xml:space="preserve"> PAGEREF _Toc163213139 \h </w:instrText>
        </w:r>
        <w:r w:rsidR="005A6761">
          <w:rPr>
            <w:webHidden/>
          </w:rPr>
        </w:r>
        <w:r w:rsidR="005A6761">
          <w:rPr>
            <w:webHidden/>
          </w:rPr>
          <w:fldChar w:fldCharType="separate"/>
        </w:r>
        <w:r w:rsidR="001677C5">
          <w:rPr>
            <w:webHidden/>
          </w:rPr>
          <w:t>13</w:t>
        </w:r>
        <w:r w:rsidR="005A6761">
          <w:rPr>
            <w:webHidden/>
          </w:rPr>
          <w:fldChar w:fldCharType="end"/>
        </w:r>
      </w:hyperlink>
    </w:p>
    <w:p w14:paraId="65E5239E" w14:textId="422BFCC7" w:rsidR="005A6761" w:rsidRDefault="001374E8">
      <w:pPr>
        <w:pStyle w:val="TOC1"/>
        <w:rPr>
          <w:rFonts w:asciiTheme="minorHAnsi" w:eastAsiaTheme="minorEastAsia" w:hAnsiTheme="minorHAnsi" w:cstheme="minorBidi"/>
          <w:b w:val="0"/>
          <w:color w:val="auto"/>
          <w:kern w:val="2"/>
        </w:rPr>
      </w:pPr>
      <w:hyperlink w:anchor="_Toc163213140" w:history="1">
        <w:r w:rsidR="005A6761" w:rsidRPr="00315693">
          <w:rPr>
            <w:rStyle w:val="Hyperlink"/>
          </w:rPr>
          <w:t>Timeframes for AusNCP complaint procedures</w:t>
        </w:r>
        <w:r w:rsidR="005A6761">
          <w:rPr>
            <w:webHidden/>
          </w:rPr>
          <w:tab/>
        </w:r>
        <w:r w:rsidR="005A6761">
          <w:rPr>
            <w:webHidden/>
          </w:rPr>
          <w:fldChar w:fldCharType="begin"/>
        </w:r>
        <w:r w:rsidR="005A6761">
          <w:rPr>
            <w:webHidden/>
          </w:rPr>
          <w:instrText xml:space="preserve"> PAGEREF _Toc163213140 \h </w:instrText>
        </w:r>
        <w:r w:rsidR="005A6761">
          <w:rPr>
            <w:webHidden/>
          </w:rPr>
        </w:r>
        <w:r w:rsidR="005A6761">
          <w:rPr>
            <w:webHidden/>
          </w:rPr>
          <w:fldChar w:fldCharType="separate"/>
        </w:r>
        <w:r w:rsidR="001677C5">
          <w:rPr>
            <w:webHidden/>
          </w:rPr>
          <w:t>13</w:t>
        </w:r>
        <w:r w:rsidR="005A6761">
          <w:rPr>
            <w:webHidden/>
          </w:rPr>
          <w:fldChar w:fldCharType="end"/>
        </w:r>
      </w:hyperlink>
    </w:p>
    <w:p w14:paraId="22945086" w14:textId="43418468" w:rsidR="005A6761" w:rsidRDefault="001374E8">
      <w:pPr>
        <w:pStyle w:val="TOC1"/>
        <w:rPr>
          <w:rFonts w:asciiTheme="minorHAnsi" w:eastAsiaTheme="minorEastAsia" w:hAnsiTheme="minorHAnsi" w:cstheme="minorBidi"/>
          <w:b w:val="0"/>
          <w:color w:val="auto"/>
          <w:kern w:val="2"/>
        </w:rPr>
      </w:pPr>
      <w:hyperlink w:anchor="_Toc163213141" w:history="1">
        <w:r w:rsidR="005A6761" w:rsidRPr="00315693">
          <w:rPr>
            <w:rStyle w:val="Hyperlink"/>
          </w:rPr>
          <w:t>Procedural review</w:t>
        </w:r>
        <w:r w:rsidR="005A6761">
          <w:rPr>
            <w:webHidden/>
          </w:rPr>
          <w:tab/>
        </w:r>
        <w:r w:rsidR="005A6761">
          <w:rPr>
            <w:webHidden/>
          </w:rPr>
          <w:fldChar w:fldCharType="begin"/>
        </w:r>
        <w:r w:rsidR="005A6761">
          <w:rPr>
            <w:webHidden/>
          </w:rPr>
          <w:instrText xml:space="preserve"> PAGEREF _Toc163213141 \h </w:instrText>
        </w:r>
        <w:r w:rsidR="005A6761">
          <w:rPr>
            <w:webHidden/>
          </w:rPr>
        </w:r>
        <w:r w:rsidR="005A6761">
          <w:rPr>
            <w:webHidden/>
          </w:rPr>
          <w:fldChar w:fldCharType="separate"/>
        </w:r>
        <w:r w:rsidR="001677C5">
          <w:rPr>
            <w:webHidden/>
          </w:rPr>
          <w:t>14</w:t>
        </w:r>
        <w:r w:rsidR="005A6761">
          <w:rPr>
            <w:webHidden/>
          </w:rPr>
          <w:fldChar w:fldCharType="end"/>
        </w:r>
      </w:hyperlink>
    </w:p>
    <w:p w14:paraId="2EE1DC47" w14:textId="5813A2B2" w:rsidR="005A6761" w:rsidRDefault="001374E8">
      <w:pPr>
        <w:pStyle w:val="TOC1"/>
        <w:rPr>
          <w:rFonts w:asciiTheme="minorHAnsi" w:eastAsiaTheme="minorEastAsia" w:hAnsiTheme="minorHAnsi" w:cstheme="minorBidi"/>
          <w:b w:val="0"/>
          <w:color w:val="auto"/>
          <w:kern w:val="2"/>
        </w:rPr>
      </w:pPr>
      <w:hyperlink w:anchor="_Toc163213142" w:history="1">
        <w:r w:rsidR="005A6761" w:rsidRPr="00315693">
          <w:rPr>
            <w:rStyle w:val="Hyperlink"/>
          </w:rPr>
          <w:t>Confidentiality, transparency and conflicts of interest</w:t>
        </w:r>
        <w:r w:rsidR="005A6761">
          <w:rPr>
            <w:webHidden/>
          </w:rPr>
          <w:tab/>
        </w:r>
        <w:r w:rsidR="005A6761">
          <w:rPr>
            <w:webHidden/>
          </w:rPr>
          <w:fldChar w:fldCharType="begin"/>
        </w:r>
        <w:r w:rsidR="005A6761">
          <w:rPr>
            <w:webHidden/>
          </w:rPr>
          <w:instrText xml:space="preserve"> PAGEREF _Toc163213142 \h </w:instrText>
        </w:r>
        <w:r w:rsidR="005A6761">
          <w:rPr>
            <w:webHidden/>
          </w:rPr>
        </w:r>
        <w:r w:rsidR="005A6761">
          <w:rPr>
            <w:webHidden/>
          </w:rPr>
          <w:fldChar w:fldCharType="separate"/>
        </w:r>
        <w:r w:rsidR="001677C5">
          <w:rPr>
            <w:webHidden/>
          </w:rPr>
          <w:t>15</w:t>
        </w:r>
        <w:r w:rsidR="005A6761">
          <w:rPr>
            <w:webHidden/>
          </w:rPr>
          <w:fldChar w:fldCharType="end"/>
        </w:r>
      </w:hyperlink>
    </w:p>
    <w:p w14:paraId="29CC6118" w14:textId="5DE7BE0E" w:rsidR="005A6761" w:rsidRDefault="001374E8">
      <w:pPr>
        <w:pStyle w:val="TOC1"/>
        <w:rPr>
          <w:rFonts w:asciiTheme="minorHAnsi" w:eastAsiaTheme="minorEastAsia" w:hAnsiTheme="minorHAnsi" w:cstheme="minorBidi"/>
          <w:b w:val="0"/>
          <w:color w:val="auto"/>
          <w:kern w:val="2"/>
        </w:rPr>
      </w:pPr>
      <w:hyperlink w:anchor="_Toc163213143" w:history="1">
        <w:r w:rsidR="005A6761" w:rsidRPr="00315693">
          <w:rPr>
            <w:rStyle w:val="Hyperlink"/>
          </w:rPr>
          <w:t>Withdrawal of complaints</w:t>
        </w:r>
        <w:r w:rsidR="005A6761">
          <w:rPr>
            <w:webHidden/>
          </w:rPr>
          <w:tab/>
        </w:r>
        <w:r w:rsidR="005A6761">
          <w:rPr>
            <w:webHidden/>
          </w:rPr>
          <w:fldChar w:fldCharType="begin"/>
        </w:r>
        <w:r w:rsidR="005A6761">
          <w:rPr>
            <w:webHidden/>
          </w:rPr>
          <w:instrText xml:space="preserve"> PAGEREF _Toc163213143 \h </w:instrText>
        </w:r>
        <w:r w:rsidR="005A6761">
          <w:rPr>
            <w:webHidden/>
          </w:rPr>
        </w:r>
        <w:r w:rsidR="005A6761">
          <w:rPr>
            <w:webHidden/>
          </w:rPr>
          <w:fldChar w:fldCharType="separate"/>
        </w:r>
        <w:r w:rsidR="001677C5">
          <w:rPr>
            <w:webHidden/>
          </w:rPr>
          <w:t>16</w:t>
        </w:r>
        <w:r w:rsidR="005A6761">
          <w:rPr>
            <w:webHidden/>
          </w:rPr>
          <w:fldChar w:fldCharType="end"/>
        </w:r>
      </w:hyperlink>
    </w:p>
    <w:p w14:paraId="20B58C45" w14:textId="3DDDF596" w:rsidR="005A6761" w:rsidRDefault="001374E8">
      <w:pPr>
        <w:pStyle w:val="TOC1"/>
        <w:rPr>
          <w:rFonts w:asciiTheme="minorHAnsi" w:eastAsiaTheme="minorEastAsia" w:hAnsiTheme="minorHAnsi" w:cstheme="minorBidi"/>
          <w:b w:val="0"/>
          <w:color w:val="auto"/>
          <w:kern w:val="2"/>
        </w:rPr>
      </w:pPr>
      <w:hyperlink w:anchor="_Toc163213144" w:history="1">
        <w:r w:rsidR="005A6761" w:rsidRPr="00315693">
          <w:rPr>
            <w:rStyle w:val="Hyperlink"/>
          </w:rPr>
          <w:t>Glossary</w:t>
        </w:r>
        <w:r w:rsidR="005A6761">
          <w:rPr>
            <w:webHidden/>
          </w:rPr>
          <w:tab/>
        </w:r>
        <w:r w:rsidR="005A6761">
          <w:rPr>
            <w:webHidden/>
          </w:rPr>
          <w:fldChar w:fldCharType="begin"/>
        </w:r>
        <w:r w:rsidR="005A6761">
          <w:rPr>
            <w:webHidden/>
          </w:rPr>
          <w:instrText xml:space="preserve"> PAGEREF _Toc163213144 \h </w:instrText>
        </w:r>
        <w:r w:rsidR="005A6761">
          <w:rPr>
            <w:webHidden/>
          </w:rPr>
        </w:r>
        <w:r w:rsidR="005A6761">
          <w:rPr>
            <w:webHidden/>
          </w:rPr>
          <w:fldChar w:fldCharType="separate"/>
        </w:r>
        <w:r w:rsidR="001677C5">
          <w:rPr>
            <w:webHidden/>
          </w:rPr>
          <w:t>17</w:t>
        </w:r>
        <w:r w:rsidR="005A6761">
          <w:rPr>
            <w:webHidden/>
          </w:rPr>
          <w:fldChar w:fldCharType="end"/>
        </w:r>
      </w:hyperlink>
    </w:p>
    <w:p w14:paraId="6FD2EF88" w14:textId="70FAD625" w:rsidR="005A6761" w:rsidRDefault="001374E8">
      <w:pPr>
        <w:pStyle w:val="TOC1"/>
        <w:rPr>
          <w:rFonts w:asciiTheme="minorHAnsi" w:eastAsiaTheme="minorEastAsia" w:hAnsiTheme="minorHAnsi" w:cstheme="minorBidi"/>
          <w:b w:val="0"/>
          <w:color w:val="auto"/>
          <w:kern w:val="2"/>
        </w:rPr>
      </w:pPr>
      <w:hyperlink w:anchor="_Toc163213145" w:history="1">
        <w:r w:rsidR="005A6761" w:rsidRPr="00315693">
          <w:rPr>
            <w:rStyle w:val="Hyperlink"/>
          </w:rPr>
          <w:t>Appendix A: Complaint process diagram</w:t>
        </w:r>
        <w:r w:rsidR="005A6761">
          <w:rPr>
            <w:webHidden/>
          </w:rPr>
          <w:tab/>
        </w:r>
        <w:r w:rsidR="005A6761">
          <w:rPr>
            <w:webHidden/>
          </w:rPr>
          <w:fldChar w:fldCharType="begin"/>
        </w:r>
        <w:r w:rsidR="005A6761">
          <w:rPr>
            <w:webHidden/>
          </w:rPr>
          <w:instrText xml:space="preserve"> PAGEREF _Toc163213145 \h </w:instrText>
        </w:r>
        <w:r w:rsidR="005A6761">
          <w:rPr>
            <w:webHidden/>
          </w:rPr>
        </w:r>
        <w:r w:rsidR="005A6761">
          <w:rPr>
            <w:webHidden/>
          </w:rPr>
          <w:fldChar w:fldCharType="separate"/>
        </w:r>
        <w:r w:rsidR="001677C5">
          <w:rPr>
            <w:webHidden/>
          </w:rPr>
          <w:t>21</w:t>
        </w:r>
        <w:r w:rsidR="005A6761">
          <w:rPr>
            <w:webHidden/>
          </w:rPr>
          <w:fldChar w:fldCharType="end"/>
        </w:r>
      </w:hyperlink>
    </w:p>
    <w:p w14:paraId="0A3C24A7" w14:textId="3D635412" w:rsidR="005A6761" w:rsidRDefault="001374E8">
      <w:pPr>
        <w:pStyle w:val="TOC1"/>
        <w:rPr>
          <w:rFonts w:asciiTheme="minorHAnsi" w:eastAsiaTheme="minorEastAsia" w:hAnsiTheme="minorHAnsi" w:cstheme="minorBidi"/>
          <w:b w:val="0"/>
          <w:color w:val="auto"/>
          <w:kern w:val="2"/>
        </w:rPr>
      </w:pPr>
      <w:hyperlink w:anchor="_Toc163213146" w:history="1">
        <w:r w:rsidR="005A6761" w:rsidRPr="00315693">
          <w:rPr>
            <w:rStyle w:val="Hyperlink"/>
          </w:rPr>
          <w:t>Endnotes</w:t>
        </w:r>
        <w:r w:rsidR="005A6761">
          <w:rPr>
            <w:webHidden/>
          </w:rPr>
          <w:tab/>
        </w:r>
        <w:r w:rsidR="005A6761">
          <w:rPr>
            <w:webHidden/>
          </w:rPr>
          <w:fldChar w:fldCharType="begin"/>
        </w:r>
        <w:r w:rsidR="005A6761">
          <w:rPr>
            <w:webHidden/>
          </w:rPr>
          <w:instrText xml:space="preserve"> PAGEREF _Toc163213146 \h </w:instrText>
        </w:r>
        <w:r w:rsidR="005A6761">
          <w:rPr>
            <w:webHidden/>
          </w:rPr>
        </w:r>
        <w:r w:rsidR="005A6761">
          <w:rPr>
            <w:webHidden/>
          </w:rPr>
          <w:fldChar w:fldCharType="separate"/>
        </w:r>
        <w:r w:rsidR="001677C5">
          <w:rPr>
            <w:webHidden/>
          </w:rPr>
          <w:t>22</w:t>
        </w:r>
        <w:r w:rsidR="005A6761">
          <w:rPr>
            <w:webHidden/>
          </w:rPr>
          <w:fldChar w:fldCharType="end"/>
        </w:r>
      </w:hyperlink>
    </w:p>
    <w:p w14:paraId="56EFACCB" w14:textId="4056D20A" w:rsidR="00CA00A9" w:rsidRPr="004169A9" w:rsidRDefault="00CA00A9" w:rsidP="00CA00A9">
      <w:pPr>
        <w:pStyle w:val="SingleParagraph"/>
        <w:ind w:right="-2"/>
        <w:rPr>
          <w:bCs/>
        </w:rPr>
      </w:pPr>
      <w:r w:rsidRPr="004169A9">
        <w:rPr>
          <w:bCs/>
        </w:rPr>
        <w:fldChar w:fldCharType="end"/>
      </w:r>
      <w:bookmarkStart w:id="3" w:name="_Toc432067103"/>
      <w:bookmarkStart w:id="4" w:name="_Toc452635030"/>
    </w:p>
    <w:p w14:paraId="43C4B9F1" w14:textId="77777777" w:rsidR="00CA00A9" w:rsidRPr="00B775EE" w:rsidRDefault="00CA00A9" w:rsidP="00CA00A9">
      <w:pPr>
        <w:pStyle w:val="SingleParagraph"/>
        <w:ind w:right="-2"/>
        <w:rPr>
          <w:b/>
          <w:bCs/>
        </w:rPr>
        <w:sectPr w:rsidR="00CA00A9" w:rsidRPr="00B775EE">
          <w:headerReference w:type="even" r:id="rId26"/>
          <w:headerReference w:type="default" r:id="rId27"/>
          <w:footerReference w:type="even" r:id="rId28"/>
          <w:headerReference w:type="first" r:id="rId29"/>
          <w:footerReference w:type="first" r:id="rId30"/>
          <w:pgSz w:w="11906" w:h="16838" w:code="9"/>
          <w:pgMar w:top="1843" w:right="1418" w:bottom="1418" w:left="1418" w:header="709" w:footer="709" w:gutter="0"/>
          <w:pgNumType w:fmt="lowerRoman" w:start="3"/>
          <w:cols w:space="708"/>
          <w:titlePg/>
          <w:docGrid w:linePitch="360"/>
        </w:sectPr>
      </w:pPr>
    </w:p>
    <w:p w14:paraId="6D1E365A" w14:textId="1927F498" w:rsidR="00CA00A9" w:rsidRPr="004F0398" w:rsidRDefault="00CA00A9" w:rsidP="00CA00A9">
      <w:pPr>
        <w:pStyle w:val="Heading1"/>
        <w:rPr>
          <w:b/>
        </w:rPr>
      </w:pPr>
      <w:bookmarkStart w:id="5" w:name="_Toc163213130"/>
      <w:bookmarkEnd w:id="3"/>
      <w:bookmarkEnd w:id="4"/>
      <w:r w:rsidRPr="004F0398">
        <w:lastRenderedPageBreak/>
        <w:t xml:space="preserve">Purpose of AusNCP </w:t>
      </w:r>
      <w:r w:rsidR="00937693">
        <w:t xml:space="preserve">complaint </w:t>
      </w:r>
      <w:r w:rsidRPr="004F0398">
        <w:t>procedures</w:t>
      </w:r>
      <w:bookmarkEnd w:id="5"/>
    </w:p>
    <w:p w14:paraId="3B1818CD" w14:textId="3519F7A9" w:rsidR="00CA00A9" w:rsidRPr="004F0398" w:rsidRDefault="00CA00A9" w:rsidP="00CA00A9">
      <w:bookmarkStart w:id="6" w:name="_Hlk146269181"/>
      <w:r w:rsidRPr="004F0398">
        <w:t xml:space="preserve">The Australian Government expects multinational businesses operating in Australia or operating overseas from Australia to act in accordance with the </w:t>
      </w:r>
      <w:hyperlink r:id="rId31" w:history="1">
        <w:r w:rsidRPr="004F0398">
          <w:rPr>
            <w:rStyle w:val="Hyperlink"/>
          </w:rPr>
          <w:t>OECD Guidelines for Multinational Enterprises on Responsible Business Conduct</w:t>
        </w:r>
      </w:hyperlink>
      <w:r w:rsidRPr="004F0398">
        <w:rPr>
          <w:b/>
          <w:bCs/>
        </w:rPr>
        <w:t xml:space="preserve"> </w:t>
      </w:r>
      <w:r w:rsidRPr="004F0398">
        <w:t>(</w:t>
      </w:r>
      <w:r w:rsidRPr="00A53AB3">
        <w:t>OECD Guidelines</w:t>
      </w:r>
      <w:r w:rsidRPr="004F0398">
        <w:t>).</w:t>
      </w:r>
      <w:r w:rsidRPr="004F0398">
        <w:rPr>
          <w:rStyle w:val="EndnoteReference"/>
        </w:rPr>
        <w:endnoteReference w:id="2"/>
      </w:r>
      <w:r w:rsidRPr="004F0398">
        <w:t xml:space="preserve"> </w:t>
      </w:r>
    </w:p>
    <w:bookmarkEnd w:id="6"/>
    <w:p w14:paraId="267C3EED" w14:textId="028117D0" w:rsidR="00CA00A9" w:rsidRPr="004F0398" w:rsidRDefault="009D668A" w:rsidP="00CA00A9">
      <w:r>
        <w:t xml:space="preserve">An individual or entity (known as a </w:t>
      </w:r>
      <w:hyperlink w:anchor="notifier" w:history="1">
        <w:r w:rsidRPr="00F663BF">
          <w:rPr>
            <w:rStyle w:val="Hyperlink"/>
          </w:rPr>
          <w:t>notifier</w:t>
        </w:r>
      </w:hyperlink>
      <w:r>
        <w:t>) can complain to t</w:t>
      </w:r>
      <w:r w:rsidR="002F70E6">
        <w:t>h</w:t>
      </w:r>
      <w:r w:rsidR="00CA00A9" w:rsidRPr="004F0398">
        <w:t xml:space="preserve">e Australian National Contact Point for Responsible Business Conduct (AusNCP) </w:t>
      </w:r>
      <w:r>
        <w:t>about</w:t>
      </w:r>
      <w:r w:rsidR="006C0853" w:rsidRPr="00577384">
        <w:rPr>
          <w:b/>
          <w:bCs/>
          <w:i/>
          <w:iCs/>
        </w:rPr>
        <w:t xml:space="preserve"> </w:t>
      </w:r>
      <w:hyperlink w:anchor="enterprise" w:history="1">
        <w:r w:rsidR="00CA00A9" w:rsidRPr="00EE000C">
          <w:rPr>
            <w:rStyle w:val="Hyperlink"/>
          </w:rPr>
          <w:t>enterprise</w:t>
        </w:r>
        <w:r w:rsidR="00577384" w:rsidRPr="00EE000C">
          <w:rPr>
            <w:rStyle w:val="Hyperlink"/>
          </w:rPr>
          <w:t>s</w:t>
        </w:r>
      </w:hyperlink>
      <w:r w:rsidR="00CA00A9" w:rsidRPr="004F0398">
        <w:t xml:space="preserve"> whose conduct is alleged </w:t>
      </w:r>
      <w:r w:rsidR="00CE3709">
        <w:t xml:space="preserve">to be inconsistent </w:t>
      </w:r>
      <w:r w:rsidR="00CA00A9" w:rsidRPr="004F0398">
        <w:t xml:space="preserve">with the </w:t>
      </w:r>
      <w:hyperlink w:anchor="OECDG" w:history="1">
        <w:r w:rsidR="00CA00A9" w:rsidRPr="00F663BF">
          <w:rPr>
            <w:rStyle w:val="Hyperlink"/>
          </w:rPr>
          <w:t>OECD Guidelines</w:t>
        </w:r>
      </w:hyperlink>
      <w:r w:rsidR="00CA00A9" w:rsidRPr="004F0398">
        <w:t>.</w:t>
      </w:r>
      <w:r w:rsidR="008C71C7">
        <w:t xml:space="preserve"> </w:t>
      </w:r>
    </w:p>
    <w:p w14:paraId="0786C465" w14:textId="77777777" w:rsidR="00CA00A9" w:rsidRPr="004F0398" w:rsidRDefault="00CA00A9" w:rsidP="00CA00A9">
      <w:r w:rsidRPr="004F0398">
        <w:t xml:space="preserve">These AusNCP complaint procedures outline AusNCP processes for managing those complaints in accordance with the OECD Guidelines. </w:t>
      </w:r>
    </w:p>
    <w:p w14:paraId="5B6FCAED" w14:textId="77777777" w:rsidR="00CA00A9" w:rsidRPr="004F0398" w:rsidRDefault="00CA00A9" w:rsidP="00CA00A9">
      <w:pPr>
        <w:pStyle w:val="Heading1"/>
      </w:pPr>
      <w:bookmarkStart w:id="7" w:name="_Toc163213131"/>
      <w:r w:rsidRPr="004F0398">
        <w:t>Context</w:t>
      </w:r>
      <w:bookmarkEnd w:id="7"/>
      <w:r w:rsidRPr="004F0398">
        <w:t xml:space="preserve"> </w:t>
      </w:r>
    </w:p>
    <w:p w14:paraId="6AC8D8D0" w14:textId="77777777" w:rsidR="00CA00A9" w:rsidRPr="004F0398" w:rsidRDefault="00CA00A9" w:rsidP="00CA00A9">
      <w:pPr>
        <w:rPr>
          <w:b/>
          <w:bCs/>
        </w:rPr>
      </w:pPr>
      <w:r w:rsidRPr="004F0398">
        <w:rPr>
          <w:b/>
          <w:bCs/>
        </w:rPr>
        <w:t>AusNCP role and responsibilities</w:t>
      </w:r>
    </w:p>
    <w:p w14:paraId="363280ED" w14:textId="7A093B1F" w:rsidR="00CA00A9" w:rsidRPr="004F0398" w:rsidRDefault="00CA00A9" w:rsidP="00CA00A9">
      <w:r w:rsidRPr="004F0398">
        <w:t>AusNCP helps fulfil the Australian Government’s obligations as an adherent to the OECD Declaration on International Investment and Multinational Enterprises</w:t>
      </w:r>
      <w:r w:rsidRPr="00BE3B58">
        <w:t>.</w:t>
      </w:r>
      <w:r w:rsidRPr="00BE3B58">
        <w:rPr>
          <w:rStyle w:val="EndnoteReference"/>
        </w:rPr>
        <w:endnoteReference w:id="3"/>
      </w:r>
      <w:r w:rsidRPr="004F0398">
        <w:t xml:space="preserve"> </w:t>
      </w:r>
      <w:r w:rsidRPr="008C71C7">
        <w:t>This declaration</w:t>
      </w:r>
      <w:r w:rsidRPr="004F0398">
        <w:t xml:space="preserve">, together with a set of other related </w:t>
      </w:r>
      <w:r w:rsidRPr="008C71C7">
        <w:t xml:space="preserve">OECD </w:t>
      </w:r>
      <w:r w:rsidR="00BE3B58" w:rsidRPr="0046317E">
        <w:t xml:space="preserve">legal </w:t>
      </w:r>
      <w:r w:rsidRPr="004F0398">
        <w:t xml:space="preserve">instruments, requires adherents to establish a </w:t>
      </w:r>
      <w:hyperlink w:anchor="national" w:history="1">
        <w:r w:rsidRPr="005478F6">
          <w:rPr>
            <w:rStyle w:val="Hyperlink"/>
          </w:rPr>
          <w:t>National Contact Point for Responsible Business Conduct</w:t>
        </w:r>
      </w:hyperlink>
      <w:r w:rsidRPr="004F0398">
        <w:t xml:space="preserve"> (NCP) to further the effectiveness of the OECD Guidelines. An NCP is an agency established by an adhering government to promote the OECD Guidelines and related due diligence guidance, and </w:t>
      </w:r>
      <w:bookmarkStart w:id="8" w:name="_Hlk146269098"/>
      <w:r w:rsidRPr="004F0398">
        <w:t xml:space="preserve">to handle </w:t>
      </w:r>
      <w:hyperlink w:anchor="complaint" w:history="1">
        <w:r w:rsidRPr="00EC3033">
          <w:rPr>
            <w:rStyle w:val="Hyperlink"/>
          </w:rPr>
          <w:t>complaints</w:t>
        </w:r>
      </w:hyperlink>
      <w:r w:rsidRPr="004F0398">
        <w:t xml:space="preserve"> (also referred to as specific instances</w:t>
      </w:r>
      <w:r w:rsidR="00B76016">
        <w:t xml:space="preserve"> or cases</w:t>
      </w:r>
      <w:r w:rsidRPr="004F0398">
        <w:t xml:space="preserve">) as a non-judicial grievance mechanism. </w:t>
      </w:r>
    </w:p>
    <w:bookmarkEnd w:id="8"/>
    <w:p w14:paraId="4A88C429" w14:textId="77777777" w:rsidR="00CA00A9" w:rsidRDefault="00CA00A9" w:rsidP="00CA00A9">
      <w:r w:rsidRPr="004F0398">
        <w:t xml:space="preserve">AusNCP is responsible for: </w:t>
      </w:r>
    </w:p>
    <w:p w14:paraId="072C03DF" w14:textId="77777777" w:rsidR="00B7063D" w:rsidRPr="004F0398" w:rsidRDefault="00B7063D" w:rsidP="00B7063D">
      <w:pPr>
        <w:pStyle w:val="Bullet"/>
        <w:numPr>
          <w:ilvl w:val="0"/>
          <w:numId w:val="22"/>
        </w:numPr>
      </w:pPr>
      <w:r w:rsidRPr="004F0398">
        <w:t>promoting awareness and uptake of the OECD Guidelines</w:t>
      </w:r>
    </w:p>
    <w:p w14:paraId="4BA2AC50" w14:textId="77777777" w:rsidR="00B7063D" w:rsidRPr="004F0398" w:rsidRDefault="00B7063D" w:rsidP="00271FAB">
      <w:pPr>
        <w:pStyle w:val="Bullet"/>
        <w:numPr>
          <w:ilvl w:val="0"/>
          <w:numId w:val="22"/>
        </w:numPr>
        <w:ind w:left="709" w:hanging="349"/>
      </w:pPr>
      <w:r w:rsidRPr="004F0398">
        <w:t>contributing to the resolution of complaints about multinationa</w:t>
      </w:r>
      <w:r>
        <w:t xml:space="preserve">l </w:t>
      </w:r>
      <w:r w:rsidRPr="008C71C7">
        <w:t>enterprises</w:t>
      </w:r>
      <w:r w:rsidRPr="004F0398">
        <w:t xml:space="preserve"> not implementing the OECD Guidelines in specific instances, and </w:t>
      </w:r>
    </w:p>
    <w:p w14:paraId="43D1C159" w14:textId="7B3016C6" w:rsidR="005C43F9" w:rsidRDefault="00B7063D" w:rsidP="00B7063D">
      <w:pPr>
        <w:pStyle w:val="Bullet"/>
        <w:numPr>
          <w:ilvl w:val="0"/>
          <w:numId w:val="22"/>
        </w:numPr>
      </w:pPr>
      <w:r w:rsidRPr="004F0398">
        <w:t xml:space="preserve">where appropriate and in coordination with relevant government agencies, supporting efforts by the Australian Government to develop, implement, and foster coherence of policies to promote responsible business conduct in line with the OECD Guidelines. </w:t>
      </w:r>
    </w:p>
    <w:p w14:paraId="73335F6C" w14:textId="77777777" w:rsidR="00B7063D" w:rsidRPr="004F0398" w:rsidRDefault="00B7063D" w:rsidP="00B7063D">
      <w:pPr>
        <w:pStyle w:val="Bullet"/>
        <w:numPr>
          <w:ilvl w:val="0"/>
          <w:numId w:val="0"/>
        </w:numPr>
      </w:pPr>
    </w:p>
    <w:p w14:paraId="593E88A5" w14:textId="5296EC55" w:rsidR="00CA00A9" w:rsidRPr="004F0398" w:rsidRDefault="00CA00A9" w:rsidP="00CA00A9">
      <w:r w:rsidRPr="004F0398">
        <w:t xml:space="preserve">AusNCP is delivered by the Australian Treasury. AusNCP consists of three parts – a </w:t>
      </w:r>
      <w:hyperlink w:anchor="secretariat" w:history="1">
        <w:r w:rsidRPr="00957E76">
          <w:rPr>
            <w:rStyle w:val="Hyperlink"/>
          </w:rPr>
          <w:t>secretariat</w:t>
        </w:r>
      </w:hyperlink>
      <w:r w:rsidRPr="004F0398">
        <w:t xml:space="preserve"> in Treasury that manages AusNCP and promotes the OECD Guidelines, </w:t>
      </w:r>
      <w:hyperlink w:anchor="independent" w:history="1">
        <w:r w:rsidRPr="003D0BB7">
          <w:rPr>
            <w:rStyle w:val="Hyperlink"/>
          </w:rPr>
          <w:t>independent examiners</w:t>
        </w:r>
      </w:hyperlink>
      <w:r w:rsidRPr="004F0398">
        <w:t xml:space="preserve"> (examiners) contracted to Treasury to manage complaints against multinationals brought </w:t>
      </w:r>
      <w:r w:rsidR="009A1660">
        <w:t>to</w:t>
      </w:r>
      <w:r w:rsidR="009A1660" w:rsidRPr="004F0398">
        <w:t xml:space="preserve"> </w:t>
      </w:r>
      <w:r w:rsidRPr="004F0398">
        <w:t xml:space="preserve">AusNCP, and a multi-stakeholder </w:t>
      </w:r>
      <w:hyperlink w:anchor="Board" w:history="1">
        <w:r w:rsidRPr="001663DD">
          <w:rPr>
            <w:rStyle w:val="Hyperlink"/>
          </w:rPr>
          <w:t>Governance and Advisory Board</w:t>
        </w:r>
      </w:hyperlink>
      <w:r w:rsidRPr="004F0398">
        <w:t xml:space="preserve"> (Board) that promotes the OECD Guidelines and provides expert advice to help manage complaints.</w:t>
      </w:r>
    </w:p>
    <w:p w14:paraId="275E3B1B" w14:textId="714FCBAB" w:rsidR="00AB3AE0" w:rsidRPr="004F0398" w:rsidRDefault="00CA00A9" w:rsidP="00AB3AE0">
      <w:r w:rsidRPr="004F0398">
        <w:t xml:space="preserve">AusNCP is a non-judicial grievance mechanism delivered in accordance with </w:t>
      </w:r>
      <w:hyperlink w:anchor="core" w:history="1">
        <w:r w:rsidRPr="005709B0">
          <w:rPr>
            <w:rStyle w:val="Hyperlink"/>
          </w:rPr>
          <w:t>core effectiveness criteria</w:t>
        </w:r>
      </w:hyperlink>
      <w:r w:rsidR="00BE3B58">
        <w:t xml:space="preserve"> </w:t>
      </w:r>
      <w:r w:rsidR="00F61C32">
        <w:t xml:space="preserve">for National Contact Points </w:t>
      </w:r>
      <w:r w:rsidR="0057483B">
        <w:t>set out</w:t>
      </w:r>
      <w:r w:rsidR="00F61C32" w:rsidRPr="0075470C">
        <w:t xml:space="preserve"> in</w:t>
      </w:r>
      <w:r w:rsidR="00BE3B58" w:rsidRPr="0075470C">
        <w:t xml:space="preserve"> the OECD Guidelines</w:t>
      </w:r>
      <w:r w:rsidR="00E16A62" w:rsidRPr="0075470C">
        <w:t>, to be</w:t>
      </w:r>
      <w:r w:rsidRPr="0075470C">
        <w:t>:</w:t>
      </w:r>
    </w:p>
    <w:p w14:paraId="42E71984" w14:textId="77777777" w:rsidR="00CA00A9" w:rsidRPr="004F0398" w:rsidRDefault="00CA00A9" w:rsidP="00CA00A9">
      <w:pPr>
        <w:pStyle w:val="Bullet"/>
        <w:numPr>
          <w:ilvl w:val="0"/>
          <w:numId w:val="13"/>
        </w:numPr>
        <w:tabs>
          <w:tab w:val="left" w:pos="720"/>
        </w:tabs>
        <w:spacing w:line="276" w:lineRule="auto"/>
      </w:pPr>
      <w:r w:rsidRPr="004F0398">
        <w:t xml:space="preserve">visible </w:t>
      </w:r>
    </w:p>
    <w:p w14:paraId="36CAA602" w14:textId="77777777" w:rsidR="00CA00A9" w:rsidRPr="004F0398" w:rsidRDefault="00CA00A9" w:rsidP="00CA00A9">
      <w:pPr>
        <w:pStyle w:val="Bullet"/>
        <w:numPr>
          <w:ilvl w:val="0"/>
          <w:numId w:val="13"/>
        </w:numPr>
        <w:tabs>
          <w:tab w:val="left" w:pos="720"/>
        </w:tabs>
        <w:spacing w:line="276" w:lineRule="auto"/>
      </w:pPr>
      <w:r w:rsidRPr="004F0398">
        <w:t>accessible</w:t>
      </w:r>
    </w:p>
    <w:p w14:paraId="174F7864" w14:textId="77777777" w:rsidR="00CA00A9" w:rsidRPr="004F0398" w:rsidRDefault="00CA00A9" w:rsidP="00CA00A9">
      <w:pPr>
        <w:pStyle w:val="Bullet"/>
        <w:numPr>
          <w:ilvl w:val="0"/>
          <w:numId w:val="13"/>
        </w:numPr>
        <w:tabs>
          <w:tab w:val="left" w:pos="720"/>
        </w:tabs>
        <w:spacing w:line="276" w:lineRule="auto"/>
      </w:pPr>
      <w:r w:rsidRPr="004F0398">
        <w:t xml:space="preserve">transparent </w:t>
      </w:r>
    </w:p>
    <w:p w14:paraId="5ECA49C0" w14:textId="77777777" w:rsidR="00CA00A9" w:rsidRPr="004F0398" w:rsidRDefault="00CA00A9" w:rsidP="00CA00A9">
      <w:pPr>
        <w:pStyle w:val="Bullet"/>
        <w:numPr>
          <w:ilvl w:val="0"/>
          <w:numId w:val="13"/>
        </w:numPr>
        <w:tabs>
          <w:tab w:val="left" w:pos="720"/>
        </w:tabs>
        <w:spacing w:line="276" w:lineRule="auto"/>
      </w:pPr>
      <w:r w:rsidRPr="004F0398">
        <w:t xml:space="preserve">accountable </w:t>
      </w:r>
    </w:p>
    <w:p w14:paraId="117C3826" w14:textId="77777777" w:rsidR="00CA00A9" w:rsidRPr="004F0398" w:rsidRDefault="00CA00A9" w:rsidP="00CA00A9">
      <w:pPr>
        <w:pStyle w:val="Bullet"/>
        <w:numPr>
          <w:ilvl w:val="0"/>
          <w:numId w:val="13"/>
        </w:numPr>
        <w:tabs>
          <w:tab w:val="left" w:pos="720"/>
        </w:tabs>
        <w:spacing w:line="276" w:lineRule="auto"/>
      </w:pPr>
      <w:r w:rsidRPr="004F0398">
        <w:t xml:space="preserve">impartial and equitable </w:t>
      </w:r>
    </w:p>
    <w:p w14:paraId="1DFD2CB3" w14:textId="77777777" w:rsidR="00B7063D" w:rsidRDefault="00CA00A9" w:rsidP="00B7063D">
      <w:pPr>
        <w:pStyle w:val="Bullet"/>
        <w:numPr>
          <w:ilvl w:val="0"/>
          <w:numId w:val="13"/>
        </w:numPr>
        <w:tabs>
          <w:tab w:val="left" w:pos="720"/>
        </w:tabs>
        <w:spacing w:line="276" w:lineRule="auto"/>
      </w:pPr>
      <w:r w:rsidRPr="004F0398">
        <w:t xml:space="preserve">predictable, and </w:t>
      </w:r>
    </w:p>
    <w:p w14:paraId="4372AF79" w14:textId="3ACF492F" w:rsidR="00CA00A9" w:rsidRPr="004F0398" w:rsidRDefault="00CA00A9" w:rsidP="00CA00A9">
      <w:pPr>
        <w:pStyle w:val="Bullet"/>
        <w:numPr>
          <w:ilvl w:val="0"/>
          <w:numId w:val="13"/>
        </w:numPr>
        <w:tabs>
          <w:tab w:val="left" w:pos="720"/>
        </w:tabs>
        <w:spacing w:line="276" w:lineRule="auto"/>
      </w:pPr>
      <w:r w:rsidRPr="004F0398">
        <w:t>compatible with the OECD Guidelines.</w:t>
      </w:r>
    </w:p>
    <w:p w14:paraId="21C28249" w14:textId="77777777" w:rsidR="00CA00A9" w:rsidRPr="004F0398" w:rsidRDefault="00CA00A9" w:rsidP="00CA00A9">
      <w:pPr>
        <w:rPr>
          <w:b/>
          <w:bCs/>
        </w:rPr>
      </w:pPr>
      <w:r w:rsidRPr="004F0398">
        <w:rPr>
          <w:b/>
          <w:bCs/>
        </w:rPr>
        <w:lastRenderedPageBreak/>
        <w:t>OECD Guidelines for Multinational Enterprises on Responsible Business Conduct</w:t>
      </w:r>
    </w:p>
    <w:p w14:paraId="3E0CEF61" w14:textId="77777777" w:rsidR="00CA00A9" w:rsidRPr="004F0398" w:rsidRDefault="00CA00A9" w:rsidP="00CA00A9">
      <w:bookmarkStart w:id="9" w:name="_Hlk146268872"/>
      <w:r w:rsidRPr="004F0398">
        <w:t xml:space="preserve">The OECD Guidelines are internationally agreed responsible business conduct standards that governments expect multinational enterprises to observe. The standards cover all areas of business responsibility including disclosure, human rights, employment and industrial relations, environment, consumer interests, corruption, science and technology, competition and taxation. </w:t>
      </w:r>
    </w:p>
    <w:p w14:paraId="1148334F" w14:textId="164CEF57" w:rsidR="00CA00A9" w:rsidRPr="004F0398" w:rsidRDefault="00CA00A9" w:rsidP="00CA00A9">
      <w:pPr>
        <w:rPr>
          <w:b/>
          <w:bCs/>
          <w:i/>
          <w:iCs/>
          <w:strike/>
          <w:u w:val="single"/>
        </w:rPr>
      </w:pPr>
      <w:r w:rsidRPr="004F0398">
        <w:t xml:space="preserve">Obeying domestic law is the first obligation of enterprises. </w:t>
      </w:r>
      <w:r w:rsidRPr="008C71C7">
        <w:t xml:space="preserve">The OECD Guidelines outline recommendations on responsible business conduct that may go beyond what enterprises are legally required to comply with. The recommendation from governments that enterprises observe the </w:t>
      </w:r>
      <w:r w:rsidR="00D45267" w:rsidRPr="008C71C7">
        <w:t xml:space="preserve">OECD </w:t>
      </w:r>
      <w:r w:rsidRPr="008C71C7">
        <w:t>Guidelines is distinct from matters of legal liability and enforcement</w:t>
      </w:r>
      <w:r w:rsidR="008C71C7">
        <w:t>.</w:t>
      </w:r>
      <w:r w:rsidRPr="004F0398">
        <w:t xml:space="preserve"> AusNCP focuses on </w:t>
      </w:r>
      <w:r w:rsidRPr="008C71C7">
        <w:t>enterprises’ implementation of the OECD Guidelines.</w:t>
      </w:r>
      <w:r w:rsidRPr="004F0398">
        <w:rPr>
          <w:b/>
          <w:bCs/>
          <w:i/>
          <w:iCs/>
          <w:u w:val="single"/>
        </w:rPr>
        <w:t xml:space="preserve"> </w:t>
      </w:r>
    </w:p>
    <w:bookmarkEnd w:id="9"/>
    <w:p w14:paraId="19E513BA" w14:textId="2C9615EF" w:rsidR="00CA00A9" w:rsidRPr="004F0398" w:rsidRDefault="00CA00A9" w:rsidP="00CA00A9">
      <w:r w:rsidRPr="004F0398">
        <w:t xml:space="preserve">A copy of the OECD Guidelines, including </w:t>
      </w:r>
      <w:hyperlink w:anchor="OECDi" w:history="1">
        <w:r w:rsidRPr="00317A3B">
          <w:rPr>
            <w:rStyle w:val="Hyperlink"/>
          </w:rPr>
          <w:t>implementation procedures</w:t>
        </w:r>
      </w:hyperlink>
      <w:r w:rsidRPr="004F0398">
        <w:t xml:space="preserve"> and associated commentary</w:t>
      </w:r>
      <w:r w:rsidR="005C3B2D">
        <w:t>,</w:t>
      </w:r>
      <w:r w:rsidRPr="004F0398">
        <w:t xml:space="preserve"> is available in a range of languages</w:t>
      </w:r>
      <w:r w:rsidR="0007706A">
        <w:t xml:space="preserve"> on the </w:t>
      </w:r>
      <w:r w:rsidRPr="004F0398">
        <w:t xml:space="preserve"> </w:t>
      </w:r>
      <w:hyperlink r:id="rId32" w:tgtFrame="_blank" w:tooltip="https://mneguidelines.oecd.org/mneguidelines/" w:history="1">
        <w:r w:rsidR="0007706A">
          <w:rPr>
            <w:rStyle w:val="Hyperlink"/>
          </w:rPr>
          <w:t>OECD website</w:t>
        </w:r>
      </w:hyperlink>
      <w:r w:rsidRPr="004F0398">
        <w:t>.</w:t>
      </w:r>
      <w:r w:rsidRPr="004F0398">
        <w:rPr>
          <w:rStyle w:val="EndnoteReference"/>
        </w:rPr>
        <w:endnoteReference w:id="4"/>
      </w:r>
      <w:r w:rsidRPr="004F0398">
        <w:t xml:space="preserve"> </w:t>
      </w:r>
    </w:p>
    <w:p w14:paraId="043278A0" w14:textId="235D40E6" w:rsidR="00CA00A9" w:rsidRPr="004F0398" w:rsidRDefault="00CA00A9" w:rsidP="00EC4E6A">
      <w:r w:rsidRPr="004F0398">
        <w:t xml:space="preserve">The OECD Guidelines recommend enterprises undertake risk-based </w:t>
      </w:r>
      <w:hyperlink w:anchor="due" w:history="1">
        <w:r w:rsidRPr="00AB720D">
          <w:rPr>
            <w:rStyle w:val="Hyperlink"/>
          </w:rPr>
          <w:t>due diligence</w:t>
        </w:r>
      </w:hyperlink>
      <w:r w:rsidRPr="004F0398">
        <w:t xml:space="preserve"> to identify, prevent, mitigate and account for how they address actual and potential adverse impacts on people, the environment and society. </w:t>
      </w:r>
      <w:r w:rsidRPr="008C71C7">
        <w:t>There are also a range of</w:t>
      </w:r>
      <w:r w:rsidRPr="004F0398">
        <w:t xml:space="preserve"> </w:t>
      </w:r>
      <w:hyperlink r:id="rId33" w:history="1">
        <w:r w:rsidRPr="004F0398">
          <w:rPr>
            <w:rStyle w:val="Hyperlink"/>
          </w:rPr>
          <w:t>OECD Due Diligence Guidance documents</w:t>
        </w:r>
      </w:hyperlink>
      <w:r w:rsidRPr="004F0398">
        <w:rPr>
          <w:rStyle w:val="EndnoteReference"/>
        </w:rPr>
        <w:endnoteReference w:id="5"/>
      </w:r>
      <w:r w:rsidRPr="004F0398">
        <w:t xml:space="preserve"> </w:t>
      </w:r>
      <w:r w:rsidRPr="008C71C7">
        <w:t>that</w:t>
      </w:r>
      <w:r w:rsidRPr="004F0398">
        <w:t xml:space="preserve"> provide practical support to assist enterprises to avoid and address adverse impacts related to matters covered by the </w:t>
      </w:r>
      <w:r w:rsidRPr="008C71C7">
        <w:t>OECD</w:t>
      </w:r>
      <w:r w:rsidRPr="004F0398">
        <w:t xml:space="preserve"> Guidelines, including workers, human rights, the environment, corruption, consumers, science and technology, and corporate governance. These documents include sector</w:t>
      </w:r>
      <w:r w:rsidR="00621F79">
        <w:noBreakHyphen/>
      </w:r>
      <w:r w:rsidRPr="004F0398">
        <w:t>specific advice, additional explanations, tips and illustrative examples of due diligence.</w:t>
      </w:r>
    </w:p>
    <w:p w14:paraId="1F4A527E" w14:textId="77777777" w:rsidR="00CA00A9" w:rsidRPr="004F0398" w:rsidRDefault="00CA00A9" w:rsidP="0064459A">
      <w:pPr>
        <w:pStyle w:val="Heading1"/>
      </w:pPr>
      <w:bookmarkStart w:id="10" w:name="_Toc163213132"/>
      <w:r w:rsidRPr="004F0398">
        <w:t>AusNCP complaint procedures</w:t>
      </w:r>
      <w:bookmarkEnd w:id="10"/>
      <w:r w:rsidRPr="004F0398">
        <w:t xml:space="preserve"> </w:t>
      </w:r>
    </w:p>
    <w:p w14:paraId="014B6061" w14:textId="77777777" w:rsidR="00CA00A9" w:rsidRPr="004F0398" w:rsidRDefault="00CA00A9" w:rsidP="00857BB2">
      <w:pPr>
        <w:keepNext/>
        <w:keepLines/>
        <w:rPr>
          <w:b/>
          <w:bCs/>
        </w:rPr>
      </w:pPr>
      <w:r w:rsidRPr="004F0398">
        <w:rPr>
          <w:b/>
          <w:bCs/>
        </w:rPr>
        <w:t xml:space="preserve">Concepts and principles </w:t>
      </w:r>
    </w:p>
    <w:p w14:paraId="43BD09FB" w14:textId="24985B4D" w:rsidR="00CA00A9" w:rsidRPr="004F0398" w:rsidRDefault="00CA00A9" w:rsidP="002061D1">
      <w:pPr>
        <w:pStyle w:val="ListParagraph"/>
        <w:numPr>
          <w:ilvl w:val="0"/>
          <w:numId w:val="4"/>
        </w:numPr>
        <w:spacing w:before="120" w:after="120" w:line="240" w:lineRule="auto"/>
        <w:contextualSpacing w:val="0"/>
      </w:pPr>
      <w:r w:rsidRPr="004F0398">
        <w:t xml:space="preserve">AusNCP helps resolve complaints </w:t>
      </w:r>
      <w:r w:rsidRPr="008C71C7">
        <w:t>about</w:t>
      </w:r>
      <w:r w:rsidRPr="004F0398">
        <w:t xml:space="preserve"> </w:t>
      </w:r>
      <w:r w:rsidRPr="008C71C7">
        <w:t>conduct by multinational enterprises alleged to be</w:t>
      </w:r>
      <w:r w:rsidRPr="004F0398">
        <w:rPr>
          <w:b/>
          <w:bCs/>
          <w:i/>
          <w:iCs/>
          <w:u w:val="single"/>
        </w:rPr>
        <w:t xml:space="preserve"> </w:t>
      </w:r>
      <w:r w:rsidRPr="008C71C7">
        <w:t>inconsistent with the</w:t>
      </w:r>
      <w:r w:rsidRPr="004F0398">
        <w:t xml:space="preserve"> OECD Guidelines</w:t>
      </w:r>
      <w:r w:rsidR="005502B0">
        <w:t>. AusNCP</w:t>
      </w:r>
      <w:r w:rsidRPr="004F0398">
        <w:t xml:space="preserve"> address</w:t>
      </w:r>
      <w:r w:rsidR="005502B0">
        <w:t>es</w:t>
      </w:r>
      <w:r w:rsidRPr="004F0398">
        <w:t xml:space="preserve"> adverse impacts from multinational business activities in a way that is consistent with the OECD Guidelines.</w:t>
      </w:r>
    </w:p>
    <w:p w14:paraId="133B63B5" w14:textId="45AE8DD4" w:rsidR="00396C5E" w:rsidRDefault="00CA00A9" w:rsidP="002061D1">
      <w:pPr>
        <w:pStyle w:val="ListParagraph"/>
        <w:numPr>
          <w:ilvl w:val="0"/>
          <w:numId w:val="4"/>
        </w:numPr>
        <w:spacing w:before="120" w:after="120" w:line="240" w:lineRule="auto"/>
        <w:contextualSpacing w:val="0"/>
      </w:pPr>
      <w:r w:rsidRPr="001C07AF">
        <w:t>AusNCP</w:t>
      </w:r>
      <w:r w:rsidRPr="004F0398">
        <w:t xml:space="preserve"> supports participation in </w:t>
      </w:r>
      <w:r w:rsidRPr="008C71C7">
        <w:t>its</w:t>
      </w:r>
      <w:r w:rsidRPr="004F0398">
        <w:t xml:space="preserve"> processes </w:t>
      </w:r>
      <w:r w:rsidRPr="008C71C7">
        <w:t>by</w:t>
      </w:r>
      <w:r w:rsidRPr="001C02DD">
        <w:t xml:space="preserve"> </w:t>
      </w:r>
      <w:r w:rsidRPr="004F0398">
        <w:t>culturally and linguistically diverse individuals or groups</w:t>
      </w:r>
      <w:r w:rsidRPr="008C71C7">
        <w:t>. This includes</w:t>
      </w:r>
      <w:r w:rsidRPr="004F0398">
        <w:t xml:space="preserve"> First Nations people, individuals with disabilities, and </w:t>
      </w:r>
      <w:r w:rsidR="001B4E1E">
        <w:t xml:space="preserve">other </w:t>
      </w:r>
      <w:r w:rsidRPr="004F0398">
        <w:t>people</w:t>
      </w:r>
      <w:r w:rsidR="001B4E1E">
        <w:t xml:space="preserve"> from groups or populations that may be at a heightened risk of becoming marginalised</w:t>
      </w:r>
      <w:r w:rsidRPr="004F0398">
        <w:t xml:space="preserve"> or vulnerable.</w:t>
      </w:r>
    </w:p>
    <w:p w14:paraId="42C7847F" w14:textId="291EBA10" w:rsidR="00F46546" w:rsidRDefault="002A44AC" w:rsidP="002061D1">
      <w:pPr>
        <w:pStyle w:val="ListParagraph"/>
        <w:numPr>
          <w:ilvl w:val="0"/>
          <w:numId w:val="4"/>
        </w:numPr>
        <w:spacing w:before="120" w:after="120" w:line="240" w:lineRule="auto"/>
        <w:contextualSpacing w:val="0"/>
      </w:pPr>
      <w:bookmarkStart w:id="11" w:name="_Ref162441047"/>
      <w:r>
        <w:t>The</w:t>
      </w:r>
      <w:r w:rsidRPr="004F0398">
        <w:t xml:space="preserve"> </w:t>
      </w:r>
      <w:r w:rsidR="00CA00A9" w:rsidRPr="004F0398">
        <w:t xml:space="preserve">secretariat and examiners will strive to sensitively facilitate equitable access and participation </w:t>
      </w:r>
      <w:r w:rsidR="00CA00A9" w:rsidRPr="008C71C7">
        <w:t xml:space="preserve">in </w:t>
      </w:r>
      <w:r w:rsidR="00610822" w:rsidRPr="008C71C7">
        <w:t xml:space="preserve">the </w:t>
      </w:r>
      <w:r w:rsidR="00CA00A9" w:rsidRPr="008C71C7">
        <w:t>AusNCP complaint process</w:t>
      </w:r>
      <w:r w:rsidR="001C722F">
        <w:t xml:space="preserve">. This </w:t>
      </w:r>
      <w:r w:rsidR="00CA00A9" w:rsidRPr="004F0398">
        <w:t>includ</w:t>
      </w:r>
      <w:r w:rsidR="001C722F">
        <w:t>es</w:t>
      </w:r>
      <w:r w:rsidR="00CA00A9" w:rsidRPr="004F0398">
        <w:t xml:space="preserve"> </w:t>
      </w:r>
      <w:r w:rsidR="00327258">
        <w:t>aspects</w:t>
      </w:r>
      <w:r w:rsidR="00327258" w:rsidRPr="004F0398">
        <w:t xml:space="preserve"> </w:t>
      </w:r>
      <w:r w:rsidR="00CA00A9" w:rsidRPr="004F0398">
        <w:t xml:space="preserve">related to </w:t>
      </w:r>
      <w:r w:rsidR="00CA00A9" w:rsidRPr="008C71C7">
        <w:t>access to equal representation</w:t>
      </w:r>
      <w:r w:rsidR="00CA00A9" w:rsidRPr="004F0398">
        <w:t>, language and literacy, cultural constraints, logistical or practical limitations.</w:t>
      </w:r>
      <w:bookmarkEnd w:id="11"/>
      <w:r w:rsidR="00CA00A9" w:rsidRPr="004F0398">
        <w:t xml:space="preserve"> </w:t>
      </w:r>
    </w:p>
    <w:p w14:paraId="7248D65A" w14:textId="23502DA0" w:rsidR="00CA00A9" w:rsidRPr="004F0398" w:rsidRDefault="00F46546" w:rsidP="002061D1">
      <w:pPr>
        <w:pStyle w:val="ListParagraph"/>
        <w:numPr>
          <w:ilvl w:val="1"/>
          <w:numId w:val="4"/>
        </w:numPr>
        <w:spacing w:before="120" w:after="120" w:line="240" w:lineRule="auto"/>
        <w:ind w:left="792"/>
        <w:contextualSpacing w:val="0"/>
      </w:pPr>
      <w:r w:rsidRPr="0046317E">
        <w:t xml:space="preserve">The examiner and AusNCP will take reasonable steps to ensure the AusNCP complaints process is accessible to all </w:t>
      </w:r>
      <w:hyperlink w:anchor="parties" w:history="1">
        <w:r w:rsidRPr="00A32CE7">
          <w:rPr>
            <w:rStyle w:val="Hyperlink"/>
          </w:rPr>
          <w:t>parties</w:t>
        </w:r>
      </w:hyperlink>
      <w:r w:rsidRPr="0046317E">
        <w:t xml:space="preserve">, especially overseas notifiers. This may include </w:t>
      </w:r>
      <w:r w:rsidR="00A90B31">
        <w:t>using</w:t>
      </w:r>
      <w:r w:rsidRPr="0046317E">
        <w:t xml:space="preserve"> technology, translation services and engagement by the Australian Government’s overseas missions, consistent with </w:t>
      </w:r>
      <w:r w:rsidRPr="004169A9">
        <w:t>paragraphs</w:t>
      </w:r>
      <w:r w:rsidR="000C1CCB" w:rsidRPr="004169A9">
        <w:t xml:space="preserve"> </w:t>
      </w:r>
      <w:r w:rsidR="001677C5">
        <w:t>3</w:t>
      </w:r>
      <w:r w:rsidR="000C1CCB" w:rsidRPr="004169A9">
        <w:t xml:space="preserve"> and </w:t>
      </w:r>
      <w:r w:rsidR="001677C5">
        <w:t>6</w:t>
      </w:r>
      <w:r w:rsidR="00AC05B4">
        <w:t>.</w:t>
      </w:r>
      <w:r w:rsidRPr="0046317E">
        <w:t xml:space="preserve"> </w:t>
      </w:r>
      <w:r w:rsidR="0091463D" w:rsidRPr="0046317E">
        <w:t xml:space="preserve">This </w:t>
      </w:r>
      <w:r w:rsidR="00FF0342" w:rsidRPr="0046317E">
        <w:t>applies to all phases of the AusNCP complaint process.</w:t>
      </w:r>
    </w:p>
    <w:p w14:paraId="6F543CB1" w14:textId="72210A9D" w:rsidR="00CA00A9" w:rsidRDefault="00CA00A9" w:rsidP="002061D1">
      <w:pPr>
        <w:pStyle w:val="ListParagraph"/>
        <w:numPr>
          <w:ilvl w:val="0"/>
          <w:numId w:val="4"/>
        </w:numPr>
        <w:spacing w:before="120" w:after="120" w:line="240" w:lineRule="auto"/>
        <w:contextualSpacing w:val="0"/>
      </w:pPr>
      <w:bookmarkStart w:id="12" w:name="_Ref146104591"/>
      <w:r w:rsidRPr="004F0398">
        <w:t>AusNCP will make best endeavours to respond to potential safety risks for notifiers and related parties across AusNCP</w:t>
      </w:r>
      <w:r w:rsidRPr="00396C5E">
        <w:t>’s</w:t>
      </w:r>
      <w:r w:rsidRPr="004F0398">
        <w:t xml:space="preserve"> process</w:t>
      </w:r>
      <w:r w:rsidRPr="00396C5E">
        <w:t>es</w:t>
      </w:r>
      <w:r w:rsidRPr="004F0398">
        <w:t xml:space="preserve">, for example as outlined in </w:t>
      </w:r>
      <w:r w:rsidRPr="004169A9">
        <w:t>paragraph</w:t>
      </w:r>
      <w:r w:rsidR="00522F21" w:rsidRPr="004169A9">
        <w:t xml:space="preserve">s </w:t>
      </w:r>
      <w:r w:rsidR="001677C5">
        <w:t>10</w:t>
      </w:r>
      <w:r w:rsidR="00522F21" w:rsidRPr="004169A9">
        <w:t xml:space="preserve"> and</w:t>
      </w:r>
      <w:r w:rsidR="002C1ABD">
        <w:t xml:space="preserve"> </w:t>
      </w:r>
      <w:r w:rsidR="001677C5">
        <w:t>29</w:t>
      </w:r>
      <w:r w:rsidRPr="004169A9">
        <w:t>.</w:t>
      </w:r>
      <w:bookmarkEnd w:id="12"/>
    </w:p>
    <w:p w14:paraId="0DA95833" w14:textId="59FCD7CD" w:rsidR="00CA00A9" w:rsidRPr="004169A9" w:rsidRDefault="00CA00A9" w:rsidP="002061D1">
      <w:pPr>
        <w:pStyle w:val="ListParagraph"/>
        <w:numPr>
          <w:ilvl w:val="0"/>
          <w:numId w:val="4"/>
        </w:numPr>
        <w:spacing w:before="120" w:after="120" w:line="240" w:lineRule="auto"/>
        <w:contextualSpacing w:val="0"/>
      </w:pPr>
      <w:r w:rsidRPr="004F0398">
        <w:t>A simplified diagram of AusNCP</w:t>
      </w:r>
      <w:r w:rsidRPr="00396C5E">
        <w:t xml:space="preserve">’s </w:t>
      </w:r>
      <w:r w:rsidRPr="004F0398">
        <w:t>complaint process is provided at</w:t>
      </w:r>
      <w:r w:rsidR="00522F21">
        <w:t xml:space="preserve"> </w:t>
      </w:r>
      <w:r w:rsidR="001677C5" w:rsidRPr="004F0398">
        <w:t>Appendix A: Complaint process</w:t>
      </w:r>
      <w:r w:rsidR="001677C5">
        <w:t xml:space="preserve"> diagram</w:t>
      </w:r>
      <w:r w:rsidRPr="004169A9">
        <w:t>.</w:t>
      </w:r>
    </w:p>
    <w:p w14:paraId="34A966C8" w14:textId="77777777" w:rsidR="00CA00A9" w:rsidRPr="004F0398" w:rsidRDefault="00CA00A9" w:rsidP="002061D1">
      <w:pPr>
        <w:pStyle w:val="Heading1"/>
      </w:pPr>
      <w:bookmarkStart w:id="13" w:name="_Toc163213133"/>
      <w:r w:rsidRPr="004F0398">
        <w:lastRenderedPageBreak/>
        <w:t>Submitting a complaint</w:t>
      </w:r>
      <w:bookmarkEnd w:id="13"/>
      <w:r w:rsidRPr="004F0398">
        <w:t xml:space="preserve"> </w:t>
      </w:r>
    </w:p>
    <w:p w14:paraId="61D8E0B8" w14:textId="3042806C" w:rsidR="00CA00A9" w:rsidRPr="004F0398" w:rsidRDefault="00CA00A9" w:rsidP="002061D1">
      <w:pPr>
        <w:pStyle w:val="ListParagraph"/>
        <w:numPr>
          <w:ilvl w:val="0"/>
          <w:numId w:val="4"/>
        </w:numPr>
        <w:spacing w:before="120" w:after="120" w:line="240" w:lineRule="auto"/>
        <w:contextualSpacing w:val="0"/>
      </w:pPr>
      <w:bookmarkStart w:id="14" w:name="_Ref162441059"/>
      <w:r w:rsidRPr="004F0398">
        <w:t xml:space="preserve">Notifiers can submit their complaint using the form on </w:t>
      </w:r>
      <w:r w:rsidRPr="00396C5E">
        <w:t>the</w:t>
      </w:r>
      <w:r w:rsidRPr="004F0398">
        <w:t xml:space="preserve"> </w:t>
      </w:r>
      <w:hyperlink r:id="rId34" w:history="1">
        <w:r w:rsidR="0040661C">
          <w:rPr>
            <w:rStyle w:val="Hyperlink"/>
          </w:rPr>
          <w:t>AusNCP website</w:t>
        </w:r>
      </w:hyperlink>
      <w:r w:rsidRPr="004F0398">
        <w:t>.</w:t>
      </w:r>
      <w:r w:rsidRPr="004F0398">
        <w:rPr>
          <w:rStyle w:val="EndnoteReference"/>
        </w:rPr>
        <w:endnoteReference w:id="6"/>
      </w:r>
      <w:r w:rsidRPr="004F0398">
        <w:t xml:space="preserve"> </w:t>
      </w:r>
      <w:r w:rsidRPr="00396C5E">
        <w:t>If a notifier is unable to use the form, AusNCP will seek to provide reasonable alternative arrangements to ensure the process is accessible such as email, translation services, or connecting the notifier to a third party with relevant expertise for assistance with forming their complaint</w:t>
      </w:r>
      <w:r w:rsidRPr="004F0398">
        <w:t xml:space="preserve">, consistent with </w:t>
      </w:r>
      <w:r w:rsidRPr="004169A9">
        <w:t xml:space="preserve">paragraph </w:t>
      </w:r>
      <w:r w:rsidR="001677C5">
        <w:t>3</w:t>
      </w:r>
      <w:r w:rsidRPr="004169A9">
        <w:t>.</w:t>
      </w:r>
      <w:r w:rsidRPr="004F0398">
        <w:t xml:space="preserve"> AusNCP will make reasonable arrangements to ensure accessibility for the duration of the </w:t>
      </w:r>
      <w:r w:rsidR="00A66146">
        <w:t>complaint</w:t>
      </w:r>
      <w:r w:rsidRPr="004F0398">
        <w:t>.</w:t>
      </w:r>
      <w:bookmarkEnd w:id="14"/>
    </w:p>
    <w:p w14:paraId="5831D96B" w14:textId="77777777" w:rsidR="00CA00A9" w:rsidRPr="004F0398" w:rsidRDefault="00CA00A9" w:rsidP="002061D1">
      <w:pPr>
        <w:pStyle w:val="ListParagraph"/>
        <w:numPr>
          <w:ilvl w:val="0"/>
          <w:numId w:val="4"/>
        </w:numPr>
        <w:spacing w:before="120" w:after="120" w:line="240" w:lineRule="auto"/>
        <w:contextualSpacing w:val="0"/>
      </w:pPr>
      <w:bookmarkStart w:id="15" w:name="_Ref146104699"/>
      <w:r w:rsidRPr="004F0398">
        <w:t>Complaints can be made to AusNCP about alleged non-compliance with the OECD Guidelines by:</w:t>
      </w:r>
      <w:bookmarkEnd w:id="15"/>
    </w:p>
    <w:p w14:paraId="0B6ED144" w14:textId="77777777" w:rsidR="00CA00A9" w:rsidRPr="004F0398" w:rsidRDefault="00CA00A9" w:rsidP="002061D1">
      <w:pPr>
        <w:pStyle w:val="ListParagraph"/>
        <w:numPr>
          <w:ilvl w:val="1"/>
          <w:numId w:val="4"/>
        </w:numPr>
        <w:spacing w:before="120" w:after="120" w:line="240" w:lineRule="auto"/>
        <w:ind w:left="792"/>
        <w:contextualSpacing w:val="0"/>
      </w:pPr>
      <w:r w:rsidRPr="004F0398">
        <w:t>a multinational enterprise operating in Australia, or</w:t>
      </w:r>
    </w:p>
    <w:p w14:paraId="355EC6B1" w14:textId="77777777" w:rsidR="00CA00A9" w:rsidRPr="004F0398" w:rsidRDefault="00CA00A9" w:rsidP="002061D1">
      <w:pPr>
        <w:pStyle w:val="ListParagraph"/>
        <w:numPr>
          <w:ilvl w:val="1"/>
          <w:numId w:val="4"/>
        </w:numPr>
        <w:spacing w:before="120" w:after="120" w:line="240" w:lineRule="auto"/>
        <w:ind w:left="792"/>
        <w:contextualSpacing w:val="0"/>
      </w:pPr>
      <w:r w:rsidRPr="004F0398">
        <w:t>a multinational enterprise operating from Australia, even in a country that is not an adherent to the OECD Guidelines.</w:t>
      </w:r>
    </w:p>
    <w:p w14:paraId="0FF9357E" w14:textId="6A9D88EB" w:rsidR="00CA00A9" w:rsidRPr="004F0398" w:rsidRDefault="00CA00A9" w:rsidP="002061D1">
      <w:pPr>
        <w:pStyle w:val="ListParagraph"/>
        <w:numPr>
          <w:ilvl w:val="0"/>
          <w:numId w:val="4"/>
        </w:numPr>
        <w:spacing w:before="120" w:after="120" w:line="240" w:lineRule="auto"/>
        <w:contextualSpacing w:val="0"/>
      </w:pPr>
      <w:r w:rsidRPr="004F0398">
        <w:t xml:space="preserve">Examiners will seek to take a broad view of the definition of ‘multinational enterprise’ for the purposes of receiving complaints. </w:t>
      </w:r>
      <w:r w:rsidRPr="00396C5E">
        <w:t>Examiners</w:t>
      </w:r>
      <w:r w:rsidRPr="00396C5E">
        <w:rPr>
          <w:b/>
          <w:bCs/>
          <w:i/>
          <w:iCs/>
        </w:rPr>
        <w:t xml:space="preserve"> </w:t>
      </w:r>
      <w:r w:rsidR="00545F91" w:rsidRPr="0046317E">
        <w:t>may</w:t>
      </w:r>
      <w:r w:rsidR="00545F91">
        <w:t xml:space="preserve"> </w:t>
      </w:r>
      <w:r w:rsidRPr="00396C5E">
        <w:t>consider f</w:t>
      </w:r>
      <w:r w:rsidRPr="004F0398">
        <w:t xml:space="preserve">actors such as the </w:t>
      </w:r>
      <w:r w:rsidR="00F92AA5">
        <w:t>enterprise’s</w:t>
      </w:r>
      <w:r w:rsidR="00F92AA5" w:rsidRPr="004F0398">
        <w:t xml:space="preserve"> </w:t>
      </w:r>
      <w:r w:rsidRPr="004F0398">
        <w:t>corporate identity and scope of management or control in Australia.</w:t>
      </w:r>
    </w:p>
    <w:p w14:paraId="6685D74C" w14:textId="389AA113" w:rsidR="00CA00A9" w:rsidRPr="004F0398" w:rsidRDefault="00CA00A9" w:rsidP="002061D1">
      <w:pPr>
        <w:pStyle w:val="ListParagraph"/>
        <w:numPr>
          <w:ilvl w:val="0"/>
          <w:numId w:val="4"/>
        </w:numPr>
        <w:spacing w:before="120" w:after="120" w:line="240" w:lineRule="auto"/>
        <w:contextualSpacing w:val="0"/>
      </w:pPr>
      <w:r w:rsidRPr="00396C5E">
        <w:t>If</w:t>
      </w:r>
      <w:r w:rsidRPr="00396C5E">
        <w:rPr>
          <w:b/>
          <w:bCs/>
          <w:i/>
          <w:iCs/>
        </w:rPr>
        <w:t xml:space="preserve"> </w:t>
      </w:r>
      <w:r w:rsidR="00545F91" w:rsidRPr="0046317E">
        <w:t>the</w:t>
      </w:r>
      <w:r w:rsidR="00545F91">
        <w:t xml:space="preserve"> </w:t>
      </w:r>
      <w:r w:rsidRPr="00396C5E">
        <w:t>complaint does not relate to an Australian multinational enterprise, the complaint should demonstrate a link to Australia.</w:t>
      </w:r>
      <w:r w:rsidRPr="004F0398">
        <w:t xml:space="preserve"> </w:t>
      </w:r>
    </w:p>
    <w:p w14:paraId="37A1651D" w14:textId="5C85F8A4" w:rsidR="00CA00A9" w:rsidRPr="004F0398" w:rsidRDefault="00CA00A9" w:rsidP="002061D1">
      <w:pPr>
        <w:pStyle w:val="ListParagraph"/>
        <w:numPr>
          <w:ilvl w:val="0"/>
          <w:numId w:val="4"/>
        </w:numPr>
        <w:spacing w:before="120" w:after="120" w:line="240" w:lineRule="auto"/>
        <w:contextualSpacing w:val="0"/>
      </w:pPr>
      <w:bookmarkStart w:id="16" w:name="_Ref162441102"/>
      <w:r w:rsidRPr="004F0398">
        <w:t xml:space="preserve">In certain circumstances, such as where there are risks to the personal safety of the notifier and/or the threat or risk of reprisals, AusNCP will enable </w:t>
      </w:r>
      <w:r w:rsidRPr="00396C5E">
        <w:t>notifiers to</w:t>
      </w:r>
      <w:r w:rsidRPr="004F0398">
        <w:t xml:space="preserve"> anonymous</w:t>
      </w:r>
      <w:r w:rsidRPr="00396C5E">
        <w:t>ly</w:t>
      </w:r>
      <w:r w:rsidRPr="004F0398">
        <w:t xml:space="preserve"> fil</w:t>
      </w:r>
      <w:r w:rsidR="00396C5E">
        <w:t>e</w:t>
      </w:r>
      <w:r w:rsidRPr="004F0398">
        <w:rPr>
          <w:b/>
          <w:bCs/>
          <w:i/>
          <w:iCs/>
          <w:strike/>
          <w:u w:val="single"/>
        </w:rPr>
        <w:t xml:space="preserve"> </w:t>
      </w:r>
      <w:r w:rsidRPr="004F0398">
        <w:t>complaints via a third party. Notifiers acting on behalf of others should be able to demonstrate their authority to do so and to show evidence of the need for anonymity of the affected party.</w:t>
      </w:r>
      <w:bookmarkEnd w:id="16"/>
    </w:p>
    <w:p w14:paraId="45B0CF98" w14:textId="7D27AE6C" w:rsidR="00CA00A9" w:rsidRPr="004F0398" w:rsidRDefault="00CA00A9" w:rsidP="002061D1">
      <w:pPr>
        <w:pStyle w:val="ListParagraph"/>
        <w:numPr>
          <w:ilvl w:val="0"/>
          <w:numId w:val="4"/>
        </w:numPr>
        <w:spacing w:before="120" w:after="120" w:line="240" w:lineRule="auto"/>
        <w:contextualSpacing w:val="0"/>
      </w:pPr>
      <w:bookmarkStart w:id="17" w:name="_Ref146104468"/>
      <w:r w:rsidRPr="004F0398">
        <w:t xml:space="preserve">AusNCP expects the notifier and enterprise to act in </w:t>
      </w:r>
      <w:hyperlink w:anchor="good" w:history="1">
        <w:r w:rsidRPr="00070D60">
          <w:rPr>
            <w:rStyle w:val="Hyperlink"/>
          </w:rPr>
          <w:t>good faith</w:t>
        </w:r>
      </w:hyperlink>
      <w:r w:rsidRPr="004F0398">
        <w:t xml:space="preserve"> throughout the complaint process. If the</w:t>
      </w:r>
      <w:r w:rsidRPr="004F0398" w:rsidDel="004A5AD9">
        <w:t xml:space="preserve"> </w:t>
      </w:r>
      <w:r w:rsidRPr="004F0398">
        <w:t>examiner is satisfied that a party is not acting in good faith, the examiner may:</w:t>
      </w:r>
      <w:bookmarkEnd w:id="17"/>
    </w:p>
    <w:p w14:paraId="2B18CDB1" w14:textId="00B251E7" w:rsidR="00CA00A9" w:rsidRPr="004F0398" w:rsidRDefault="00CA00A9" w:rsidP="002061D1">
      <w:pPr>
        <w:pStyle w:val="ListParagraph"/>
        <w:numPr>
          <w:ilvl w:val="1"/>
          <w:numId w:val="4"/>
        </w:numPr>
        <w:spacing w:before="120" w:after="120" w:line="240" w:lineRule="auto"/>
        <w:ind w:left="792"/>
        <w:contextualSpacing w:val="0"/>
      </w:pPr>
      <w:r w:rsidRPr="004F0398">
        <w:t>where that party is the notifier, move to the ‘</w:t>
      </w:r>
      <w:hyperlink w:anchor="final" w:history="1">
        <w:r w:rsidRPr="00070D60">
          <w:rPr>
            <w:rStyle w:val="Hyperlink"/>
          </w:rPr>
          <w:t>final statement</w:t>
        </w:r>
      </w:hyperlink>
      <w:r w:rsidRPr="004F0398">
        <w:t>’ stage</w:t>
      </w:r>
      <w:r w:rsidR="00C97B33">
        <w:t>,</w:t>
      </w:r>
      <w:r w:rsidR="00E94D15">
        <w:t xml:space="preserve"> or</w:t>
      </w:r>
    </w:p>
    <w:p w14:paraId="7197C01C" w14:textId="3581650C" w:rsidR="00CA00A9" w:rsidRPr="004F0398" w:rsidRDefault="00CA00A9" w:rsidP="002061D1">
      <w:pPr>
        <w:pStyle w:val="ListParagraph"/>
        <w:numPr>
          <w:ilvl w:val="1"/>
          <w:numId w:val="4"/>
        </w:numPr>
        <w:spacing w:before="120" w:after="120" w:line="240" w:lineRule="auto"/>
        <w:ind w:left="792"/>
        <w:contextualSpacing w:val="0"/>
      </w:pPr>
      <w:r w:rsidRPr="004F0398">
        <w:t>where that party is the enterprise, move to the ‘</w:t>
      </w:r>
      <w:hyperlink w:anchor="examination" w:history="1">
        <w:r w:rsidRPr="00C15079">
          <w:rPr>
            <w:rStyle w:val="Hyperlink"/>
          </w:rPr>
          <w:t>examination</w:t>
        </w:r>
      </w:hyperlink>
      <w:r w:rsidRPr="00C15079">
        <w:t>’</w:t>
      </w:r>
      <w:r w:rsidRPr="004F0398">
        <w:t xml:space="preserve"> stage</w:t>
      </w:r>
      <w:r w:rsidRPr="004F0398" w:rsidDel="00B854EE">
        <w:t>.</w:t>
      </w:r>
    </w:p>
    <w:p w14:paraId="65B1F6F1" w14:textId="77777777" w:rsidR="00CA00A9" w:rsidRPr="004F0398" w:rsidRDefault="00CA00A9" w:rsidP="002061D1">
      <w:pPr>
        <w:pStyle w:val="Heading1"/>
      </w:pPr>
      <w:bookmarkStart w:id="18" w:name="_Toc163213134"/>
      <w:r w:rsidRPr="004F0398">
        <w:t>Independent examiners</w:t>
      </w:r>
      <w:bookmarkEnd w:id="18"/>
      <w:r w:rsidRPr="004F0398">
        <w:t xml:space="preserve"> </w:t>
      </w:r>
    </w:p>
    <w:p w14:paraId="775B76A8" w14:textId="1C221D48" w:rsidR="00CA00A9" w:rsidRPr="004F0398" w:rsidRDefault="00CA00A9" w:rsidP="002061D1">
      <w:pPr>
        <w:pStyle w:val="ListParagraph"/>
        <w:numPr>
          <w:ilvl w:val="0"/>
          <w:numId w:val="4"/>
        </w:numPr>
        <w:spacing w:before="120" w:after="120" w:line="240" w:lineRule="auto"/>
        <w:contextualSpacing w:val="0"/>
      </w:pPr>
      <w:bookmarkStart w:id="19" w:name="_Ref146104733"/>
      <w:r w:rsidRPr="004F0398">
        <w:t>Examiners</w:t>
      </w:r>
      <w:r w:rsidR="00396C5E">
        <w:t xml:space="preserve"> </w:t>
      </w:r>
      <w:r w:rsidRPr="004F0398">
        <w:t>are appointed by the secretariat to assess the substance and validity of</w:t>
      </w:r>
      <w:r w:rsidR="005F715F" w:rsidRPr="00D75956">
        <w:t xml:space="preserve"> </w:t>
      </w:r>
      <w:r w:rsidRPr="004F0398">
        <w:t>complaint</w:t>
      </w:r>
      <w:r w:rsidRPr="00D75956">
        <w:t>s</w:t>
      </w:r>
      <w:r w:rsidRPr="004F0398">
        <w:t xml:space="preserve">, offer and </w:t>
      </w:r>
      <w:r w:rsidRPr="001319C3">
        <w:t xml:space="preserve">provide </w:t>
      </w:r>
      <w:hyperlink w:anchor="dispute" w:history="1">
        <w:r w:rsidR="00BF0448" w:rsidRPr="00A705D8">
          <w:rPr>
            <w:rStyle w:val="Hyperlink"/>
          </w:rPr>
          <w:t>dispute resolution</w:t>
        </w:r>
      </w:hyperlink>
      <w:r w:rsidRPr="001319C3">
        <w:t xml:space="preserve"> </w:t>
      </w:r>
      <w:r w:rsidRPr="001319C3">
        <w:rPr>
          <w:color w:val="000000" w:themeColor="text1"/>
        </w:rPr>
        <w:t>referred to</w:t>
      </w:r>
      <w:r w:rsidR="000A5CCE" w:rsidRPr="001319C3">
        <w:rPr>
          <w:color w:val="000000" w:themeColor="text1"/>
        </w:rPr>
        <w:t xml:space="preserve"> </w:t>
      </w:r>
      <w:r w:rsidRPr="001319C3">
        <w:rPr>
          <w:color w:val="000000" w:themeColor="text1"/>
        </w:rPr>
        <w:t>as</w:t>
      </w:r>
      <w:r w:rsidR="00FF248E" w:rsidRPr="001319C3">
        <w:rPr>
          <w:color w:val="000000" w:themeColor="text1"/>
        </w:rPr>
        <w:t xml:space="preserve"> </w:t>
      </w:r>
      <w:hyperlink w:anchor="goodo" w:history="1">
        <w:r w:rsidR="00FF248E" w:rsidRPr="00E1639E">
          <w:rPr>
            <w:rStyle w:val="Hyperlink"/>
          </w:rPr>
          <w:t>good offices</w:t>
        </w:r>
      </w:hyperlink>
      <w:r w:rsidR="00FF248E" w:rsidRPr="0046317E">
        <w:t xml:space="preserve"> in the OECD Guidelines</w:t>
      </w:r>
      <w:r w:rsidR="006145C7">
        <w:t>.</w:t>
      </w:r>
      <w:r w:rsidR="00FF248E">
        <w:t xml:space="preserve"> </w:t>
      </w:r>
      <w:r w:rsidR="006145C7">
        <w:t>I</w:t>
      </w:r>
      <w:r w:rsidRPr="004F0398">
        <w:t>n appropriate cases,</w:t>
      </w:r>
      <w:r w:rsidR="006145C7">
        <w:t xml:space="preserve"> examiners</w:t>
      </w:r>
      <w:r w:rsidRPr="004F0398">
        <w:t xml:space="preserve"> conduct examinations, and write statements about the complaint for AusNCP in</w:t>
      </w:r>
      <w:r w:rsidR="0064374F">
        <w:t xml:space="preserve"> </w:t>
      </w:r>
      <w:r w:rsidRPr="004F0398">
        <w:t>line with these procedures.</w:t>
      </w:r>
      <w:bookmarkEnd w:id="19"/>
    </w:p>
    <w:p w14:paraId="0AE3F595" w14:textId="77777777" w:rsidR="00CA00A9" w:rsidRPr="004F0398" w:rsidRDefault="00CA00A9" w:rsidP="002061D1">
      <w:pPr>
        <w:pStyle w:val="ListParagraph"/>
        <w:numPr>
          <w:ilvl w:val="0"/>
          <w:numId w:val="4"/>
        </w:numPr>
        <w:spacing w:before="120" w:after="120" w:line="240" w:lineRule="auto"/>
        <w:contextualSpacing w:val="0"/>
      </w:pPr>
      <w:r w:rsidRPr="004F0398">
        <w:t>Examiners have the authority to publicly share their views through AusNCP statements, including as to whether an enterprise’s actions were consistent with the OECD Guidelines and, where appropriate, to make recommendations to improve observance of the OECD Guidelines.</w:t>
      </w:r>
    </w:p>
    <w:p w14:paraId="665113FE" w14:textId="70840783" w:rsidR="00CA00A9" w:rsidRPr="004F0398" w:rsidRDefault="00CA00A9" w:rsidP="002061D1">
      <w:pPr>
        <w:pStyle w:val="ListParagraph"/>
        <w:numPr>
          <w:ilvl w:val="0"/>
          <w:numId w:val="4"/>
        </w:numPr>
        <w:spacing w:before="120" w:after="120" w:line="240" w:lineRule="auto"/>
        <w:contextualSpacing w:val="0"/>
      </w:pPr>
      <w:r w:rsidRPr="004F0398">
        <w:t>Examiners may choose to consult one another regarding a complaint, subject to appropriate conflict</w:t>
      </w:r>
      <w:r w:rsidR="00CA1843">
        <w:t>-</w:t>
      </w:r>
      <w:r w:rsidRPr="004F0398">
        <w:t>of</w:t>
      </w:r>
      <w:r w:rsidR="00CA1843">
        <w:t>-</w:t>
      </w:r>
      <w:r w:rsidRPr="004F0398">
        <w:t>interest checks.</w:t>
      </w:r>
    </w:p>
    <w:p w14:paraId="4F78E053" w14:textId="77777777" w:rsidR="00CA00A9" w:rsidRPr="004F0398" w:rsidRDefault="00CA00A9" w:rsidP="002061D1">
      <w:pPr>
        <w:pStyle w:val="Heading1"/>
      </w:pPr>
      <w:bookmarkStart w:id="20" w:name="_Toc163213135"/>
      <w:r w:rsidRPr="004F0398">
        <w:t>Initial assessment</w:t>
      </w:r>
      <w:bookmarkEnd w:id="20"/>
      <w:r w:rsidRPr="004F0398">
        <w:t xml:space="preserve"> </w:t>
      </w:r>
    </w:p>
    <w:p w14:paraId="6B429CF4" w14:textId="6372D6DF" w:rsidR="00CA00A9" w:rsidRPr="004F0398" w:rsidRDefault="00CA00A9" w:rsidP="002061D1">
      <w:pPr>
        <w:pStyle w:val="ListParagraph"/>
        <w:numPr>
          <w:ilvl w:val="0"/>
          <w:numId w:val="4"/>
        </w:numPr>
        <w:spacing w:before="120" w:after="120" w:line="240" w:lineRule="auto"/>
        <w:contextualSpacing w:val="0"/>
      </w:pPr>
      <w:r w:rsidRPr="004F0398">
        <w:t xml:space="preserve">The objective of the </w:t>
      </w:r>
      <w:hyperlink w:anchor="initial" w:history="1">
        <w:r w:rsidRPr="00223E40">
          <w:rPr>
            <w:rStyle w:val="Hyperlink"/>
          </w:rPr>
          <w:t>initial assessment</w:t>
        </w:r>
      </w:hyperlink>
      <w:r w:rsidRPr="004F0398">
        <w:t xml:space="preserve"> stage is to determine whether a complaint should be accepted</w:t>
      </w:r>
      <w:r w:rsidR="00C4206D">
        <w:t xml:space="preserve"> </w:t>
      </w:r>
      <w:r w:rsidR="00C4206D" w:rsidRPr="00396C5E">
        <w:t>for dispute resolution</w:t>
      </w:r>
      <w:r w:rsidRPr="004F0398">
        <w:t>, transferred to another NCP, or rejected.</w:t>
      </w:r>
    </w:p>
    <w:p w14:paraId="71A750DC" w14:textId="77777777" w:rsidR="00A370C0" w:rsidRDefault="00CA00A9" w:rsidP="00A370C0">
      <w:pPr>
        <w:pStyle w:val="ListParagraph"/>
        <w:numPr>
          <w:ilvl w:val="0"/>
          <w:numId w:val="4"/>
        </w:numPr>
        <w:spacing w:before="120" w:after="120" w:line="240" w:lineRule="auto"/>
        <w:contextualSpacing w:val="0"/>
      </w:pPr>
      <w:r w:rsidRPr="00396C5E">
        <w:t>The</w:t>
      </w:r>
      <w:r w:rsidRPr="004F0398">
        <w:t xml:space="preserve"> secretariat will </w:t>
      </w:r>
      <w:r w:rsidRPr="00C2640E">
        <w:t>allocate a complaint to an examiner for</w:t>
      </w:r>
      <w:r w:rsidRPr="004F0398">
        <w:t xml:space="preserve"> the initial assessment</w:t>
      </w:r>
      <w:r w:rsidR="00C2640E">
        <w:t>.</w:t>
      </w:r>
      <w:r w:rsidRPr="004F0398">
        <w:t xml:space="preserve"> This decision will be made as soon as practicable after receipt of the complaint. In making this decision, the secretariat will consider each examiner’s</w:t>
      </w:r>
      <w:r w:rsidR="00171DE2">
        <w:t xml:space="preserve">: </w:t>
      </w:r>
    </w:p>
    <w:p w14:paraId="6806CDB1" w14:textId="6D5BE8F5" w:rsidR="00251910" w:rsidRPr="00F632CC" w:rsidRDefault="00251910" w:rsidP="006932DA">
      <w:pPr>
        <w:pStyle w:val="ListParagraph"/>
        <w:numPr>
          <w:ilvl w:val="1"/>
          <w:numId w:val="4"/>
        </w:numPr>
        <w:spacing w:before="120" w:after="120" w:line="240" w:lineRule="auto"/>
        <w:contextualSpacing w:val="0"/>
      </w:pPr>
      <w:r w:rsidRPr="00F632CC">
        <w:lastRenderedPageBreak/>
        <w:t xml:space="preserve">availability </w:t>
      </w:r>
    </w:p>
    <w:p w14:paraId="2CDC24B5" w14:textId="3E8EAD7A" w:rsidR="00251910" w:rsidRPr="00F632CC" w:rsidRDefault="00251910" w:rsidP="006932DA">
      <w:pPr>
        <w:pStyle w:val="ListParagraph"/>
        <w:numPr>
          <w:ilvl w:val="1"/>
          <w:numId w:val="4"/>
        </w:numPr>
        <w:spacing w:before="120" w:after="120" w:line="240" w:lineRule="auto"/>
        <w:contextualSpacing w:val="0"/>
      </w:pPr>
      <w:r w:rsidRPr="00F632CC">
        <w:t xml:space="preserve">expertise </w:t>
      </w:r>
    </w:p>
    <w:p w14:paraId="6E728EF0" w14:textId="70578143" w:rsidR="006932DA" w:rsidRPr="00F632CC" w:rsidRDefault="00CA00A9" w:rsidP="006932DA">
      <w:pPr>
        <w:pStyle w:val="ListParagraph"/>
        <w:numPr>
          <w:ilvl w:val="1"/>
          <w:numId w:val="4"/>
        </w:numPr>
        <w:spacing w:before="120" w:after="120" w:line="240" w:lineRule="auto"/>
        <w:contextualSpacing w:val="0"/>
      </w:pPr>
      <w:r w:rsidRPr="00F632CC">
        <w:t>any actual, perceived or potential conflicts of interest</w:t>
      </w:r>
      <w:r w:rsidR="00171DE2" w:rsidRPr="00F632CC">
        <w:t>,</w:t>
      </w:r>
      <w:r w:rsidRPr="00F632CC">
        <w:t xml:space="preserve"> and </w:t>
      </w:r>
    </w:p>
    <w:p w14:paraId="12B6EF4F" w14:textId="77777777" w:rsidR="00F632CC" w:rsidRDefault="00CA00A9" w:rsidP="00F632CC">
      <w:pPr>
        <w:pStyle w:val="ListParagraph"/>
        <w:numPr>
          <w:ilvl w:val="1"/>
          <w:numId w:val="4"/>
        </w:numPr>
        <w:spacing w:before="120" w:after="120" w:line="240" w:lineRule="auto"/>
        <w:contextualSpacing w:val="0"/>
      </w:pPr>
      <w:r w:rsidRPr="00F632CC">
        <w:t xml:space="preserve">any other relevant factors. </w:t>
      </w:r>
    </w:p>
    <w:p w14:paraId="758C1D72" w14:textId="4B72EB3A" w:rsidR="00CA00A9" w:rsidRPr="004F0398" w:rsidRDefault="00CA00A9" w:rsidP="00F632CC">
      <w:pPr>
        <w:pStyle w:val="ListParagraph"/>
        <w:numPr>
          <w:ilvl w:val="0"/>
          <w:numId w:val="4"/>
        </w:numPr>
        <w:spacing w:before="120" w:after="120" w:line="240" w:lineRule="auto"/>
        <w:contextualSpacing w:val="0"/>
      </w:pPr>
      <w:r w:rsidRPr="004F0398">
        <w:t>The notifier and the enterprise will be informed of the identity of the allocated examiner as soon as practicable.</w:t>
      </w:r>
    </w:p>
    <w:p w14:paraId="1B529255" w14:textId="77777777" w:rsidR="00CA00A9" w:rsidRPr="004F0398" w:rsidRDefault="00CA00A9" w:rsidP="002061D1">
      <w:pPr>
        <w:pStyle w:val="ListParagraph"/>
        <w:numPr>
          <w:ilvl w:val="0"/>
          <w:numId w:val="4"/>
        </w:numPr>
        <w:spacing w:before="120" w:after="120" w:line="240" w:lineRule="auto"/>
        <w:contextualSpacing w:val="0"/>
      </w:pPr>
      <w:r w:rsidRPr="004F0398">
        <w:t>Receipt of a complaint will be acknowledged to the notifier within 5 working days.</w:t>
      </w:r>
    </w:p>
    <w:p w14:paraId="49C47A5B" w14:textId="3CD15BCE" w:rsidR="00CA00A9" w:rsidRPr="001237F9" w:rsidRDefault="00CA00A9" w:rsidP="002061D1">
      <w:pPr>
        <w:pStyle w:val="ListParagraph"/>
        <w:numPr>
          <w:ilvl w:val="0"/>
          <w:numId w:val="4"/>
        </w:numPr>
        <w:spacing w:before="120" w:after="120" w:line="240" w:lineRule="auto"/>
        <w:contextualSpacing w:val="0"/>
      </w:pPr>
      <w:r w:rsidRPr="001237F9">
        <w:t xml:space="preserve">The existence of a complaint will be published </w:t>
      </w:r>
      <w:r w:rsidRPr="00C2640E">
        <w:t>on th</w:t>
      </w:r>
      <w:r w:rsidR="00C2640E">
        <w:t>e</w:t>
      </w:r>
      <w:r w:rsidRPr="00C2640E">
        <w:t xml:space="preserve"> </w:t>
      </w:r>
      <w:r w:rsidRPr="001237F9">
        <w:t xml:space="preserve">AusNCP website within 10 working days of receipt. The </w:t>
      </w:r>
      <w:r w:rsidR="00C4206D" w:rsidRPr="00C2640E">
        <w:t>entry on the AusNCP website</w:t>
      </w:r>
      <w:r w:rsidRPr="001237F9">
        <w:t xml:space="preserve"> will at least identify the country or countries and the sector to which the complaint relates and will be updated consistent with </w:t>
      </w:r>
      <w:r w:rsidRPr="00EF3180">
        <w:t>paragraph</w:t>
      </w:r>
      <w:r w:rsidR="009029E4">
        <w:t xml:space="preserve"> </w:t>
      </w:r>
      <w:r w:rsidR="001677C5">
        <w:t>29</w:t>
      </w:r>
      <w:r w:rsidRPr="00EF3180">
        <w:t>.</w:t>
      </w:r>
    </w:p>
    <w:p w14:paraId="1196C6BC" w14:textId="77777777" w:rsidR="00CA00A9" w:rsidRPr="00A46FA6" w:rsidRDefault="00CA00A9" w:rsidP="002B6264">
      <w:pPr>
        <w:pStyle w:val="ListParagraph"/>
        <w:numPr>
          <w:ilvl w:val="1"/>
          <w:numId w:val="4"/>
        </w:numPr>
        <w:spacing w:before="120" w:after="120" w:line="240" w:lineRule="auto"/>
        <w:ind w:left="792"/>
        <w:contextualSpacing w:val="0"/>
      </w:pPr>
      <w:r w:rsidRPr="00A46FA6">
        <w:t xml:space="preserve">The examiner has discretion to identify the country only, where they consider that disclosure of the sector would have the effect of identifying the enterprise. </w:t>
      </w:r>
    </w:p>
    <w:p w14:paraId="6052CD52" w14:textId="77777777" w:rsidR="00CA00A9" w:rsidRPr="004F0398" w:rsidRDefault="00CA00A9" w:rsidP="002B6264">
      <w:pPr>
        <w:pStyle w:val="ListParagraph"/>
        <w:numPr>
          <w:ilvl w:val="0"/>
          <w:numId w:val="4"/>
        </w:numPr>
        <w:spacing w:before="120" w:after="120" w:line="240" w:lineRule="auto"/>
        <w:contextualSpacing w:val="0"/>
      </w:pPr>
      <w:r w:rsidRPr="004F0398">
        <w:t>The secretariat and examiner will seek to obtain the information necessary for the examiner to conduct an initial assessment.</w:t>
      </w:r>
    </w:p>
    <w:p w14:paraId="639BB760" w14:textId="15A8F7D7" w:rsidR="00CA00A9" w:rsidRPr="00326FAC" w:rsidRDefault="00CA00A9" w:rsidP="002B6264">
      <w:pPr>
        <w:pStyle w:val="ListParagraph"/>
        <w:numPr>
          <w:ilvl w:val="1"/>
          <w:numId w:val="4"/>
        </w:numPr>
        <w:spacing w:before="120" w:after="120" w:line="240" w:lineRule="auto"/>
        <w:ind w:left="792"/>
        <w:contextualSpacing w:val="0"/>
        <w:rPr>
          <w:b/>
          <w:bCs/>
          <w:i/>
          <w:iCs/>
          <w:u w:val="single"/>
        </w:rPr>
      </w:pPr>
      <w:r w:rsidRPr="00A46FA6">
        <w:t>Where a complaint does not contain the information necessary to conduct an initial assessment, the secretariat will work with the notifier to explain what additional material would be required for the initial assessment to proceed. Incomplete complaints will be considered invalid if notifiers are unable to provide required informati</w:t>
      </w:r>
      <w:r w:rsidRPr="004F0398">
        <w:t>on.</w:t>
      </w:r>
      <w:r w:rsidR="006D32CF">
        <w:t xml:space="preserve"> </w:t>
      </w:r>
      <w:r w:rsidR="006D32CF" w:rsidRPr="0046317E">
        <w:t>For more information about</w:t>
      </w:r>
      <w:r w:rsidR="00240791" w:rsidRPr="0046317E">
        <w:t xml:space="preserve"> the AusNCP’s ability to facilitate equitable access </w:t>
      </w:r>
      <w:r w:rsidR="004265FB" w:rsidRPr="0046317E">
        <w:t xml:space="preserve">and participation in the complaints process, see the concepts and principles section. </w:t>
      </w:r>
      <w:r w:rsidR="002677A0" w:rsidRPr="0046317E">
        <w:t xml:space="preserve"> </w:t>
      </w:r>
    </w:p>
    <w:p w14:paraId="67D6CFFD" w14:textId="05B18250" w:rsidR="00CA00A9" w:rsidRPr="004F0398" w:rsidRDefault="00CA00A9" w:rsidP="002B6264">
      <w:pPr>
        <w:pStyle w:val="ListParagraph"/>
        <w:numPr>
          <w:ilvl w:val="1"/>
          <w:numId w:val="4"/>
        </w:numPr>
        <w:spacing w:before="120" w:after="120" w:line="240" w:lineRule="auto"/>
        <w:ind w:left="792"/>
        <w:contextualSpacing w:val="0"/>
      </w:pPr>
      <w:r w:rsidRPr="004F0398">
        <w:t xml:space="preserve">The secretariat will notify the enterprise about the complaint as per </w:t>
      </w:r>
      <w:r w:rsidRPr="00EF3180">
        <w:t>paragraph</w:t>
      </w:r>
      <w:r w:rsidR="00E67AB1">
        <w:t xml:space="preserve"> </w:t>
      </w:r>
      <w:r w:rsidR="001677C5">
        <w:t>28</w:t>
      </w:r>
      <w:r w:rsidRPr="00EF3180">
        <w:t>.</w:t>
      </w:r>
    </w:p>
    <w:p w14:paraId="36F60F40" w14:textId="77777777" w:rsidR="00CA00A9" w:rsidRPr="004F0398" w:rsidRDefault="00CA00A9" w:rsidP="00D42FA6">
      <w:pPr>
        <w:pStyle w:val="ListParagraph"/>
        <w:numPr>
          <w:ilvl w:val="0"/>
          <w:numId w:val="4"/>
        </w:numPr>
        <w:spacing w:before="120" w:after="120" w:line="240" w:lineRule="auto"/>
        <w:contextualSpacing w:val="0"/>
      </w:pPr>
      <w:r w:rsidRPr="004F0398">
        <w:t>The examiner may seek additional information from both parties at this stage. The examiner will facilitate the exchange of this information between the parties.</w:t>
      </w:r>
    </w:p>
    <w:p w14:paraId="18B3EB23" w14:textId="3E59D788" w:rsidR="00CA00A9" w:rsidRPr="007C03AD" w:rsidRDefault="00CA00A9" w:rsidP="00D42FA6">
      <w:pPr>
        <w:pStyle w:val="ListParagraph"/>
        <w:numPr>
          <w:ilvl w:val="0"/>
          <w:numId w:val="4"/>
        </w:numPr>
        <w:spacing w:before="120" w:after="120" w:line="240" w:lineRule="auto"/>
        <w:contextualSpacing w:val="0"/>
      </w:pPr>
      <w:r w:rsidRPr="007C03AD">
        <w:t>AusNCP can consider complaints even if the same complaint is being considered in other proceedings. This includes judicial or non-judicial proceedings.</w:t>
      </w:r>
      <w:r w:rsidRPr="007C03AD">
        <w:rPr>
          <w:rStyle w:val="EndnoteReference"/>
        </w:rPr>
        <w:endnoteReference w:id="7"/>
      </w:r>
    </w:p>
    <w:p w14:paraId="49504BDF" w14:textId="77777777" w:rsidR="00CA00A9" w:rsidRPr="004F0398" w:rsidRDefault="00CA00A9" w:rsidP="00D42FA6">
      <w:pPr>
        <w:pStyle w:val="ListParagraph"/>
        <w:numPr>
          <w:ilvl w:val="0"/>
          <w:numId w:val="4"/>
        </w:numPr>
        <w:spacing w:before="120" w:after="120" w:line="240" w:lineRule="auto"/>
        <w:contextualSpacing w:val="0"/>
      </w:pPr>
      <w:r w:rsidRPr="004F0398">
        <w:t>Complaints</w:t>
      </w:r>
      <w:r w:rsidRPr="004F0398" w:rsidDel="00582885">
        <w:t xml:space="preserve"> </w:t>
      </w:r>
      <w:r w:rsidRPr="004F0398">
        <w:t>that concern a matter that AusNCP or another NCP is currently handling, or has already handled to completion, will undergo a process of evaluation in the initial assessment stage, including consultation and coordination with other NCPs if appropriate.</w:t>
      </w:r>
    </w:p>
    <w:p w14:paraId="24DD1B1D" w14:textId="11E0B2F7" w:rsidR="00CA00A9" w:rsidRPr="004F0398" w:rsidRDefault="00CA00A9" w:rsidP="00D42FA6">
      <w:pPr>
        <w:pStyle w:val="ListParagraph"/>
        <w:numPr>
          <w:ilvl w:val="1"/>
          <w:numId w:val="4"/>
        </w:numPr>
        <w:spacing w:before="120" w:after="120" w:line="240" w:lineRule="auto"/>
        <w:ind w:left="792"/>
        <w:contextualSpacing w:val="0"/>
      </w:pPr>
      <w:r w:rsidRPr="004F0398">
        <w:t xml:space="preserve">This process will determine whether an offer of </w:t>
      </w:r>
      <w:r w:rsidRPr="007C03AD">
        <w:t>dispute resolution</w:t>
      </w:r>
      <w:r w:rsidRPr="004F0398">
        <w:t xml:space="preserve"> by AusNCP is likely to contribute positively to resolving the issues raised. Such complaints may not be considered valid if the substance of the complaint is not markedly different from complaints that have been or are being handled by AusNCP or another NCP.</w:t>
      </w:r>
    </w:p>
    <w:p w14:paraId="5165DB29" w14:textId="1FA671A2" w:rsidR="00CA00A9" w:rsidRPr="004F0398" w:rsidRDefault="00CA00A9" w:rsidP="00D42FA6">
      <w:pPr>
        <w:pStyle w:val="ListParagraph"/>
        <w:numPr>
          <w:ilvl w:val="0"/>
          <w:numId w:val="4"/>
        </w:numPr>
        <w:spacing w:before="120" w:after="120" w:line="240" w:lineRule="auto"/>
        <w:contextualSpacing w:val="0"/>
      </w:pPr>
      <w:r w:rsidRPr="004F0398">
        <w:t xml:space="preserve">In line with the circumstances set out in the </w:t>
      </w:r>
      <w:hyperlink w:anchor="OECDi" w:history="1">
        <w:r w:rsidRPr="00DA3FF5">
          <w:rPr>
            <w:rStyle w:val="Hyperlink"/>
          </w:rPr>
          <w:t>OECD Implementation Procedures</w:t>
        </w:r>
      </w:hyperlink>
      <w:r w:rsidRPr="004F0398">
        <w:t xml:space="preserve"> (part of the OECD Guidelines), if AusNCP is not the correct NCP to handle the complaint, the examiner may seek to transfer the </w:t>
      </w:r>
      <w:r w:rsidR="00A66146">
        <w:t>complaint</w:t>
      </w:r>
      <w:r w:rsidRPr="004F0398">
        <w:t xml:space="preserve"> to another NCP during the initial assessment stage.</w:t>
      </w:r>
    </w:p>
    <w:p w14:paraId="4B959381" w14:textId="2267922C" w:rsidR="00CA00A9" w:rsidRPr="004F0398" w:rsidRDefault="00CA00A9" w:rsidP="00D42FA6">
      <w:pPr>
        <w:pStyle w:val="ListParagraph"/>
        <w:numPr>
          <w:ilvl w:val="0"/>
          <w:numId w:val="4"/>
        </w:numPr>
        <w:spacing w:before="120" w:after="120" w:line="240" w:lineRule="auto"/>
        <w:contextualSpacing w:val="0"/>
      </w:pPr>
      <w:r w:rsidRPr="004F0398">
        <w:t xml:space="preserve">Where the notifier claims exceptional reasons for AusNCP to handle a </w:t>
      </w:r>
      <w:r w:rsidR="00A66146">
        <w:t>complaint</w:t>
      </w:r>
      <w:r w:rsidRPr="004F0398">
        <w:t xml:space="preserve"> instead of another NCP, the examiner will consult the notifier and AusNCP Board in determining whether to transfer a </w:t>
      </w:r>
      <w:r w:rsidR="00A66146">
        <w:t>complaint</w:t>
      </w:r>
      <w:r w:rsidRPr="004F0398">
        <w:t>.</w:t>
      </w:r>
    </w:p>
    <w:p w14:paraId="44488D03" w14:textId="2F7FD2F0" w:rsidR="00CA00A9" w:rsidRPr="004F0398" w:rsidRDefault="00CA00A9" w:rsidP="00D42FA6">
      <w:pPr>
        <w:pStyle w:val="ListParagraph"/>
        <w:numPr>
          <w:ilvl w:val="0"/>
          <w:numId w:val="4"/>
        </w:numPr>
        <w:spacing w:before="120" w:after="120" w:line="240" w:lineRule="auto"/>
        <w:contextualSpacing w:val="0"/>
      </w:pPr>
      <w:r w:rsidRPr="004F0398">
        <w:t xml:space="preserve">The examiner will only transfer a </w:t>
      </w:r>
      <w:r w:rsidR="00A66146">
        <w:t>complaint</w:t>
      </w:r>
      <w:r w:rsidRPr="004F0398">
        <w:t xml:space="preserve"> after consulting the Board, the notifier and the enterprise.</w:t>
      </w:r>
    </w:p>
    <w:p w14:paraId="2E567B11" w14:textId="0A911456" w:rsidR="00CA00A9" w:rsidRPr="004F0398" w:rsidRDefault="00CA00A9" w:rsidP="00D42FA6">
      <w:pPr>
        <w:pStyle w:val="ListParagraph"/>
        <w:numPr>
          <w:ilvl w:val="0"/>
          <w:numId w:val="4"/>
        </w:numPr>
        <w:spacing w:before="120" w:after="120" w:line="240" w:lineRule="auto"/>
        <w:contextualSpacing w:val="0"/>
      </w:pPr>
      <w:r w:rsidRPr="004F0398">
        <w:lastRenderedPageBreak/>
        <w:t xml:space="preserve">In some circumstances, it may be appropriate for AusNCP to work with another NCP throughout the handling of a </w:t>
      </w:r>
      <w:r w:rsidR="00A66146">
        <w:t>complaint</w:t>
      </w:r>
      <w:r w:rsidRPr="004F0398">
        <w:t>. In such cases, the lead NCP and cooperating NCP status will be agreed between the relevant NCPs and the procedures of the lead NCP would generally apply.</w:t>
      </w:r>
      <w:r w:rsidRPr="004F0398">
        <w:rPr>
          <w:rStyle w:val="EndnoteReference"/>
        </w:rPr>
        <w:endnoteReference w:id="8"/>
      </w:r>
    </w:p>
    <w:p w14:paraId="46BBFFE3" w14:textId="77777777" w:rsidR="00CA00A9" w:rsidRPr="004F0398" w:rsidRDefault="00CA00A9" w:rsidP="00D42FA6">
      <w:pPr>
        <w:pStyle w:val="ListParagraph"/>
        <w:numPr>
          <w:ilvl w:val="0"/>
          <w:numId w:val="4"/>
        </w:numPr>
        <w:spacing w:before="120" w:after="120" w:line="240" w:lineRule="auto"/>
        <w:contextualSpacing w:val="0"/>
      </w:pPr>
      <w:bookmarkStart w:id="21" w:name="_Ref162441230"/>
      <w:r w:rsidRPr="004F0398">
        <w:t>During the initial assessment stage, the enterprise named in the complaint will be notified and provided with a copy of the complaint submission.</w:t>
      </w:r>
      <w:r w:rsidRPr="004F0398">
        <w:rPr>
          <w:rStyle w:val="EndnoteReference"/>
        </w:rPr>
        <w:endnoteReference w:id="9"/>
      </w:r>
      <w:r w:rsidRPr="004F0398">
        <w:t xml:space="preserve"> The enterprise will be given an opportunity to provide a preliminary response to the complaint prior to the publication of a statement on the outcome of the initial assessment.</w:t>
      </w:r>
      <w:bookmarkEnd w:id="21"/>
    </w:p>
    <w:p w14:paraId="35547099" w14:textId="66E0BA69" w:rsidR="00CA00A9" w:rsidRDefault="00CA00A9" w:rsidP="00D42FA6">
      <w:pPr>
        <w:pStyle w:val="ListParagraph"/>
        <w:numPr>
          <w:ilvl w:val="0"/>
          <w:numId w:val="4"/>
        </w:numPr>
        <w:spacing w:before="120" w:after="120" w:line="240" w:lineRule="auto"/>
        <w:contextualSpacing w:val="0"/>
      </w:pPr>
      <w:bookmarkStart w:id="22" w:name="_Ref146104628"/>
      <w:r w:rsidRPr="004F0398">
        <w:t xml:space="preserve">After the enterprise has been notified and provided a copy of the complaint submission, information regarding the complaint on </w:t>
      </w:r>
      <w:r w:rsidR="00111984">
        <w:t xml:space="preserve">the </w:t>
      </w:r>
      <w:r w:rsidRPr="004F0398">
        <w:t>AusNCP website will be updated to include the name of the notifier and the allocated examiner. In exceptional circumstances, such as where non</w:t>
      </w:r>
      <w:r w:rsidRPr="004F0398">
        <w:noBreakHyphen/>
        <w:t xml:space="preserve">disclosure of the notifier is important for protecting the safety of an individual, the identity of the notifier may be withheld at the discretion of the </w:t>
      </w:r>
      <w:r w:rsidR="002C2BD5">
        <w:t>e</w:t>
      </w:r>
      <w:r w:rsidR="002C2BD5" w:rsidRPr="004F0398">
        <w:t>xaminer</w:t>
      </w:r>
      <w:r w:rsidRPr="004F0398">
        <w:t>.</w:t>
      </w:r>
      <w:bookmarkEnd w:id="22"/>
    </w:p>
    <w:p w14:paraId="2AE6DE46" w14:textId="0C755C77" w:rsidR="00AD714F" w:rsidRPr="004F0398" w:rsidRDefault="004364E0" w:rsidP="00D42FA6">
      <w:pPr>
        <w:pStyle w:val="ListParagraph"/>
        <w:numPr>
          <w:ilvl w:val="1"/>
          <w:numId w:val="4"/>
        </w:numPr>
        <w:spacing w:before="120" w:after="120" w:line="240" w:lineRule="auto"/>
        <w:ind w:left="792"/>
        <w:contextualSpacing w:val="0"/>
      </w:pPr>
      <w:r w:rsidRPr="004364E0">
        <w:t>Where the details of the complaint are already in the public domain (that is, are publicly discoverable), the name of the enterprise will also be listed.</w:t>
      </w:r>
    </w:p>
    <w:p w14:paraId="03705BDA" w14:textId="5C149B6B" w:rsidR="00CA00A9" w:rsidRPr="004F0398" w:rsidRDefault="00CA00A9" w:rsidP="00D42FA6">
      <w:pPr>
        <w:pStyle w:val="ListParagraph"/>
        <w:numPr>
          <w:ilvl w:val="0"/>
          <w:numId w:val="4"/>
        </w:numPr>
        <w:spacing w:before="120" w:after="120" w:line="240" w:lineRule="auto"/>
        <w:contextualSpacing w:val="0"/>
      </w:pPr>
      <w:bookmarkStart w:id="23" w:name="_Ref146104482"/>
      <w:r w:rsidRPr="0046317E">
        <w:t>Consistent with the OECD Implementation Procedures,</w:t>
      </w:r>
      <w:r w:rsidR="005B668B" w:rsidRPr="0046317E">
        <w:t xml:space="preserve"> in deciding whether to accept a complaint</w:t>
      </w:r>
      <w:r w:rsidRPr="0046317E">
        <w:t xml:space="preserve"> the examiner will determine whether the complaint is made in good faith and is related to the implementation of the OECD Guidelines. In doing so, the examiner will make an initial assessment of whether the issue raised warrants further examination</w:t>
      </w:r>
      <w:r w:rsidRPr="004F0398">
        <w:t xml:space="preserve"> against the criteria outlined in the OECD</w:t>
      </w:r>
      <w:r w:rsidRPr="004F0398" w:rsidDel="00A65909">
        <w:t xml:space="preserve"> </w:t>
      </w:r>
      <w:r w:rsidRPr="004F0398">
        <w:t>Implementation Procedures, namely:</w:t>
      </w:r>
      <w:bookmarkEnd w:id="23"/>
      <w:r w:rsidRPr="004F0398">
        <w:t xml:space="preserve"> </w:t>
      </w:r>
    </w:p>
    <w:p w14:paraId="08806B80" w14:textId="77777777" w:rsidR="00CA00A9" w:rsidRPr="004F0398" w:rsidRDefault="00CA00A9" w:rsidP="00D42FA6">
      <w:pPr>
        <w:pStyle w:val="ListParagraph"/>
        <w:numPr>
          <w:ilvl w:val="1"/>
          <w:numId w:val="4"/>
        </w:numPr>
        <w:spacing w:before="120" w:after="120" w:line="240" w:lineRule="auto"/>
        <w:ind w:left="792"/>
        <w:contextualSpacing w:val="0"/>
      </w:pPr>
      <w:r w:rsidRPr="004F0398">
        <w:t>the identity of the party concerned and its interest in the matter</w:t>
      </w:r>
    </w:p>
    <w:p w14:paraId="41A8D4E8" w14:textId="77777777" w:rsidR="00CA00A9" w:rsidRPr="004F0398" w:rsidRDefault="00CA00A9" w:rsidP="00D42FA6">
      <w:pPr>
        <w:pStyle w:val="ListParagraph"/>
        <w:numPr>
          <w:ilvl w:val="1"/>
          <w:numId w:val="4"/>
        </w:numPr>
        <w:spacing w:before="120" w:after="120" w:line="240" w:lineRule="auto"/>
        <w:ind w:left="792"/>
        <w:contextualSpacing w:val="0"/>
      </w:pPr>
      <w:r w:rsidRPr="004F0398">
        <w:t>whether the issue is material and substantiated</w:t>
      </w:r>
    </w:p>
    <w:p w14:paraId="04FCA618" w14:textId="77777777" w:rsidR="00CA00A9" w:rsidRPr="004F0398" w:rsidRDefault="00CA00A9" w:rsidP="00D42FA6">
      <w:pPr>
        <w:pStyle w:val="ListParagraph"/>
        <w:numPr>
          <w:ilvl w:val="1"/>
          <w:numId w:val="4"/>
        </w:numPr>
        <w:spacing w:before="120" w:after="120" w:line="240" w:lineRule="auto"/>
        <w:ind w:left="792"/>
        <w:contextualSpacing w:val="0"/>
      </w:pPr>
      <w:r w:rsidRPr="004F0398">
        <w:t>whether the enterprise is covered by the OECD Guidelines</w:t>
      </w:r>
    </w:p>
    <w:p w14:paraId="6B7CAA14" w14:textId="77777777" w:rsidR="00CA00A9" w:rsidRPr="004F0398" w:rsidRDefault="00CA00A9" w:rsidP="00D42FA6">
      <w:pPr>
        <w:pStyle w:val="ListParagraph"/>
        <w:numPr>
          <w:ilvl w:val="1"/>
          <w:numId w:val="4"/>
        </w:numPr>
        <w:spacing w:before="120" w:after="120" w:line="240" w:lineRule="auto"/>
        <w:ind w:left="792"/>
        <w:contextualSpacing w:val="0"/>
      </w:pPr>
      <w:r w:rsidRPr="004F0398">
        <w:t>whether there seems to be a link between the enterprise’s activities and the issue raised in the specific instance</w:t>
      </w:r>
    </w:p>
    <w:p w14:paraId="2895A66C" w14:textId="77777777" w:rsidR="00CA00A9" w:rsidRPr="004F0398" w:rsidRDefault="00CA00A9" w:rsidP="00D42FA6">
      <w:pPr>
        <w:pStyle w:val="ListParagraph"/>
        <w:numPr>
          <w:ilvl w:val="1"/>
          <w:numId w:val="4"/>
        </w:numPr>
        <w:spacing w:before="120" w:after="120" w:line="240" w:lineRule="auto"/>
        <w:ind w:left="792"/>
        <w:contextualSpacing w:val="0"/>
      </w:pPr>
      <w:r w:rsidRPr="004F0398">
        <w:t xml:space="preserve">the extent to which applicable law and/or parallel proceedings limit the ability of AusNCP to contribute to the resolution of the issue and/or the implementation of the OECD Guidelines, </w:t>
      </w:r>
      <w:r w:rsidRPr="007C03AD">
        <w:t>and</w:t>
      </w:r>
    </w:p>
    <w:p w14:paraId="101E391B" w14:textId="77777777" w:rsidR="00CA00A9" w:rsidRPr="004F0398" w:rsidRDefault="00CA00A9" w:rsidP="00D42FA6">
      <w:pPr>
        <w:pStyle w:val="ListParagraph"/>
        <w:numPr>
          <w:ilvl w:val="1"/>
          <w:numId w:val="4"/>
        </w:numPr>
        <w:spacing w:before="120" w:after="120" w:line="240" w:lineRule="auto"/>
        <w:ind w:left="792"/>
        <w:contextualSpacing w:val="0"/>
      </w:pPr>
      <w:r w:rsidRPr="004F0398">
        <w:t xml:space="preserve">whether consideration of the issue would contribute to the purposes and effectiveness of the </w:t>
      </w:r>
      <w:r w:rsidRPr="007C03AD">
        <w:t>OECD</w:t>
      </w:r>
      <w:r w:rsidRPr="004F0398">
        <w:t xml:space="preserve"> Guidelines.</w:t>
      </w:r>
    </w:p>
    <w:p w14:paraId="7281794D" w14:textId="3AB8F053" w:rsidR="00CA00A9" w:rsidRPr="004F0398" w:rsidRDefault="00CA00A9" w:rsidP="00D42FA6">
      <w:pPr>
        <w:pStyle w:val="ListParagraph"/>
        <w:numPr>
          <w:ilvl w:val="0"/>
          <w:numId w:val="4"/>
        </w:numPr>
        <w:spacing w:before="120" w:after="120" w:line="240" w:lineRule="auto"/>
        <w:contextualSpacing w:val="0"/>
      </w:pPr>
      <w:r w:rsidRPr="004F0398">
        <w:t xml:space="preserve">To promote accessibility, the </w:t>
      </w:r>
      <w:r w:rsidR="002C2BD5">
        <w:t>e</w:t>
      </w:r>
      <w:r w:rsidR="002C2BD5" w:rsidRPr="004F0398">
        <w:t xml:space="preserve">xaminer </w:t>
      </w:r>
      <w:r w:rsidRPr="004F0398">
        <w:t>will interpret ‘</w:t>
      </w:r>
      <w:hyperlink w:anchor="material" w:history="1">
        <w:r w:rsidRPr="00C47D2A">
          <w:rPr>
            <w:rStyle w:val="Hyperlink"/>
          </w:rPr>
          <w:t>material and substantiated</w:t>
        </w:r>
      </w:hyperlink>
      <w:r w:rsidRPr="004F0398">
        <w:t>’ to mean that the issues are plausible and related to the application of the OECD Guidelines, and that there is a plausible link between the</w:t>
      </w:r>
      <w:r w:rsidR="007C03AD">
        <w:t xml:space="preserve"> </w:t>
      </w:r>
      <w:r w:rsidR="009C022A">
        <w:t xml:space="preserve">enterprise </w:t>
      </w:r>
      <w:r w:rsidRPr="004F0398">
        <w:t>and the issues raised.</w:t>
      </w:r>
    </w:p>
    <w:p w14:paraId="6C177D86" w14:textId="7014569B" w:rsidR="00CA00A9" w:rsidRPr="004F0398" w:rsidRDefault="00CA00A9" w:rsidP="00D42FA6">
      <w:pPr>
        <w:pStyle w:val="ListParagraph"/>
        <w:numPr>
          <w:ilvl w:val="0"/>
          <w:numId w:val="4"/>
        </w:numPr>
        <w:spacing w:before="120" w:after="120" w:line="240" w:lineRule="auto"/>
        <w:contextualSpacing w:val="0"/>
      </w:pPr>
      <w:r w:rsidRPr="004F0398">
        <w:t xml:space="preserve">The examiner will draft a statement with the </w:t>
      </w:r>
      <w:r w:rsidRPr="007C03AD">
        <w:t>proposed</w:t>
      </w:r>
      <w:r w:rsidRPr="004F0398">
        <w:t xml:space="preserve"> outcome of the initial assessment to accept, reject or transfer the complaint. The</w:t>
      </w:r>
      <w:r w:rsidRPr="004F0398" w:rsidDel="00743E98">
        <w:t xml:space="preserve"> </w:t>
      </w:r>
      <w:r w:rsidRPr="004F0398">
        <w:t>statement will be an initial assessment</w:t>
      </w:r>
      <w:r w:rsidR="00D44F41">
        <w:t xml:space="preserve"> statement</w:t>
      </w:r>
      <w:r w:rsidRPr="004F0398">
        <w:t xml:space="preserve"> if the complaint has been accepted, a final statement if the complaint has been rejected, or a transfer statement if the complaint is to be transferred to another NCP.</w:t>
      </w:r>
    </w:p>
    <w:p w14:paraId="5C3775F0" w14:textId="77777777" w:rsidR="00CA00A9" w:rsidRPr="004F0398" w:rsidRDefault="00CA00A9" w:rsidP="00D42FA6">
      <w:pPr>
        <w:pStyle w:val="ListParagraph"/>
        <w:numPr>
          <w:ilvl w:val="1"/>
          <w:numId w:val="4"/>
        </w:numPr>
        <w:spacing w:before="120" w:after="120" w:line="240" w:lineRule="auto"/>
        <w:ind w:left="792"/>
        <w:contextualSpacing w:val="0"/>
      </w:pPr>
      <w:r w:rsidRPr="004F0398">
        <w:t>The draft statement will be provided to the Board for review and advice. The examiner is not required to make changes in response to the views of the Board but may do so at their discretion.</w:t>
      </w:r>
    </w:p>
    <w:p w14:paraId="56B4668E" w14:textId="77777777" w:rsidR="00CA00A9" w:rsidRPr="004F0398" w:rsidRDefault="00CA00A9" w:rsidP="00D42FA6">
      <w:pPr>
        <w:pStyle w:val="ListParagraph"/>
        <w:numPr>
          <w:ilvl w:val="1"/>
          <w:numId w:val="4"/>
        </w:numPr>
        <w:spacing w:before="120" w:after="120" w:line="240" w:lineRule="auto"/>
        <w:ind w:left="792"/>
        <w:contextualSpacing w:val="0"/>
      </w:pPr>
      <w:r w:rsidRPr="004F0398">
        <w:t xml:space="preserve">After considering the views of the Board, the examiner will provide a copy of the draft statement with the outcome of the initial assessment to the notifier and the enterprise for their comment. The examiner is not required to make changes in response to the comments of the notifier or the enterprise, but may do so at their discretion.  </w:t>
      </w:r>
    </w:p>
    <w:p w14:paraId="61CF44C7" w14:textId="77777777" w:rsidR="00CA00A9" w:rsidRPr="002C2E03" w:rsidRDefault="00CA00A9" w:rsidP="00D42FA6">
      <w:pPr>
        <w:pStyle w:val="ListParagraph"/>
        <w:numPr>
          <w:ilvl w:val="0"/>
          <w:numId w:val="4"/>
        </w:numPr>
        <w:spacing w:before="120" w:after="120" w:line="240" w:lineRule="auto"/>
        <w:contextualSpacing w:val="0"/>
      </w:pPr>
      <w:r w:rsidRPr="002C2E03">
        <w:t xml:space="preserve">If a complaint is accepted: </w:t>
      </w:r>
    </w:p>
    <w:p w14:paraId="678E7569" w14:textId="77777777" w:rsidR="00CA00A9" w:rsidRPr="002C2E03" w:rsidRDefault="00CA00A9" w:rsidP="00D42FA6">
      <w:pPr>
        <w:pStyle w:val="ListParagraph"/>
        <w:numPr>
          <w:ilvl w:val="1"/>
          <w:numId w:val="4"/>
        </w:numPr>
        <w:spacing w:before="120" w:after="120" w:line="240" w:lineRule="auto"/>
        <w:ind w:left="792"/>
        <w:contextualSpacing w:val="0"/>
      </w:pPr>
      <w:r w:rsidRPr="002C2E03">
        <w:lastRenderedPageBreak/>
        <w:t xml:space="preserve">An initial assessment statement will be published on the AusNCP website.  </w:t>
      </w:r>
    </w:p>
    <w:p w14:paraId="5F3B254B" w14:textId="6C6EFEB3" w:rsidR="00CA00A9" w:rsidRPr="002C2E03" w:rsidRDefault="00CA00A9" w:rsidP="00D42FA6">
      <w:pPr>
        <w:pStyle w:val="ListParagraph"/>
        <w:numPr>
          <w:ilvl w:val="1"/>
          <w:numId w:val="4"/>
        </w:numPr>
        <w:spacing w:before="120" w:after="120" w:line="240" w:lineRule="auto"/>
        <w:ind w:left="792"/>
        <w:contextualSpacing w:val="0"/>
      </w:pPr>
      <w:r w:rsidRPr="002C2E03">
        <w:t>The identity of the enterprise against which the complaint has been made will be published in the initial assessment statement and on the AusNCP website, if not already done so.</w:t>
      </w:r>
      <w:r w:rsidR="00075EAE" w:rsidRPr="002C2E03">
        <w:t xml:space="preserve"> </w:t>
      </w:r>
      <w:r w:rsidRPr="00B76AFA">
        <w:t>In exceptional circumstances, such as</w:t>
      </w:r>
      <w:r w:rsidR="009C138B" w:rsidRPr="00B76AFA">
        <w:t xml:space="preserve"> </w:t>
      </w:r>
      <w:r w:rsidRPr="00B76AFA">
        <w:t>where non-disclosure of the enterprise is important for protecting the safety of an individual</w:t>
      </w:r>
      <w:r w:rsidR="00CB7499">
        <w:t>,</w:t>
      </w:r>
      <w:r w:rsidR="0046317E" w:rsidRPr="0046317E">
        <w:t xml:space="preserve"> </w:t>
      </w:r>
      <w:r w:rsidRPr="002C2E03">
        <w:t>the identity of the enterprise may be withheld at the discretion of the examiner.</w:t>
      </w:r>
    </w:p>
    <w:p w14:paraId="7B129A84" w14:textId="4AB561FB" w:rsidR="00CA00A9" w:rsidRPr="00B76AFA" w:rsidRDefault="009C138B" w:rsidP="00D42FA6">
      <w:pPr>
        <w:pStyle w:val="ListParagraph"/>
        <w:numPr>
          <w:ilvl w:val="1"/>
          <w:numId w:val="4"/>
        </w:numPr>
        <w:shd w:val="clear" w:color="auto" w:fill="FFFFFF" w:themeFill="background1"/>
        <w:spacing w:before="120" w:after="120" w:line="240" w:lineRule="auto"/>
        <w:ind w:left="792"/>
        <w:contextualSpacing w:val="0"/>
      </w:pPr>
      <w:r w:rsidRPr="0046317E">
        <w:t xml:space="preserve">The examiner will offer the parties the opportunity to </w:t>
      </w:r>
      <w:proofErr w:type="gramStart"/>
      <w:r w:rsidRPr="0046317E">
        <w:t>enter into</w:t>
      </w:r>
      <w:proofErr w:type="gramEnd"/>
      <w:r w:rsidRPr="0046317E">
        <w:t xml:space="preserve"> a dispute resolution</w:t>
      </w:r>
      <w:r w:rsidRPr="00B76AFA">
        <w:rPr>
          <w:b/>
          <w:bCs/>
          <w:i/>
          <w:iCs/>
          <w:u w:val="single"/>
        </w:rPr>
        <w:t xml:space="preserve"> </w:t>
      </w:r>
      <w:r w:rsidR="00CA00A9" w:rsidRPr="009C138B">
        <w:t>process</w:t>
      </w:r>
      <w:r w:rsidR="00C20095" w:rsidRPr="009C138B">
        <w:t>.</w:t>
      </w:r>
      <w:r w:rsidR="00CA00A9" w:rsidRPr="009C138B">
        <w:t xml:space="preserve"> </w:t>
      </w:r>
    </w:p>
    <w:p w14:paraId="13BEA5DA" w14:textId="2F0D4BF9" w:rsidR="00CA00A9" w:rsidRPr="004F0398" w:rsidRDefault="00CA00A9" w:rsidP="00D42FA6">
      <w:pPr>
        <w:pStyle w:val="ListParagraph"/>
        <w:numPr>
          <w:ilvl w:val="0"/>
          <w:numId w:val="4"/>
        </w:numPr>
        <w:spacing w:before="120" w:after="120" w:line="240" w:lineRule="auto"/>
        <w:contextualSpacing w:val="0"/>
      </w:pPr>
      <w:r w:rsidRPr="004F0398">
        <w:t>If a complaint is rejected, a final statement will be prepared and published in</w:t>
      </w:r>
      <w:r w:rsidR="007A23AA">
        <w:t xml:space="preserve"> </w:t>
      </w:r>
      <w:r w:rsidRPr="004F0398">
        <w:t xml:space="preserve">line with AusNCP complaint procedures. The examiner will consult with </w:t>
      </w:r>
      <w:r w:rsidRPr="00B76AFA">
        <w:t>the parties and</w:t>
      </w:r>
      <w:r w:rsidRPr="004F0398">
        <w:t xml:space="preserve"> consider the</w:t>
      </w:r>
      <w:r w:rsidRPr="00B76AFA">
        <w:t xml:space="preserve">ir </w:t>
      </w:r>
      <w:r w:rsidRPr="004F0398">
        <w:t xml:space="preserve">views </w:t>
      </w:r>
      <w:r w:rsidRPr="00B76AFA">
        <w:t>on</w:t>
      </w:r>
      <w:r w:rsidRPr="004F0398">
        <w:t xml:space="preserve"> whether the identity of the enterprise will be published.</w:t>
      </w:r>
    </w:p>
    <w:p w14:paraId="13ED6541" w14:textId="77777777" w:rsidR="00CA00A9" w:rsidRPr="004F0398" w:rsidRDefault="00CA00A9" w:rsidP="00D42FA6">
      <w:pPr>
        <w:pStyle w:val="ListParagraph"/>
        <w:numPr>
          <w:ilvl w:val="0"/>
          <w:numId w:val="4"/>
        </w:numPr>
        <w:spacing w:before="120" w:after="120" w:line="240" w:lineRule="auto"/>
        <w:contextualSpacing w:val="0"/>
      </w:pPr>
      <w:r w:rsidRPr="004F0398">
        <w:rPr>
          <w:rFonts w:cstheme="minorHAnsi"/>
        </w:rPr>
        <w:t>If a complaint is transferred to another NCP</w:t>
      </w:r>
      <w:r w:rsidRPr="004F0398" w:rsidDel="00A00F91">
        <w:rPr>
          <w:rFonts w:cstheme="minorHAnsi"/>
        </w:rPr>
        <w:t xml:space="preserve"> </w:t>
      </w:r>
      <w:r w:rsidRPr="004F0398">
        <w:rPr>
          <w:rFonts w:cstheme="minorHAnsi"/>
        </w:rPr>
        <w:t>because of the initial assessment stage, a transfer statement will be published on the AusNCP website stating why and to which NCP the complaint has been transferred. The identity of the enterprise will be published on the AusNCP website if the transferee NCP publishes the identity.</w:t>
      </w:r>
    </w:p>
    <w:p w14:paraId="155225EA" w14:textId="77777777" w:rsidR="00CA00A9" w:rsidRPr="004F0398" w:rsidRDefault="00CA00A9" w:rsidP="00D42FA6">
      <w:pPr>
        <w:pStyle w:val="ListParagraph"/>
        <w:numPr>
          <w:ilvl w:val="0"/>
          <w:numId w:val="4"/>
        </w:numPr>
        <w:spacing w:before="120" w:after="120" w:line="240" w:lineRule="auto"/>
        <w:contextualSpacing w:val="0"/>
      </w:pPr>
      <w:r w:rsidRPr="004F0398">
        <w:rPr>
          <w:rFonts w:cstheme="minorHAnsi"/>
        </w:rPr>
        <w:t>Acceptance, rejection or transfer of a complaint is not an assessment of whether the enterprise’s actions are consistent with the OECD Guidelines.</w:t>
      </w:r>
    </w:p>
    <w:p w14:paraId="0B85376F" w14:textId="3875CD0F" w:rsidR="00CA00A9" w:rsidRPr="004F0398" w:rsidRDefault="00CA00A9" w:rsidP="002061D1">
      <w:pPr>
        <w:pStyle w:val="Heading1"/>
        <w:rPr>
          <w:bCs/>
        </w:rPr>
      </w:pPr>
      <w:r w:rsidRPr="004F0398">
        <w:rPr>
          <w:bCs/>
        </w:rPr>
        <w:t xml:space="preserve"> </w:t>
      </w:r>
      <w:bookmarkStart w:id="24" w:name="_Toc163213136"/>
      <w:r w:rsidRPr="000F1A4E">
        <w:rPr>
          <w:bCs/>
        </w:rPr>
        <w:t>Dispute resolution</w:t>
      </w:r>
      <w:r w:rsidR="00D06E5D" w:rsidRPr="000F1A4E">
        <w:rPr>
          <w:bCs/>
        </w:rPr>
        <w:t xml:space="preserve"> </w:t>
      </w:r>
      <w:r w:rsidRPr="000F1A4E">
        <w:rPr>
          <w:bCs/>
        </w:rPr>
        <w:t>(good offices)</w:t>
      </w:r>
      <w:bookmarkEnd w:id="24"/>
    </w:p>
    <w:p w14:paraId="49BB77E0" w14:textId="19364DE4" w:rsidR="009F4895" w:rsidRPr="004F0398" w:rsidRDefault="00CA00A9" w:rsidP="00D42FA6">
      <w:pPr>
        <w:pStyle w:val="ListParagraph"/>
        <w:numPr>
          <w:ilvl w:val="0"/>
          <w:numId w:val="4"/>
        </w:numPr>
        <w:spacing w:before="120" w:after="120" w:line="240" w:lineRule="auto"/>
        <w:contextualSpacing w:val="0"/>
      </w:pPr>
      <w:r w:rsidRPr="001C07AF">
        <w:rPr>
          <w:color w:val="000000" w:themeColor="text1"/>
        </w:rPr>
        <w:t>The</w:t>
      </w:r>
      <w:r w:rsidRPr="004F0398">
        <w:rPr>
          <w:color w:val="000000" w:themeColor="text1"/>
        </w:rPr>
        <w:t xml:space="preserve"> objective of the </w:t>
      </w:r>
      <w:r w:rsidRPr="00590A82">
        <w:rPr>
          <w:color w:val="000000" w:themeColor="text1"/>
        </w:rPr>
        <w:t>dispute resolution</w:t>
      </w:r>
      <w:r w:rsidRPr="004F0398">
        <w:rPr>
          <w:color w:val="000000" w:themeColor="text1"/>
        </w:rPr>
        <w:t xml:space="preserve"> stage is for an examiner </w:t>
      </w:r>
      <w:r w:rsidR="00797951" w:rsidRPr="004F0398">
        <w:rPr>
          <w:color w:val="000000" w:themeColor="text1"/>
        </w:rPr>
        <w:t xml:space="preserve">to help resolve issues </w:t>
      </w:r>
      <w:r w:rsidR="00187452">
        <w:rPr>
          <w:color w:val="000000" w:themeColor="text1"/>
        </w:rPr>
        <w:t xml:space="preserve">by </w:t>
      </w:r>
      <w:r w:rsidRPr="004F0398">
        <w:rPr>
          <w:color w:val="000000" w:themeColor="text1"/>
        </w:rPr>
        <w:t>facilitat</w:t>
      </w:r>
      <w:r w:rsidR="00187452">
        <w:rPr>
          <w:color w:val="000000" w:themeColor="text1"/>
        </w:rPr>
        <w:t>ing</w:t>
      </w:r>
      <w:r w:rsidRPr="004F0398">
        <w:rPr>
          <w:color w:val="000000" w:themeColor="text1"/>
        </w:rPr>
        <w:t xml:space="preserve"> </w:t>
      </w:r>
      <w:r w:rsidR="00B90668">
        <w:rPr>
          <w:color w:val="000000" w:themeColor="text1"/>
        </w:rPr>
        <w:t>an</w:t>
      </w:r>
      <w:r w:rsidR="00B90668" w:rsidRPr="004F0398">
        <w:rPr>
          <w:color w:val="000000" w:themeColor="text1"/>
        </w:rPr>
        <w:t xml:space="preserve"> </w:t>
      </w:r>
      <w:r w:rsidRPr="004F0398">
        <w:rPr>
          <w:color w:val="000000" w:themeColor="text1"/>
        </w:rPr>
        <w:t>exchange of information between the parties. This exchange can include</w:t>
      </w:r>
      <w:r w:rsidRPr="004F0398" w:rsidDel="001B6FE0">
        <w:rPr>
          <w:color w:val="000000" w:themeColor="text1"/>
        </w:rPr>
        <w:t xml:space="preserve"> </w:t>
      </w:r>
      <w:r w:rsidRPr="004F0398">
        <w:rPr>
          <w:color w:val="000000" w:themeColor="text1"/>
        </w:rPr>
        <w:t xml:space="preserve">conciliation, formal mediation, or facilitated discussions with the aim of arriving at a mutually agreed resolution. </w:t>
      </w:r>
      <w:r w:rsidR="00727D05">
        <w:rPr>
          <w:color w:val="000000" w:themeColor="text1"/>
        </w:rPr>
        <w:t>It</w:t>
      </w:r>
      <w:r w:rsidR="009F4895" w:rsidRPr="004F0398">
        <w:rPr>
          <w:color w:val="000000" w:themeColor="text1"/>
        </w:rPr>
        <w:t xml:space="preserve"> relies on parties acting in good faith.</w:t>
      </w:r>
    </w:p>
    <w:p w14:paraId="785FE21D" w14:textId="77777777" w:rsidR="0013449D" w:rsidRDefault="00C97545" w:rsidP="00D42FA6">
      <w:pPr>
        <w:pStyle w:val="ListParagraph"/>
        <w:numPr>
          <w:ilvl w:val="0"/>
          <w:numId w:val="4"/>
        </w:numPr>
        <w:spacing w:before="120" w:after="120" w:line="240" w:lineRule="auto"/>
        <w:contextualSpacing w:val="0"/>
      </w:pPr>
      <w:r>
        <w:t xml:space="preserve">The </w:t>
      </w:r>
      <w:r w:rsidR="00156388">
        <w:t xml:space="preserve">secretariat will allocate the complaint to an examiner </w:t>
      </w:r>
      <w:r w:rsidR="00257327">
        <w:t>for dispute resolution</w:t>
      </w:r>
      <w:r w:rsidR="00DE028B">
        <w:t xml:space="preserve">. </w:t>
      </w:r>
      <w:r w:rsidR="00D134C9">
        <w:t>In allocating an examiner, t</w:t>
      </w:r>
      <w:r w:rsidR="00CA00A9" w:rsidRPr="004F0398">
        <w:t xml:space="preserve">he secretariat will consider </w:t>
      </w:r>
      <w:r w:rsidR="00717246">
        <w:t>relevant factors such as</w:t>
      </w:r>
      <w:r w:rsidR="0013449D">
        <w:t xml:space="preserve">: </w:t>
      </w:r>
    </w:p>
    <w:p w14:paraId="7D05A05B" w14:textId="5DECB65D" w:rsidR="0013449D" w:rsidRDefault="001F5EBE" w:rsidP="0013449D">
      <w:pPr>
        <w:pStyle w:val="ListParagraph"/>
        <w:numPr>
          <w:ilvl w:val="1"/>
          <w:numId w:val="4"/>
        </w:numPr>
        <w:spacing w:before="120" w:after="120" w:line="240" w:lineRule="auto"/>
        <w:contextualSpacing w:val="0"/>
      </w:pPr>
      <w:r>
        <w:t>a</w:t>
      </w:r>
      <w:r w:rsidR="00CA00A9" w:rsidRPr="004F0398">
        <w:t>vailability</w:t>
      </w:r>
    </w:p>
    <w:p w14:paraId="53BF2D7E" w14:textId="39D4AC74" w:rsidR="0013449D" w:rsidRDefault="001F5EBE" w:rsidP="0013449D">
      <w:pPr>
        <w:pStyle w:val="ListParagraph"/>
        <w:numPr>
          <w:ilvl w:val="1"/>
          <w:numId w:val="4"/>
        </w:numPr>
        <w:spacing w:before="120" w:after="120" w:line="240" w:lineRule="auto"/>
        <w:contextualSpacing w:val="0"/>
      </w:pPr>
      <w:r>
        <w:t>e</w:t>
      </w:r>
      <w:r w:rsidR="00CA00A9" w:rsidRPr="004F0398">
        <w:t>xpertise</w:t>
      </w:r>
      <w:r w:rsidR="0013449D">
        <w:t>,</w:t>
      </w:r>
      <w:r w:rsidR="003E78ED">
        <w:t xml:space="preserve"> and </w:t>
      </w:r>
    </w:p>
    <w:p w14:paraId="45D8CBBD" w14:textId="77777777" w:rsidR="0013449D" w:rsidRDefault="003E78ED" w:rsidP="0013449D">
      <w:pPr>
        <w:pStyle w:val="ListParagraph"/>
        <w:numPr>
          <w:ilvl w:val="1"/>
          <w:numId w:val="4"/>
        </w:numPr>
        <w:spacing w:before="120" w:after="120" w:line="240" w:lineRule="auto"/>
        <w:contextualSpacing w:val="0"/>
      </w:pPr>
      <w:r>
        <w:t>any</w:t>
      </w:r>
      <w:r w:rsidR="00CA00A9" w:rsidRPr="004F0398">
        <w:t xml:space="preserve"> actual, perceived or potential conflicts of interest</w:t>
      </w:r>
      <w:r w:rsidR="00D134C9">
        <w:t xml:space="preserve">. </w:t>
      </w:r>
    </w:p>
    <w:p w14:paraId="4092D864" w14:textId="79BF958A" w:rsidR="00CA00A9" w:rsidRPr="004F0398" w:rsidRDefault="00CA00A9" w:rsidP="0013449D">
      <w:pPr>
        <w:pStyle w:val="ListParagraph"/>
        <w:numPr>
          <w:ilvl w:val="0"/>
          <w:numId w:val="4"/>
        </w:numPr>
        <w:spacing w:before="120" w:after="120" w:line="240" w:lineRule="auto"/>
        <w:contextualSpacing w:val="0"/>
      </w:pPr>
      <w:r w:rsidRPr="004F0398">
        <w:t>The notifier and the enterprise will be informed of the identity of the allocated</w:t>
      </w:r>
      <w:r w:rsidRPr="004F0398" w:rsidDel="004A5AD9">
        <w:t xml:space="preserve"> </w:t>
      </w:r>
      <w:r w:rsidRPr="004F0398">
        <w:t>examiner.</w:t>
      </w:r>
    </w:p>
    <w:p w14:paraId="5C844C4B" w14:textId="022D1858" w:rsidR="00CA00A9" w:rsidRPr="004F0398" w:rsidRDefault="001F10D9" w:rsidP="00D42FA6">
      <w:pPr>
        <w:pStyle w:val="ListParagraph"/>
        <w:numPr>
          <w:ilvl w:val="0"/>
          <w:numId w:val="4"/>
        </w:numPr>
        <w:spacing w:before="120" w:after="120" w:line="240" w:lineRule="auto"/>
        <w:contextualSpacing w:val="0"/>
      </w:pPr>
      <w:r>
        <w:t>The</w:t>
      </w:r>
      <w:r w:rsidRPr="004F0398">
        <w:t xml:space="preserve"> </w:t>
      </w:r>
      <w:r w:rsidR="00CA00A9" w:rsidRPr="004F0398">
        <w:t xml:space="preserve">examiner may facilitate </w:t>
      </w:r>
      <w:r w:rsidR="00CA00A9" w:rsidRPr="007C03AD">
        <w:t>dispute resolution</w:t>
      </w:r>
      <w:r w:rsidR="00CA00A9" w:rsidRPr="0023022E">
        <w:t xml:space="preserve"> </w:t>
      </w:r>
      <w:r w:rsidR="00CA00A9" w:rsidRPr="004F0398">
        <w:t>directly</w:t>
      </w:r>
      <w:r w:rsidR="000A3E62">
        <w:t>,</w:t>
      </w:r>
      <w:r w:rsidR="000A3E62" w:rsidRPr="004F0398">
        <w:t xml:space="preserve"> </w:t>
      </w:r>
      <w:r w:rsidR="00CA00A9" w:rsidRPr="004F0398">
        <w:t>or delegate certain steps to a suitably qualified dispute resolution professional.</w:t>
      </w:r>
      <w:r w:rsidR="00CA00A9" w:rsidRPr="00EF26E0">
        <w:t xml:space="preserve"> </w:t>
      </w:r>
      <w:r w:rsidR="0051002F">
        <w:t xml:space="preserve">In this instance, the dispute resolution professional will be </w:t>
      </w:r>
      <w:r w:rsidR="00244EDA">
        <w:t>engaged after the secretariat’s consideration of the allocated examiner’s availability</w:t>
      </w:r>
      <w:r w:rsidR="003159EE">
        <w:t xml:space="preserve"> and expertise and </w:t>
      </w:r>
      <w:r w:rsidR="00C2416B">
        <w:t xml:space="preserve">following an </w:t>
      </w:r>
      <w:r w:rsidR="00844FE5">
        <w:t>assessment of the dispute resolution professional</w:t>
      </w:r>
      <w:r w:rsidR="00C2416B">
        <w:t>’</w:t>
      </w:r>
      <w:r w:rsidR="00844FE5">
        <w:t>s interests.</w:t>
      </w:r>
    </w:p>
    <w:p w14:paraId="5A6FBC86" w14:textId="486B9CA3" w:rsidR="00CA00A9" w:rsidRPr="004F0398" w:rsidRDefault="00CA00A9" w:rsidP="00D42FA6">
      <w:pPr>
        <w:pStyle w:val="ListParagraph"/>
        <w:numPr>
          <w:ilvl w:val="0"/>
          <w:numId w:val="4"/>
        </w:numPr>
        <w:spacing w:before="120" w:after="120" w:line="240" w:lineRule="auto"/>
        <w:contextualSpacing w:val="0"/>
      </w:pPr>
      <w:r w:rsidRPr="004F0398">
        <w:t xml:space="preserve">The </w:t>
      </w:r>
      <w:r w:rsidRPr="007C03AD">
        <w:t>dispute resolution</w:t>
      </w:r>
      <w:r w:rsidRPr="004F0398">
        <w:t xml:space="preserve"> process </w:t>
      </w:r>
      <w:r w:rsidR="00CE7A6F">
        <w:t xml:space="preserve">has two stages: preparation and proceedings. </w:t>
      </w:r>
      <w:r w:rsidR="00E762C6">
        <w:t xml:space="preserve">In the </w:t>
      </w:r>
      <w:r w:rsidRPr="004F0398">
        <w:t>preparation</w:t>
      </w:r>
      <w:r w:rsidR="00E762C6">
        <w:t xml:space="preserve"> stage</w:t>
      </w:r>
      <w:r w:rsidRPr="004F0398">
        <w:t xml:space="preserve"> the examiner </w:t>
      </w:r>
      <w:r w:rsidR="006A1CD0" w:rsidRPr="004F0398">
        <w:t>engage</w:t>
      </w:r>
      <w:r w:rsidR="006A1CD0">
        <w:t>s</w:t>
      </w:r>
      <w:r w:rsidR="006A1CD0" w:rsidRPr="004F0398">
        <w:t xml:space="preserve"> each party separately or jointly to explain the process</w:t>
      </w:r>
      <w:r w:rsidR="00834932">
        <w:t xml:space="preserve"> and </w:t>
      </w:r>
      <w:r w:rsidR="009705CE">
        <w:t>options for discussion of the issues,</w:t>
      </w:r>
      <w:r w:rsidR="006A1CD0" w:rsidRPr="004F0398" w:rsidDel="000E00D1">
        <w:t xml:space="preserve"> </w:t>
      </w:r>
      <w:r w:rsidRPr="004F0398">
        <w:t>and prepare</w:t>
      </w:r>
      <w:r w:rsidR="000E00D1">
        <w:t>s</w:t>
      </w:r>
      <w:r w:rsidRPr="004F0398">
        <w:t xml:space="preserve"> a framework for handling any conciliation, mediation or facilitated discussions. </w:t>
      </w:r>
      <w:r w:rsidR="00B77E75">
        <w:t xml:space="preserve">The </w:t>
      </w:r>
      <w:r w:rsidRPr="004F0398">
        <w:t xml:space="preserve">proceedings stage </w:t>
      </w:r>
      <w:r w:rsidR="00AC5C62">
        <w:t xml:space="preserve">then </w:t>
      </w:r>
      <w:r w:rsidR="00C1167D">
        <w:t xml:space="preserve">seeks to resolve the issues through </w:t>
      </w:r>
      <w:r w:rsidR="00AC5C62">
        <w:t>the agreed framework</w:t>
      </w:r>
      <w:r w:rsidRPr="004F0398">
        <w:t>.</w:t>
      </w:r>
    </w:p>
    <w:p w14:paraId="20F66495" w14:textId="0AFE16AA" w:rsidR="00CA00A9" w:rsidRPr="004F0398" w:rsidRDefault="00CA00A9" w:rsidP="00D42FA6">
      <w:pPr>
        <w:pStyle w:val="ListParagraph"/>
        <w:numPr>
          <w:ilvl w:val="1"/>
          <w:numId w:val="4"/>
        </w:numPr>
        <w:spacing w:before="120" w:after="120" w:line="240" w:lineRule="auto"/>
        <w:ind w:left="792"/>
        <w:contextualSpacing w:val="0"/>
      </w:pPr>
      <w:r w:rsidRPr="004F0398">
        <w:t xml:space="preserve">In practice, it is expected that the </w:t>
      </w:r>
      <w:r w:rsidRPr="00590A82">
        <w:t>dispute resolution</w:t>
      </w:r>
      <w:r w:rsidRPr="004F0398">
        <w:t xml:space="preserve"> process will differ from </w:t>
      </w:r>
      <w:r w:rsidR="00A66146">
        <w:t>complaint</w:t>
      </w:r>
      <w:r w:rsidRPr="004F0398">
        <w:t xml:space="preserve"> to c</w:t>
      </w:r>
      <w:r w:rsidR="00A66146">
        <w:t>omplaint</w:t>
      </w:r>
      <w:r w:rsidRPr="004F0398">
        <w:t>, and the examiner will retain a flexible approach when distinguishing between the preparation and proceedings stage</w:t>
      </w:r>
      <w:r w:rsidR="000C713B">
        <w:t>s</w:t>
      </w:r>
      <w:r w:rsidRPr="004F0398">
        <w:t>.</w:t>
      </w:r>
    </w:p>
    <w:p w14:paraId="277D5E27" w14:textId="7F9C9366" w:rsidR="00CA00A9" w:rsidRPr="004F0398" w:rsidRDefault="00CA00A9" w:rsidP="00D42FA6">
      <w:pPr>
        <w:pStyle w:val="ListParagraph"/>
        <w:numPr>
          <w:ilvl w:val="0"/>
          <w:numId w:val="4"/>
        </w:numPr>
        <w:spacing w:before="120" w:after="120" w:line="240" w:lineRule="auto"/>
        <w:contextualSpacing w:val="0"/>
      </w:pPr>
      <w:r w:rsidRPr="004F0398">
        <w:t xml:space="preserve">In consultation with the parties, the examiner will prepare a </w:t>
      </w:r>
      <w:hyperlink w:anchor="discussion" w:history="1">
        <w:r w:rsidRPr="00222E47">
          <w:rPr>
            <w:rStyle w:val="Hyperlink"/>
          </w:rPr>
          <w:t>discussion plan</w:t>
        </w:r>
      </w:hyperlink>
      <w:r w:rsidRPr="004F0398">
        <w:t xml:space="preserve"> to </w:t>
      </w:r>
      <w:r w:rsidR="00144F50">
        <w:t xml:space="preserve">clarify </w:t>
      </w:r>
      <w:r w:rsidRPr="004F0398">
        <w:t>the process and manage timeframes and expectations.</w:t>
      </w:r>
    </w:p>
    <w:p w14:paraId="0F91D696" w14:textId="77777777" w:rsidR="00CA00A9" w:rsidRPr="004F0398" w:rsidRDefault="00CA00A9" w:rsidP="00D42FA6">
      <w:pPr>
        <w:pStyle w:val="ListParagraph"/>
        <w:numPr>
          <w:ilvl w:val="1"/>
          <w:numId w:val="4"/>
        </w:numPr>
        <w:spacing w:before="120" w:after="120" w:line="240" w:lineRule="auto"/>
        <w:ind w:left="792"/>
        <w:contextualSpacing w:val="0"/>
      </w:pPr>
      <w:r w:rsidRPr="004F0398">
        <w:lastRenderedPageBreak/>
        <w:t>Plans may include each party’s initial objectives, anticipated communication methods and confidentiality arrangements, including whether a formal confidentiality agreement is required.</w:t>
      </w:r>
    </w:p>
    <w:p w14:paraId="68E1F8DA" w14:textId="1F57B8EA" w:rsidR="00CA00A9" w:rsidRDefault="00CA00A9" w:rsidP="00D42FA6">
      <w:pPr>
        <w:pStyle w:val="ListParagraph"/>
        <w:numPr>
          <w:ilvl w:val="1"/>
          <w:numId w:val="4"/>
        </w:numPr>
        <w:spacing w:before="120" w:after="120" w:line="240" w:lineRule="auto"/>
        <w:ind w:left="792"/>
        <w:contextualSpacing w:val="0"/>
      </w:pPr>
      <w:r w:rsidRPr="004F0398">
        <w:t>Plans may vary in formality</w:t>
      </w:r>
      <w:r w:rsidR="00F946A5">
        <w:t>,</w:t>
      </w:r>
      <w:r w:rsidRPr="004F0398">
        <w:t xml:space="preserve"> such as an email or a structured document, and will be </w:t>
      </w:r>
      <w:r w:rsidR="00A66146">
        <w:t>complaint</w:t>
      </w:r>
      <w:r w:rsidR="001F4E9E">
        <w:noBreakHyphen/>
      </w:r>
      <w:r w:rsidRPr="004F0398">
        <w:t xml:space="preserve">specific to account for </w:t>
      </w:r>
      <w:r w:rsidR="00F946A5">
        <w:t>each party’s</w:t>
      </w:r>
      <w:r w:rsidR="00F946A5" w:rsidRPr="004F0398">
        <w:t xml:space="preserve"> </w:t>
      </w:r>
      <w:r w:rsidRPr="004F0398">
        <w:t>preferences and practical constraints.</w:t>
      </w:r>
    </w:p>
    <w:p w14:paraId="5777758C" w14:textId="1005D28C" w:rsidR="00C6355C" w:rsidRPr="004F0398" w:rsidRDefault="00C6355C" w:rsidP="0077366F">
      <w:pPr>
        <w:pStyle w:val="ListParagraph"/>
        <w:numPr>
          <w:ilvl w:val="1"/>
          <w:numId w:val="4"/>
        </w:numPr>
        <w:spacing w:before="120" w:after="120" w:line="240" w:lineRule="auto"/>
        <w:ind w:left="792"/>
        <w:contextualSpacing w:val="0"/>
      </w:pPr>
      <w:r w:rsidRPr="004F0398">
        <w:t>In cases where a notifier</w:t>
      </w:r>
      <w:r>
        <w:t xml:space="preserve">’s security would be compromised by direct participation in </w:t>
      </w:r>
      <w:r w:rsidRPr="004F0398">
        <w:t xml:space="preserve">discussions, the examiner will seek to agree alternative arrangements that would allow the notifier to participate indirectly, consistent with </w:t>
      </w:r>
      <w:r w:rsidRPr="00B20D68">
        <w:t xml:space="preserve">paragraphs </w:t>
      </w:r>
      <w:r w:rsidR="001677C5">
        <w:t>4</w:t>
      </w:r>
      <w:r w:rsidR="004D3341">
        <w:t xml:space="preserve"> and </w:t>
      </w:r>
      <w:r w:rsidR="001677C5">
        <w:t>10</w:t>
      </w:r>
      <w:r w:rsidR="004D3341">
        <w:t>.</w:t>
      </w:r>
    </w:p>
    <w:p w14:paraId="4014C486" w14:textId="4496EC44" w:rsidR="00CA00A9" w:rsidRDefault="00CA00A9" w:rsidP="00D42FA6">
      <w:pPr>
        <w:pStyle w:val="ListParagraph"/>
        <w:numPr>
          <w:ilvl w:val="0"/>
          <w:numId w:val="4"/>
        </w:numPr>
        <w:spacing w:before="120" w:after="120" w:line="240" w:lineRule="auto"/>
        <w:contextualSpacing w:val="0"/>
      </w:pPr>
      <w:r w:rsidRPr="004F0398">
        <w:t>The examiner will seek each party’s agreement to proceed with discussions and</w:t>
      </w:r>
      <w:r w:rsidR="00803390">
        <w:t>,</w:t>
      </w:r>
      <w:r w:rsidRPr="004F0398">
        <w:t xml:space="preserve"> if both parties agree, the discussions will commence.</w:t>
      </w:r>
    </w:p>
    <w:p w14:paraId="005C24DD" w14:textId="62E2CD38" w:rsidR="004A347C" w:rsidRPr="004F0398" w:rsidRDefault="00EC7C02" w:rsidP="00D42FA6">
      <w:pPr>
        <w:pStyle w:val="ListParagraph"/>
        <w:numPr>
          <w:ilvl w:val="0"/>
          <w:numId w:val="4"/>
        </w:numPr>
        <w:spacing w:before="120" w:after="120" w:line="240" w:lineRule="auto"/>
        <w:contextualSpacing w:val="0"/>
        <w:rPr>
          <w:rFonts w:cstheme="minorHAnsi"/>
          <w:color w:val="000000"/>
        </w:rPr>
      </w:pPr>
      <w:r>
        <w:t xml:space="preserve">At any stage of dispute resolution </w:t>
      </w:r>
      <w:r w:rsidR="00A41892">
        <w:t>either party may decide not to continue</w:t>
      </w:r>
      <w:r w:rsidR="00021514">
        <w:t xml:space="preserve">, in which case </w:t>
      </w:r>
      <w:r w:rsidR="004A347C" w:rsidRPr="004F0398">
        <w:rPr>
          <w:color w:val="000000" w:themeColor="text1"/>
        </w:rPr>
        <w:t xml:space="preserve">the AusNCP website will state that </w:t>
      </w:r>
      <w:r w:rsidR="004A347C" w:rsidRPr="00A245B2">
        <w:rPr>
          <w:color w:val="000000" w:themeColor="text1"/>
        </w:rPr>
        <w:t xml:space="preserve">dispute resolution </w:t>
      </w:r>
      <w:r w:rsidR="004A347C" w:rsidRPr="004F0398">
        <w:rPr>
          <w:color w:val="000000" w:themeColor="text1"/>
        </w:rPr>
        <w:t>has been declined</w:t>
      </w:r>
      <w:r w:rsidR="004A347C">
        <w:rPr>
          <w:color w:val="000000" w:themeColor="text1"/>
        </w:rPr>
        <w:t xml:space="preserve"> and a final statement will be produced </w:t>
      </w:r>
      <w:r w:rsidR="00A2288F">
        <w:rPr>
          <w:color w:val="000000" w:themeColor="text1"/>
        </w:rPr>
        <w:t>by an examiner</w:t>
      </w:r>
      <w:r w:rsidR="004A347C" w:rsidRPr="004F0398">
        <w:rPr>
          <w:color w:val="000000" w:themeColor="text1"/>
        </w:rPr>
        <w:t>.</w:t>
      </w:r>
    </w:p>
    <w:p w14:paraId="77C40FC9" w14:textId="5B0078E2" w:rsidR="00CA00A9" w:rsidRPr="004F0398" w:rsidRDefault="00CA00A9" w:rsidP="00D42FA6">
      <w:pPr>
        <w:pStyle w:val="ListParagraph"/>
        <w:numPr>
          <w:ilvl w:val="0"/>
          <w:numId w:val="4"/>
        </w:numPr>
        <w:spacing w:before="120" w:after="120" w:line="240" w:lineRule="auto"/>
        <w:contextualSpacing w:val="0"/>
      </w:pPr>
      <w:r w:rsidRPr="004F0398">
        <w:t xml:space="preserve">If at any stage of </w:t>
      </w:r>
      <w:r w:rsidRPr="007C03AD">
        <w:t>dispute resolution</w:t>
      </w:r>
      <w:r w:rsidRPr="004F0398">
        <w:t>:</w:t>
      </w:r>
    </w:p>
    <w:p w14:paraId="379E7A52" w14:textId="51AA99B8" w:rsidR="00CA00A9" w:rsidRPr="002F5070" w:rsidRDefault="00CA00A9" w:rsidP="00D42FA6">
      <w:pPr>
        <w:pStyle w:val="ListParagraph"/>
        <w:numPr>
          <w:ilvl w:val="1"/>
          <w:numId w:val="4"/>
        </w:numPr>
        <w:spacing w:before="120" w:after="120" w:line="240" w:lineRule="auto"/>
        <w:ind w:left="792"/>
        <w:contextualSpacing w:val="0"/>
      </w:pPr>
      <w:r w:rsidRPr="00021514">
        <w:rPr>
          <w:color w:val="000000" w:themeColor="text1"/>
        </w:rPr>
        <w:t>The notifier does not agree to continue, the examiner will prepare a final statement summarising the process followed to</w:t>
      </w:r>
      <w:r w:rsidR="00AD765E">
        <w:rPr>
          <w:color w:val="000000" w:themeColor="text1"/>
        </w:rPr>
        <w:t>-</w:t>
      </w:r>
      <w:r w:rsidRPr="00021514">
        <w:rPr>
          <w:color w:val="000000" w:themeColor="text1"/>
        </w:rPr>
        <w:t>date</w:t>
      </w:r>
      <w:r w:rsidR="005B5B83">
        <w:rPr>
          <w:color w:val="000000" w:themeColor="text1"/>
        </w:rPr>
        <w:t>. The examiner</w:t>
      </w:r>
      <w:r w:rsidRPr="00021514">
        <w:rPr>
          <w:color w:val="000000" w:themeColor="text1"/>
        </w:rPr>
        <w:t xml:space="preserve"> will not undertake an examination of the issues raised</w:t>
      </w:r>
      <w:r w:rsidRPr="00F91F36">
        <w:t xml:space="preserve"> unless</w:t>
      </w:r>
      <w:r w:rsidRPr="00491710">
        <w:rPr>
          <w:color w:val="000000" w:themeColor="text1"/>
        </w:rPr>
        <w:t xml:space="preserve"> an </w:t>
      </w:r>
      <w:r w:rsidR="002C2BD5" w:rsidRPr="00491710">
        <w:rPr>
          <w:color w:val="000000" w:themeColor="text1"/>
        </w:rPr>
        <w:t xml:space="preserve">examiner </w:t>
      </w:r>
      <w:r w:rsidRPr="00491710">
        <w:rPr>
          <w:color w:val="000000" w:themeColor="text1"/>
        </w:rPr>
        <w:t xml:space="preserve">determines the notifier discontinued due to a lack of good faith engagement by the enterprise. </w:t>
      </w:r>
      <w:r w:rsidRPr="007C03AD">
        <w:rPr>
          <w:color w:val="000000" w:themeColor="text1"/>
        </w:rPr>
        <w:t xml:space="preserve">The final statement </w:t>
      </w:r>
      <w:r w:rsidR="00FA3C0E" w:rsidRPr="007C03AD">
        <w:rPr>
          <w:color w:val="000000" w:themeColor="text1"/>
        </w:rPr>
        <w:t>may</w:t>
      </w:r>
      <w:r w:rsidRPr="007C03AD">
        <w:rPr>
          <w:color w:val="000000" w:themeColor="text1"/>
        </w:rPr>
        <w:t xml:space="preserve"> include information on why the notifier has chosen not to continue.</w:t>
      </w:r>
      <w:r w:rsidRPr="00021514">
        <w:rPr>
          <w:color w:val="000000" w:themeColor="text1"/>
        </w:rPr>
        <w:t xml:space="preserve"> </w:t>
      </w:r>
    </w:p>
    <w:p w14:paraId="5F127D81" w14:textId="18D7FF23" w:rsidR="00CA00A9" w:rsidRPr="00B91939" w:rsidRDefault="00CA00A9" w:rsidP="00D42FA6">
      <w:pPr>
        <w:pStyle w:val="ListParagraph"/>
        <w:numPr>
          <w:ilvl w:val="1"/>
          <w:numId w:val="4"/>
        </w:numPr>
        <w:spacing w:before="120" w:after="120" w:line="240" w:lineRule="auto"/>
        <w:ind w:left="792"/>
        <w:contextualSpacing w:val="0"/>
      </w:pPr>
      <w:r w:rsidRPr="00A97339">
        <w:rPr>
          <w:color w:val="000000" w:themeColor="text1"/>
        </w:rPr>
        <w:t>The</w:t>
      </w:r>
      <w:r w:rsidRPr="004F0398">
        <w:rPr>
          <w:color w:val="000000" w:themeColor="text1"/>
        </w:rPr>
        <w:t xml:space="preserve"> enterprise does not agree to continue, the examiner will prepare a final statement which will include an examination of the issues raised</w:t>
      </w:r>
      <w:r w:rsidRPr="00491710">
        <w:rPr>
          <w:color w:val="000000" w:themeColor="text1"/>
        </w:rPr>
        <w:t>, unless an examiner determines the enterprise discontinued due to a lack of good</w:t>
      </w:r>
      <w:r w:rsidR="000B5CDC">
        <w:rPr>
          <w:color w:val="000000" w:themeColor="text1"/>
        </w:rPr>
        <w:t>-</w:t>
      </w:r>
      <w:r w:rsidRPr="00491710">
        <w:rPr>
          <w:color w:val="000000" w:themeColor="text1"/>
        </w:rPr>
        <w:t>faith engagement by the notifier.</w:t>
      </w:r>
      <w:r w:rsidR="00B91939">
        <w:rPr>
          <w:color w:val="000000" w:themeColor="text1"/>
        </w:rPr>
        <w:t xml:space="preserve"> </w:t>
      </w:r>
    </w:p>
    <w:p w14:paraId="4ED23F86" w14:textId="672111AB" w:rsidR="00CA00A9" w:rsidRPr="004F0398" w:rsidRDefault="00CA00A9" w:rsidP="0029001A">
      <w:pPr>
        <w:pStyle w:val="ListParagraph"/>
        <w:numPr>
          <w:ilvl w:val="0"/>
          <w:numId w:val="4"/>
        </w:numPr>
        <w:spacing w:before="120" w:after="120" w:line="240" w:lineRule="auto"/>
        <w:contextualSpacing w:val="0"/>
      </w:pPr>
      <w:r w:rsidRPr="004F0398">
        <w:t>The examiner will review the progress of proceedings at regular intervals.</w:t>
      </w:r>
      <w:r w:rsidR="009F5022">
        <w:t xml:space="preserve"> If </w:t>
      </w:r>
      <w:r w:rsidR="00C546C2">
        <w:t xml:space="preserve">the examiner considers </w:t>
      </w:r>
      <w:r w:rsidR="00524505">
        <w:t>dispute resolution</w:t>
      </w:r>
      <w:r w:rsidR="006404D6">
        <w:t xml:space="preserve"> </w:t>
      </w:r>
      <w:r w:rsidR="00A87401">
        <w:t>is no longer productive</w:t>
      </w:r>
      <w:r w:rsidR="00753B95">
        <w:t xml:space="preserve"> after consultation with the parties</w:t>
      </w:r>
      <w:r w:rsidR="00A87401">
        <w:t xml:space="preserve">, </w:t>
      </w:r>
      <w:r w:rsidR="006404D6">
        <w:t xml:space="preserve">the complaint will proceed to </w:t>
      </w:r>
      <w:r w:rsidR="00FC28E1">
        <w:t xml:space="preserve">final statement </w:t>
      </w:r>
      <w:r w:rsidR="009222A2">
        <w:t xml:space="preserve">which </w:t>
      </w:r>
      <w:r w:rsidR="00032BB7">
        <w:t xml:space="preserve">will </w:t>
      </w:r>
      <w:r w:rsidR="009222A2">
        <w:t xml:space="preserve">include an </w:t>
      </w:r>
      <w:r w:rsidR="006404D6">
        <w:t>examination</w:t>
      </w:r>
      <w:r w:rsidR="009222A2">
        <w:t xml:space="preserve"> of the issues raised</w:t>
      </w:r>
      <w:r w:rsidR="006404D6">
        <w:t xml:space="preserve">. </w:t>
      </w:r>
    </w:p>
    <w:p w14:paraId="3BBC23B1" w14:textId="77777777" w:rsidR="00F05D8C" w:rsidRPr="00AD6C43" w:rsidRDefault="001E25E2" w:rsidP="007E39A9">
      <w:pPr>
        <w:pStyle w:val="ListParagraph"/>
        <w:numPr>
          <w:ilvl w:val="0"/>
          <w:numId w:val="4"/>
        </w:numPr>
        <w:spacing w:before="120" w:after="120" w:line="240" w:lineRule="auto"/>
        <w:contextualSpacing w:val="0"/>
      </w:pPr>
      <w:r w:rsidRPr="00AD6C43">
        <w:t xml:space="preserve">The examiner </w:t>
      </w:r>
      <w:r w:rsidR="00F05D8C" w:rsidRPr="00AD6C43">
        <w:t xml:space="preserve">may offer the parties the option of putting the complaint on hold if: </w:t>
      </w:r>
    </w:p>
    <w:p w14:paraId="4D20DCFB" w14:textId="7EA27994" w:rsidR="00146AC3" w:rsidRPr="00AD6C43" w:rsidRDefault="00F05D8C" w:rsidP="00F05D8C">
      <w:pPr>
        <w:pStyle w:val="ListParagraph"/>
        <w:numPr>
          <w:ilvl w:val="1"/>
          <w:numId w:val="4"/>
        </w:numPr>
        <w:spacing w:before="120" w:after="120" w:line="240" w:lineRule="auto"/>
        <w:contextualSpacing w:val="0"/>
      </w:pPr>
      <w:r w:rsidRPr="00AD6C43">
        <w:t xml:space="preserve">the examiner considers the complaint cannot be </w:t>
      </w:r>
      <w:r w:rsidR="00CA00A9" w:rsidRPr="00AD6C43">
        <w:t>progressed under the NCP process</w:t>
      </w:r>
      <w:r w:rsidR="004725AF" w:rsidRPr="00AD6C43">
        <w:t xml:space="preserve"> at the current time</w:t>
      </w:r>
      <w:r w:rsidR="00CA00A9" w:rsidRPr="00AD6C43">
        <w:t xml:space="preserve">, or </w:t>
      </w:r>
    </w:p>
    <w:p w14:paraId="6F84CCF8" w14:textId="558BACD1" w:rsidR="00627D44" w:rsidRPr="00AD6C43" w:rsidRDefault="00CA00A9" w:rsidP="009C5EDC">
      <w:pPr>
        <w:pStyle w:val="ListParagraph"/>
        <w:numPr>
          <w:ilvl w:val="1"/>
          <w:numId w:val="4"/>
        </w:numPr>
        <w:spacing w:before="120" w:after="120" w:line="240" w:lineRule="auto"/>
        <w:contextualSpacing w:val="0"/>
      </w:pPr>
      <w:r w:rsidRPr="00AD6C43">
        <w:t>the parties jointly inform the examiner that they wish to pursue alternative dispute resolution processes outside the NCP process</w:t>
      </w:r>
      <w:r w:rsidR="00146AC3" w:rsidRPr="00AD6C43">
        <w:t>.</w:t>
      </w:r>
      <w:r w:rsidR="00D463EC" w:rsidRPr="00AD6C43">
        <w:t xml:space="preserve"> This will be documented in the final statement. </w:t>
      </w:r>
    </w:p>
    <w:p w14:paraId="75DF2E8A" w14:textId="5BD64237" w:rsidR="00CA00A9" w:rsidRPr="00AD6C43" w:rsidRDefault="00CA00A9" w:rsidP="00551448">
      <w:pPr>
        <w:pStyle w:val="ListParagraph"/>
        <w:numPr>
          <w:ilvl w:val="0"/>
          <w:numId w:val="4"/>
        </w:numPr>
        <w:spacing w:before="120" w:after="120" w:line="240" w:lineRule="auto"/>
        <w:contextualSpacing w:val="0"/>
      </w:pPr>
      <w:r w:rsidRPr="00AD6C43">
        <w:t xml:space="preserve">Where a </w:t>
      </w:r>
      <w:r w:rsidR="00BB642C" w:rsidRPr="00AD6C43">
        <w:t>complaint</w:t>
      </w:r>
      <w:r w:rsidRPr="00AD6C43">
        <w:t xml:space="preserve"> is put on hold, the examiner will request regular updates to determine whether the complaint needs to be reopened. </w:t>
      </w:r>
      <w:r w:rsidR="00976AAA" w:rsidRPr="00AD6C43">
        <w:t>T</w:t>
      </w:r>
      <w:r w:rsidRPr="00AD6C43">
        <w:t>he AusNCP website will be updated</w:t>
      </w:r>
      <w:r w:rsidR="00976AAA" w:rsidRPr="00AD6C43">
        <w:t xml:space="preserve"> as appropriate.</w:t>
      </w:r>
    </w:p>
    <w:p w14:paraId="0E0948C4" w14:textId="2CC04D87" w:rsidR="00CA00A9" w:rsidRPr="00AD6C43" w:rsidRDefault="00CA00A9" w:rsidP="009F7063">
      <w:pPr>
        <w:pStyle w:val="ListParagraph"/>
        <w:numPr>
          <w:ilvl w:val="0"/>
          <w:numId w:val="4"/>
        </w:numPr>
        <w:spacing w:before="120" w:after="120" w:line="240" w:lineRule="auto"/>
        <w:contextualSpacing w:val="0"/>
      </w:pPr>
      <w:r w:rsidRPr="00AD6C43">
        <w:t>If the notifier informs AusNCP in writing that further engagement from</w:t>
      </w:r>
      <w:r w:rsidR="007C03AD" w:rsidRPr="00AD6C43">
        <w:t xml:space="preserve"> </w:t>
      </w:r>
      <w:r w:rsidRPr="00AD6C43">
        <w:t xml:space="preserve">AusNCP will not be required, the examiner will treat the </w:t>
      </w:r>
      <w:r w:rsidR="00BB642C" w:rsidRPr="00AD6C43">
        <w:t>complaint</w:t>
      </w:r>
      <w:r w:rsidRPr="00AD6C43">
        <w:t xml:space="preserve"> as having been withdrawn</w:t>
      </w:r>
      <w:r w:rsidR="00F06B7F" w:rsidRPr="00AD6C43">
        <w:t xml:space="preserve"> (</w:t>
      </w:r>
      <w:r w:rsidR="008239F3" w:rsidRPr="00AD6C43">
        <w:t xml:space="preserve">see </w:t>
      </w:r>
      <w:r w:rsidR="001677C5" w:rsidRPr="004F0398">
        <w:t xml:space="preserve">Withdrawal of </w:t>
      </w:r>
      <w:r w:rsidR="001677C5">
        <w:t>c</w:t>
      </w:r>
      <w:r w:rsidR="001677C5" w:rsidRPr="00D06E5D">
        <w:t>omplaints</w:t>
      </w:r>
      <w:r w:rsidR="00F06B7F" w:rsidRPr="00AD6C43">
        <w:t>)</w:t>
      </w:r>
      <w:r w:rsidRPr="00AD6C43">
        <w:t>. This will be documented in the final statement.</w:t>
      </w:r>
    </w:p>
    <w:p w14:paraId="15393895" w14:textId="77777777" w:rsidR="00CA00A9" w:rsidRPr="004F0398" w:rsidRDefault="00CA00A9" w:rsidP="002061D1">
      <w:pPr>
        <w:pStyle w:val="Heading1"/>
      </w:pPr>
      <w:bookmarkStart w:id="25" w:name="_Ref159404515"/>
      <w:bookmarkStart w:id="26" w:name="_Toc163213137"/>
      <w:r w:rsidRPr="004F0398">
        <w:t>Examination</w:t>
      </w:r>
      <w:bookmarkEnd w:id="25"/>
      <w:bookmarkEnd w:id="26"/>
      <w:r w:rsidRPr="004F0398">
        <w:t xml:space="preserve"> </w:t>
      </w:r>
    </w:p>
    <w:p w14:paraId="26772F0D" w14:textId="77777777" w:rsidR="00177DA6" w:rsidRDefault="00B16D64" w:rsidP="00E03771">
      <w:pPr>
        <w:pStyle w:val="ListParagraph"/>
        <w:numPr>
          <w:ilvl w:val="0"/>
          <w:numId w:val="4"/>
        </w:numPr>
        <w:spacing w:before="120" w:after="120" w:line="240" w:lineRule="auto"/>
        <w:contextualSpacing w:val="0"/>
      </w:pPr>
      <w:r w:rsidRPr="004F0398">
        <w:t>The objective of the examination stage is for an examiner to</w:t>
      </w:r>
      <w:r w:rsidR="006E7309">
        <w:t xml:space="preserve">: </w:t>
      </w:r>
    </w:p>
    <w:p w14:paraId="58DED806" w14:textId="77777777" w:rsidR="00030346" w:rsidRDefault="00B16D64" w:rsidP="00030346">
      <w:pPr>
        <w:pStyle w:val="ListParagraph"/>
        <w:numPr>
          <w:ilvl w:val="1"/>
          <w:numId w:val="4"/>
        </w:numPr>
        <w:spacing w:before="120" w:after="120" w:line="240" w:lineRule="auto"/>
        <w:contextualSpacing w:val="0"/>
      </w:pPr>
      <w:r w:rsidRPr="004F0398">
        <w:t>consider whether the enterprise</w:t>
      </w:r>
      <w:r w:rsidR="002C361A">
        <w:t>’s actions</w:t>
      </w:r>
      <w:r w:rsidRPr="004F0398">
        <w:t xml:space="preserve"> raised in a complaint were consistent with the OECD Guidelines</w:t>
      </w:r>
      <w:r w:rsidR="002A7B8E">
        <w:t>,</w:t>
      </w:r>
      <w:r w:rsidRPr="004F0398">
        <w:t xml:space="preserve"> and</w:t>
      </w:r>
    </w:p>
    <w:p w14:paraId="3FC6E968" w14:textId="53009848" w:rsidR="00B16D64" w:rsidRPr="004F0398" w:rsidRDefault="00B16D64" w:rsidP="00030346">
      <w:pPr>
        <w:pStyle w:val="ListParagraph"/>
        <w:numPr>
          <w:ilvl w:val="1"/>
          <w:numId w:val="4"/>
        </w:numPr>
        <w:spacing w:before="120" w:after="120" w:line="240" w:lineRule="auto"/>
        <w:contextualSpacing w:val="0"/>
      </w:pPr>
      <w:r w:rsidRPr="004F0398">
        <w:lastRenderedPageBreak/>
        <w:t xml:space="preserve">identify means by which to improve observance of the OECD Guidelines, where appropriate. </w:t>
      </w:r>
    </w:p>
    <w:p w14:paraId="4F3C7A81" w14:textId="262F1642" w:rsidR="00CA00A9" w:rsidRPr="004F0398" w:rsidRDefault="00CA00A9" w:rsidP="008C5C9D">
      <w:pPr>
        <w:pStyle w:val="ListParagraph"/>
        <w:numPr>
          <w:ilvl w:val="0"/>
          <w:numId w:val="4"/>
        </w:numPr>
        <w:spacing w:before="120" w:after="120" w:line="240" w:lineRule="auto"/>
        <w:ind w:hanging="357"/>
        <w:contextualSpacing w:val="0"/>
      </w:pPr>
      <w:r w:rsidRPr="004F0398">
        <w:t xml:space="preserve">An examination </w:t>
      </w:r>
      <w:r w:rsidR="00177314">
        <w:t>will occur if</w:t>
      </w:r>
      <w:r w:rsidRPr="004F0398">
        <w:t>:</w:t>
      </w:r>
    </w:p>
    <w:p w14:paraId="5E34808D" w14:textId="013A46C2" w:rsidR="00CA00A9" w:rsidRPr="004F0398" w:rsidRDefault="00CA00A9" w:rsidP="0029001A">
      <w:pPr>
        <w:pStyle w:val="ListParagraph"/>
        <w:numPr>
          <w:ilvl w:val="1"/>
          <w:numId w:val="4"/>
        </w:numPr>
        <w:spacing w:before="120" w:after="120" w:line="240" w:lineRule="auto"/>
        <w:ind w:left="792"/>
        <w:contextualSpacing w:val="0"/>
      </w:pPr>
      <w:r w:rsidRPr="004F0398">
        <w:t>the enterprise has refused AusNCP</w:t>
      </w:r>
      <w:r w:rsidR="008664F7">
        <w:t>’s</w:t>
      </w:r>
      <w:r w:rsidRPr="004F0398">
        <w:t xml:space="preserve"> offer of dispute resolution </w:t>
      </w:r>
    </w:p>
    <w:p w14:paraId="1F348B53" w14:textId="77777777" w:rsidR="00CA00A9" w:rsidRPr="004F0398" w:rsidRDefault="00CA00A9" w:rsidP="0029001A">
      <w:pPr>
        <w:pStyle w:val="ListParagraph"/>
        <w:numPr>
          <w:ilvl w:val="1"/>
          <w:numId w:val="4"/>
        </w:numPr>
        <w:spacing w:before="120" w:after="120" w:line="240" w:lineRule="auto"/>
        <w:ind w:left="792"/>
        <w:contextualSpacing w:val="0"/>
      </w:pPr>
      <w:r w:rsidRPr="004F0398">
        <w:t>the dispute resolution stage has concluded without reaching a mutually agreed resolution, unless the examiner determines there was a lack of good faith engagement in dispute resolution by the notifier</w:t>
      </w:r>
      <w:r w:rsidRPr="007C03AD">
        <w:t>, or</w:t>
      </w:r>
    </w:p>
    <w:p w14:paraId="3DD1AA6C" w14:textId="32C5CFC8" w:rsidR="00CA00A9" w:rsidRPr="004F0398" w:rsidRDefault="00C71B03" w:rsidP="0029001A">
      <w:pPr>
        <w:pStyle w:val="ListParagraph"/>
        <w:numPr>
          <w:ilvl w:val="1"/>
          <w:numId w:val="4"/>
        </w:numPr>
        <w:spacing w:before="120" w:after="120" w:line="240" w:lineRule="auto"/>
        <w:ind w:left="792"/>
        <w:contextualSpacing w:val="0"/>
      </w:pPr>
      <w:r>
        <w:t>T</w:t>
      </w:r>
      <w:r w:rsidR="00CA00A9" w:rsidRPr="004F0398">
        <w:t xml:space="preserve">he enterprise has not acted in good faith in the complaint process in the circumstances described in </w:t>
      </w:r>
      <w:r w:rsidR="00CA00A9" w:rsidRPr="00B20D68">
        <w:t xml:space="preserve">paragraph </w:t>
      </w:r>
      <w:r w:rsidR="001677C5">
        <w:t>11</w:t>
      </w:r>
      <w:r w:rsidR="00CA581C" w:rsidRPr="00B20D68">
        <w:t>.</w:t>
      </w:r>
    </w:p>
    <w:p w14:paraId="6C381EE9" w14:textId="77777777" w:rsidR="00CA00A9" w:rsidRPr="004F0398" w:rsidRDefault="00CA00A9" w:rsidP="003E4FBE">
      <w:pPr>
        <w:pStyle w:val="ListParagraph"/>
        <w:numPr>
          <w:ilvl w:val="0"/>
          <w:numId w:val="4"/>
        </w:numPr>
        <w:spacing w:before="120" w:after="120" w:line="240" w:lineRule="auto"/>
        <w:contextualSpacing w:val="0"/>
      </w:pPr>
      <w:r w:rsidRPr="004F0398">
        <w:t xml:space="preserve">The examiner will invite the parties to provide submissions and relevant supporting material to inform the examination. The examiner may also request additional information from the parties or seek meetings with the parties. </w:t>
      </w:r>
    </w:p>
    <w:p w14:paraId="4006C5D5" w14:textId="234D5451" w:rsidR="00CA00A9" w:rsidRPr="004F0398" w:rsidRDefault="00CA00A9" w:rsidP="003E4FBE">
      <w:pPr>
        <w:pStyle w:val="ListParagraph"/>
        <w:numPr>
          <w:ilvl w:val="0"/>
          <w:numId w:val="4"/>
        </w:numPr>
        <w:spacing w:before="120" w:after="120" w:line="240" w:lineRule="auto"/>
        <w:contextualSpacing w:val="0"/>
      </w:pPr>
      <w:r w:rsidRPr="004F0398">
        <w:t xml:space="preserve">The </w:t>
      </w:r>
      <w:r w:rsidRPr="00C91194">
        <w:t xml:space="preserve">examiner will review the initial assessment </w:t>
      </w:r>
      <w:r w:rsidR="00A954F1">
        <w:t xml:space="preserve">statement </w:t>
      </w:r>
      <w:r w:rsidRPr="00C91194">
        <w:t xml:space="preserve">and any further information received </w:t>
      </w:r>
      <w:r w:rsidR="00A954F1" w:rsidRPr="00C91194">
        <w:t xml:space="preserve">from the parties </w:t>
      </w:r>
      <w:r w:rsidR="00A954F1">
        <w:t>or other relevant sources</w:t>
      </w:r>
      <w:r w:rsidRPr="00C91194">
        <w:t>.</w:t>
      </w:r>
      <w:r w:rsidRPr="004F0398">
        <w:t xml:space="preserve"> </w:t>
      </w:r>
    </w:p>
    <w:p w14:paraId="5EE05983" w14:textId="019AC376" w:rsidR="00CA00A9" w:rsidRPr="004F0398" w:rsidRDefault="00CA00A9" w:rsidP="003E4FBE">
      <w:pPr>
        <w:pStyle w:val="ListParagraph"/>
        <w:numPr>
          <w:ilvl w:val="0"/>
          <w:numId w:val="4"/>
        </w:numPr>
        <w:spacing w:before="120" w:after="120" w:line="240" w:lineRule="auto"/>
        <w:contextualSpacing w:val="0"/>
      </w:pPr>
      <w:r w:rsidRPr="004F0398">
        <w:t>The examiner may seek out additional information and advice</w:t>
      </w:r>
      <w:r w:rsidR="00CF0596" w:rsidRPr="00CF0596">
        <w:t xml:space="preserve"> </w:t>
      </w:r>
      <w:r w:rsidR="00CF0596" w:rsidRPr="007C03AD">
        <w:t>to inform the examination</w:t>
      </w:r>
      <w:r w:rsidRPr="007C03AD">
        <w:t>,</w:t>
      </w:r>
      <w:r w:rsidRPr="004F0398">
        <w:t xml:space="preserve"> including from other stakeholders such as relevant government agencies, non-government organisations, diplomatic missions, other examiners, other NCPs, business associations and independent experts</w:t>
      </w:r>
      <w:r w:rsidR="007C03AD">
        <w:t>.</w:t>
      </w:r>
    </w:p>
    <w:p w14:paraId="7BDD2801" w14:textId="77777777" w:rsidR="00030346" w:rsidRDefault="00B03302" w:rsidP="00030346">
      <w:pPr>
        <w:pStyle w:val="ListParagraph"/>
        <w:numPr>
          <w:ilvl w:val="0"/>
          <w:numId w:val="4"/>
        </w:numPr>
        <w:spacing w:before="120" w:after="120" w:line="240" w:lineRule="auto"/>
        <w:contextualSpacing w:val="0"/>
      </w:pPr>
      <w:r>
        <w:t>In a final statement, t</w:t>
      </w:r>
      <w:r w:rsidR="00CA00A9" w:rsidRPr="004F0398">
        <w:t>he examiner will incorporate</w:t>
      </w:r>
      <w:r w:rsidR="00D9329E">
        <w:t xml:space="preserve">: </w:t>
      </w:r>
    </w:p>
    <w:p w14:paraId="624B002F" w14:textId="77777777" w:rsidR="00030346" w:rsidRDefault="00CA00A9" w:rsidP="00030346">
      <w:pPr>
        <w:pStyle w:val="ListParagraph"/>
        <w:numPr>
          <w:ilvl w:val="1"/>
          <w:numId w:val="4"/>
        </w:numPr>
        <w:spacing w:before="120" w:after="120" w:line="240" w:lineRule="auto"/>
        <w:contextualSpacing w:val="0"/>
      </w:pPr>
      <w:r w:rsidRPr="004F0398">
        <w:t xml:space="preserve">the </w:t>
      </w:r>
      <w:r w:rsidR="00095C28">
        <w:t xml:space="preserve">examination’s </w:t>
      </w:r>
      <w:r w:rsidRPr="004F0398">
        <w:t>results</w:t>
      </w:r>
    </w:p>
    <w:p w14:paraId="097EF95A" w14:textId="77777777" w:rsidR="00030346" w:rsidRDefault="002D29EE" w:rsidP="00030346">
      <w:pPr>
        <w:pStyle w:val="ListParagraph"/>
        <w:numPr>
          <w:ilvl w:val="1"/>
          <w:numId w:val="4"/>
        </w:numPr>
        <w:spacing w:before="120" w:after="120" w:line="240" w:lineRule="auto"/>
        <w:contextualSpacing w:val="0"/>
      </w:pPr>
      <w:r w:rsidRPr="007C03AD">
        <w:t xml:space="preserve">make </w:t>
      </w:r>
      <w:r w:rsidR="00571A96" w:rsidRPr="007C03AD">
        <w:t>recommendations</w:t>
      </w:r>
      <w:r w:rsidR="00E80825" w:rsidRPr="007C03AD">
        <w:t xml:space="preserve"> </w:t>
      </w:r>
      <w:r w:rsidR="00CA00A9" w:rsidRPr="007C03AD">
        <w:t>where appropriate</w:t>
      </w:r>
      <w:r w:rsidR="00C35DC6" w:rsidRPr="007C03AD">
        <w:t>,</w:t>
      </w:r>
      <w:r w:rsidR="00CA00A9" w:rsidRPr="007C03AD">
        <w:t xml:space="preserve"> and</w:t>
      </w:r>
    </w:p>
    <w:p w14:paraId="5FD6EE53" w14:textId="37170747" w:rsidR="00CA00A9" w:rsidRPr="004F0398" w:rsidRDefault="009039A9" w:rsidP="00030346">
      <w:pPr>
        <w:pStyle w:val="ListParagraph"/>
        <w:numPr>
          <w:ilvl w:val="1"/>
          <w:numId w:val="4"/>
        </w:numPr>
        <w:spacing w:before="120" w:after="120" w:line="240" w:lineRule="auto"/>
        <w:contextualSpacing w:val="0"/>
      </w:pPr>
      <w:r w:rsidRPr="007C03AD">
        <w:t>if necessary</w:t>
      </w:r>
      <w:r w:rsidR="00D9329E">
        <w:t>,</w:t>
      </w:r>
      <w:r w:rsidRPr="007C03AD" w:rsidDel="00C35DC6">
        <w:t xml:space="preserve"> </w:t>
      </w:r>
      <w:r w:rsidR="00CA00A9" w:rsidRPr="007C03AD">
        <w:t>provide</w:t>
      </w:r>
      <w:r w:rsidR="00C35DC6" w:rsidRPr="00030346">
        <w:rPr>
          <w:b/>
          <w:bCs/>
          <w:i/>
          <w:iCs/>
        </w:rPr>
        <w:t xml:space="preserve"> </w:t>
      </w:r>
      <w:r w:rsidR="00CA00A9" w:rsidRPr="004F0398">
        <w:t>an appropriate timeframe for follow</w:t>
      </w:r>
      <w:r w:rsidR="006D4441">
        <w:t>-</w:t>
      </w:r>
      <w:r w:rsidR="00CA00A9" w:rsidRPr="004F0398">
        <w:t>up</w:t>
      </w:r>
      <w:r w:rsidR="00B03302">
        <w:t>.</w:t>
      </w:r>
    </w:p>
    <w:p w14:paraId="5381CA08" w14:textId="45B6358F" w:rsidR="00CA00A9" w:rsidRPr="004F0398" w:rsidRDefault="00CA00A9" w:rsidP="002061D1">
      <w:pPr>
        <w:pStyle w:val="Heading1"/>
      </w:pPr>
      <w:bookmarkStart w:id="27" w:name="_Ref146104861"/>
      <w:bookmarkStart w:id="28" w:name="_Toc163213138"/>
      <w:r w:rsidRPr="008566C2">
        <w:t>Final statement</w:t>
      </w:r>
      <w:bookmarkEnd w:id="27"/>
      <w:bookmarkEnd w:id="28"/>
      <w:r w:rsidRPr="004F0398">
        <w:t xml:space="preserve"> </w:t>
      </w:r>
    </w:p>
    <w:p w14:paraId="3530739E" w14:textId="1572DD16" w:rsidR="00CA00A9" w:rsidRPr="004F0398" w:rsidRDefault="00CA00A9" w:rsidP="00980126">
      <w:pPr>
        <w:pStyle w:val="ListParagraph"/>
        <w:numPr>
          <w:ilvl w:val="0"/>
          <w:numId w:val="4"/>
        </w:numPr>
        <w:spacing w:before="120" w:after="120" w:line="240" w:lineRule="auto"/>
        <w:contextualSpacing w:val="0"/>
      </w:pPr>
      <w:r w:rsidRPr="004F0398">
        <w:t xml:space="preserve">At the conclusion of the complaint process AusNCP will </w:t>
      </w:r>
      <w:r w:rsidR="002974BA">
        <w:t>always</w:t>
      </w:r>
      <w:r w:rsidR="008836A1">
        <w:t xml:space="preserve"> </w:t>
      </w:r>
      <w:r w:rsidRPr="004F0398">
        <w:t>publish a final statement</w:t>
      </w:r>
      <w:r w:rsidR="00B46009">
        <w:t>.</w:t>
      </w:r>
      <w:r w:rsidRPr="004F0398">
        <w:t xml:space="preserve"> </w:t>
      </w:r>
    </w:p>
    <w:p w14:paraId="376453B2" w14:textId="77777777" w:rsidR="00030346" w:rsidRDefault="00CA00A9" w:rsidP="00030346">
      <w:pPr>
        <w:pStyle w:val="ListParagraph"/>
        <w:numPr>
          <w:ilvl w:val="0"/>
          <w:numId w:val="4"/>
        </w:numPr>
        <w:spacing w:before="120" w:after="120" w:line="240" w:lineRule="auto"/>
        <w:contextualSpacing w:val="0"/>
      </w:pPr>
      <w:r w:rsidRPr="004F0398">
        <w:t xml:space="preserve">At a minimum, the final statement will </w:t>
      </w:r>
      <w:r w:rsidR="00FF1083" w:rsidRPr="004F0398">
        <w:t xml:space="preserve">account </w:t>
      </w:r>
      <w:r w:rsidR="00E77341">
        <w:t>for</w:t>
      </w:r>
      <w:r w:rsidR="00BF1249">
        <w:t>:</w:t>
      </w:r>
    </w:p>
    <w:p w14:paraId="5560C2F8" w14:textId="77777777" w:rsidR="00030346" w:rsidRDefault="00FF1083" w:rsidP="00030346">
      <w:pPr>
        <w:pStyle w:val="ListParagraph"/>
        <w:numPr>
          <w:ilvl w:val="1"/>
          <w:numId w:val="4"/>
        </w:numPr>
        <w:spacing w:before="120" w:after="120" w:line="240" w:lineRule="auto"/>
        <w:contextualSpacing w:val="0"/>
      </w:pPr>
      <w:r w:rsidRPr="004F0398">
        <w:t>the need to protect sensitive business and other stakeholder information</w:t>
      </w:r>
      <w:r>
        <w:t xml:space="preserve"> </w:t>
      </w:r>
    </w:p>
    <w:p w14:paraId="382A996F" w14:textId="77777777" w:rsidR="00030346" w:rsidRDefault="00CA00A9" w:rsidP="00030346">
      <w:pPr>
        <w:pStyle w:val="ListParagraph"/>
        <w:numPr>
          <w:ilvl w:val="1"/>
          <w:numId w:val="4"/>
        </w:numPr>
        <w:spacing w:before="120" w:after="120" w:line="240" w:lineRule="auto"/>
        <w:contextualSpacing w:val="0"/>
      </w:pPr>
      <w:r w:rsidRPr="004F0398">
        <w:t>the parties’ respective positions as appropriate</w:t>
      </w:r>
    </w:p>
    <w:p w14:paraId="509D663B" w14:textId="77777777" w:rsidR="00030346" w:rsidRDefault="00CA00A9" w:rsidP="00030346">
      <w:pPr>
        <w:pStyle w:val="ListParagraph"/>
        <w:numPr>
          <w:ilvl w:val="1"/>
          <w:numId w:val="4"/>
        </w:numPr>
        <w:spacing w:before="120" w:after="120" w:line="240" w:lineRule="auto"/>
        <w:contextualSpacing w:val="0"/>
      </w:pPr>
      <w:r w:rsidRPr="004F0398">
        <w:t>the steps taken by AusNCP</w:t>
      </w:r>
    </w:p>
    <w:p w14:paraId="1487A5FB" w14:textId="5D819E29" w:rsidR="001B2350" w:rsidRPr="004F0398" w:rsidRDefault="00CA00A9" w:rsidP="00030346">
      <w:pPr>
        <w:pStyle w:val="ListParagraph"/>
        <w:numPr>
          <w:ilvl w:val="1"/>
          <w:numId w:val="4"/>
        </w:numPr>
        <w:spacing w:before="120" w:after="120" w:line="240" w:lineRule="auto"/>
        <w:contextualSpacing w:val="0"/>
      </w:pPr>
      <w:r w:rsidRPr="004F0398">
        <w:t>the parties’ engagement in the process</w:t>
      </w:r>
      <w:r w:rsidR="001B2350">
        <w:t xml:space="preserve">, and </w:t>
      </w:r>
      <w:r w:rsidR="001B2350" w:rsidRPr="004F0398">
        <w:t>will include the issues raised</w:t>
      </w:r>
      <w:r w:rsidR="001B2350">
        <w:t xml:space="preserve">. </w:t>
      </w:r>
    </w:p>
    <w:p w14:paraId="039AAF0B" w14:textId="741FA525" w:rsidR="00C176A6" w:rsidRPr="004F0398" w:rsidRDefault="00C176A6" w:rsidP="004D55F9">
      <w:pPr>
        <w:pStyle w:val="Bullet"/>
        <w:numPr>
          <w:ilvl w:val="0"/>
          <w:numId w:val="4"/>
        </w:numPr>
        <w:spacing w:after="160" w:line="259" w:lineRule="auto"/>
      </w:pPr>
      <w:r>
        <w:t xml:space="preserve">If </w:t>
      </w:r>
      <w:r w:rsidRPr="004F0398">
        <w:t>AusNCP does not accept a complaint at initial assessment</w:t>
      </w:r>
      <w:r>
        <w:t xml:space="preserve">, </w:t>
      </w:r>
      <w:r w:rsidRPr="004F0398">
        <w:t xml:space="preserve">the </w:t>
      </w:r>
      <w:r w:rsidR="003A0947">
        <w:t xml:space="preserve">final </w:t>
      </w:r>
      <w:r w:rsidR="00E44908">
        <w:t xml:space="preserve">statement </w:t>
      </w:r>
      <w:r w:rsidR="003A0947">
        <w:t xml:space="preserve">will </w:t>
      </w:r>
      <w:r w:rsidR="0051100B">
        <w:t>include</w:t>
      </w:r>
      <w:r w:rsidR="003A0947">
        <w:t xml:space="preserve"> the </w:t>
      </w:r>
      <w:r w:rsidRPr="004F0398">
        <w:t>initial assessment statement</w:t>
      </w:r>
      <w:r>
        <w:t xml:space="preserve"> </w:t>
      </w:r>
      <w:r w:rsidR="00EC19E6">
        <w:t xml:space="preserve">and </w:t>
      </w:r>
      <w:r>
        <w:t>the reasons why the complaint was not accepted.</w:t>
      </w:r>
    </w:p>
    <w:p w14:paraId="16DD0A1B" w14:textId="41837ABD" w:rsidR="0048583E" w:rsidRDefault="00CA00A9" w:rsidP="00024E27">
      <w:pPr>
        <w:pStyle w:val="Bullet"/>
        <w:numPr>
          <w:ilvl w:val="0"/>
          <w:numId w:val="4"/>
        </w:numPr>
        <w:spacing w:after="160" w:line="259" w:lineRule="auto"/>
      </w:pPr>
      <w:r w:rsidRPr="004F0398">
        <w:t xml:space="preserve">If agreement is reached by parties </w:t>
      </w:r>
      <w:r w:rsidR="003E207D">
        <w:t>during</w:t>
      </w:r>
      <w:r w:rsidR="003E207D" w:rsidRPr="004F0398">
        <w:t xml:space="preserve"> </w:t>
      </w:r>
      <w:r w:rsidR="000B5CDC">
        <w:t xml:space="preserve">an </w:t>
      </w:r>
      <w:r w:rsidR="004674CC">
        <w:t xml:space="preserve">AusNCP </w:t>
      </w:r>
      <w:r w:rsidRPr="007C03AD">
        <w:t>dispute resolution</w:t>
      </w:r>
      <w:r w:rsidRPr="004F0398">
        <w:t>, the final statement</w:t>
      </w:r>
      <w:r w:rsidR="0048583E">
        <w:t>:</w:t>
      </w:r>
      <w:r w:rsidRPr="004F0398">
        <w:t xml:space="preserve"> </w:t>
      </w:r>
    </w:p>
    <w:p w14:paraId="079531B8" w14:textId="3D2A8F48" w:rsidR="00FF1083" w:rsidRDefault="00CA00A9" w:rsidP="00024E27">
      <w:pPr>
        <w:pStyle w:val="Bullet"/>
        <w:numPr>
          <w:ilvl w:val="1"/>
          <w:numId w:val="4"/>
        </w:numPr>
        <w:spacing w:after="160" w:line="259" w:lineRule="auto"/>
        <w:ind w:left="792"/>
      </w:pPr>
      <w:r w:rsidRPr="004F0398">
        <w:t>will state</w:t>
      </w:r>
      <w:r w:rsidRPr="004F0398">
        <w:rPr>
          <w:lang w:val="en-GB"/>
        </w:rPr>
        <w:t xml:space="preserve"> when agreement was reached</w:t>
      </w:r>
      <w:r w:rsidR="00126462">
        <w:rPr>
          <w:lang w:val="en-GB"/>
        </w:rPr>
        <w:t xml:space="preserve"> and</w:t>
      </w:r>
      <w:r w:rsidR="0025746B">
        <w:rPr>
          <w:lang w:val="en-GB"/>
        </w:rPr>
        <w:t>,</w:t>
      </w:r>
      <w:r w:rsidR="00126462">
        <w:rPr>
          <w:lang w:val="en-GB"/>
        </w:rPr>
        <w:t xml:space="preserve"> </w:t>
      </w:r>
      <w:r w:rsidR="00A752A0">
        <w:rPr>
          <w:lang w:val="en-GB"/>
        </w:rPr>
        <w:t>if the part</w:t>
      </w:r>
      <w:r w:rsidR="0025746B">
        <w:rPr>
          <w:lang w:val="en-GB"/>
        </w:rPr>
        <w:t xml:space="preserve">ies consent, </w:t>
      </w:r>
      <w:r w:rsidR="00023DCC" w:rsidRPr="004F0398">
        <w:t>the results of the agreement</w:t>
      </w:r>
      <w:r w:rsidR="000B5CDC">
        <w:t>, and</w:t>
      </w:r>
    </w:p>
    <w:p w14:paraId="0FEEEB68" w14:textId="24C79619" w:rsidR="00CA00A9" w:rsidRPr="004F0398" w:rsidRDefault="00DD6861" w:rsidP="00024E27">
      <w:pPr>
        <w:pStyle w:val="Bullet"/>
        <w:numPr>
          <w:ilvl w:val="1"/>
          <w:numId w:val="4"/>
        </w:numPr>
        <w:spacing w:after="160" w:line="259" w:lineRule="auto"/>
        <w:ind w:left="792"/>
      </w:pPr>
      <w:r w:rsidRPr="002C0671">
        <w:t>may include recommendations on the implementation of the OECD Guidelines as appropriate (and if appropriate, a reasonable timeframe for follow</w:t>
      </w:r>
      <w:r w:rsidRPr="002C0671">
        <w:noBreakHyphen/>
        <w:t>up).</w:t>
      </w:r>
    </w:p>
    <w:p w14:paraId="3E66A2A5" w14:textId="049D7E37" w:rsidR="004E3D6C" w:rsidRPr="0054119F" w:rsidRDefault="00FE037B" w:rsidP="00024E27">
      <w:pPr>
        <w:pStyle w:val="Bullet"/>
        <w:numPr>
          <w:ilvl w:val="0"/>
          <w:numId w:val="4"/>
        </w:numPr>
        <w:spacing w:after="160" w:line="259" w:lineRule="auto"/>
      </w:pPr>
      <w:r w:rsidRPr="0054119F">
        <w:t>Where an examination has been conducted, the final statement</w:t>
      </w:r>
      <w:r w:rsidR="004E3D6C" w:rsidRPr="0054119F">
        <w:t>:</w:t>
      </w:r>
      <w:r w:rsidRPr="0054119F">
        <w:t xml:space="preserve"> </w:t>
      </w:r>
    </w:p>
    <w:p w14:paraId="315948D2" w14:textId="17D607DD" w:rsidR="004E3D6C" w:rsidRPr="0054119F" w:rsidRDefault="00CA00A9" w:rsidP="00024E27">
      <w:pPr>
        <w:pStyle w:val="Bullet"/>
        <w:numPr>
          <w:ilvl w:val="1"/>
          <w:numId w:val="4"/>
        </w:numPr>
        <w:spacing w:after="160" w:line="259" w:lineRule="auto"/>
        <w:ind w:left="792"/>
      </w:pPr>
      <w:r w:rsidRPr="0054119F">
        <w:lastRenderedPageBreak/>
        <w:t xml:space="preserve">will include </w:t>
      </w:r>
      <w:r w:rsidRPr="0054119F">
        <w:rPr>
          <w:lang w:val="en-GB"/>
        </w:rPr>
        <w:t>the reasons why the examination</w:t>
      </w:r>
      <w:r w:rsidR="003D15F6" w:rsidRPr="0054119F">
        <w:rPr>
          <w:lang w:val="en-GB"/>
        </w:rPr>
        <w:t xml:space="preserve"> was warranted</w:t>
      </w:r>
    </w:p>
    <w:p w14:paraId="09FA67F0" w14:textId="46D6E902" w:rsidR="00F42335" w:rsidRPr="0054119F" w:rsidRDefault="00F42335" w:rsidP="00024E27">
      <w:pPr>
        <w:pStyle w:val="Bullet"/>
        <w:numPr>
          <w:ilvl w:val="1"/>
          <w:numId w:val="4"/>
        </w:numPr>
        <w:spacing w:after="160" w:line="259" w:lineRule="auto"/>
        <w:ind w:left="792"/>
      </w:pPr>
      <w:r w:rsidRPr="0054119F">
        <w:t>where relevant, should also include recommendations on the implementation of the OECD Guidelines, and if appropriate, a reasonable timeframe for follow</w:t>
      </w:r>
      <w:r w:rsidRPr="0054119F">
        <w:noBreakHyphen/>
        <w:t>up</w:t>
      </w:r>
    </w:p>
    <w:p w14:paraId="3ADC3267" w14:textId="08F86768" w:rsidR="00F42335" w:rsidRPr="0054119F" w:rsidRDefault="00F42335" w:rsidP="00024E27">
      <w:pPr>
        <w:pStyle w:val="Bullet"/>
        <w:numPr>
          <w:ilvl w:val="1"/>
          <w:numId w:val="4"/>
        </w:numPr>
        <w:spacing w:after="160" w:line="259" w:lineRule="auto"/>
        <w:ind w:left="792"/>
      </w:pPr>
      <w:r w:rsidRPr="0054119F">
        <w:rPr>
          <w:lang w:val="en-GB"/>
        </w:rPr>
        <w:t>may include the reasons why an agreement could not be reached</w:t>
      </w:r>
      <w:r w:rsidR="000B5CDC">
        <w:rPr>
          <w:lang w:val="en-GB"/>
        </w:rPr>
        <w:t>, and</w:t>
      </w:r>
    </w:p>
    <w:p w14:paraId="4EC2E20E" w14:textId="3CA3A426" w:rsidR="001A6822" w:rsidRPr="0054119F" w:rsidRDefault="00F8021C" w:rsidP="00C23E06">
      <w:pPr>
        <w:pStyle w:val="ListParagraph"/>
        <w:numPr>
          <w:ilvl w:val="1"/>
          <w:numId w:val="4"/>
        </w:numPr>
        <w:spacing w:before="120" w:after="120" w:line="240" w:lineRule="auto"/>
        <w:ind w:left="792"/>
        <w:contextualSpacing w:val="0"/>
      </w:pPr>
      <w:r w:rsidRPr="0054119F">
        <w:rPr>
          <w:lang w:val="en-GB"/>
        </w:rPr>
        <w:t>may include</w:t>
      </w:r>
      <w:r w:rsidR="005E181E" w:rsidRPr="0054119F">
        <w:rPr>
          <w:lang w:val="en-GB"/>
        </w:rPr>
        <w:t xml:space="preserve"> </w:t>
      </w:r>
      <w:r w:rsidR="00EB40AD" w:rsidRPr="0054119F">
        <w:rPr>
          <w:lang w:val="en-GB"/>
        </w:rPr>
        <w:t>the examiner’s views on whether the enterprise observed the OECD Guidelines</w:t>
      </w:r>
      <w:r w:rsidR="007F4F1C" w:rsidRPr="0054119F">
        <w:rPr>
          <w:lang w:val="en-GB"/>
        </w:rPr>
        <w:t xml:space="preserve"> and </w:t>
      </w:r>
      <w:r w:rsidR="00EB40AD" w:rsidRPr="0054119F">
        <w:rPr>
          <w:lang w:val="en-GB"/>
        </w:rPr>
        <w:t>whether the parties engaged in good faith throughout the process.</w:t>
      </w:r>
    </w:p>
    <w:p w14:paraId="4D10F61E" w14:textId="4AEBC1DA" w:rsidR="007241D7" w:rsidRPr="0054119F" w:rsidRDefault="00EB40AD" w:rsidP="00C23E06">
      <w:pPr>
        <w:pStyle w:val="ListParagraph"/>
        <w:numPr>
          <w:ilvl w:val="0"/>
          <w:numId w:val="4"/>
        </w:numPr>
        <w:spacing w:before="120" w:after="120" w:line="240" w:lineRule="auto"/>
        <w:contextualSpacing w:val="0"/>
      </w:pPr>
      <w:bookmarkStart w:id="29" w:name="_Ref162441523"/>
      <w:r w:rsidRPr="0054119F">
        <w:rPr>
          <w:lang w:val="en-GB"/>
        </w:rPr>
        <w:t xml:space="preserve">Where appropriate, the final statement </w:t>
      </w:r>
      <w:r w:rsidR="007241D7" w:rsidRPr="0054119F">
        <w:t xml:space="preserve">may inform </w:t>
      </w:r>
      <w:r w:rsidR="0058355E" w:rsidRPr="0054119F">
        <w:t>other government agencies</w:t>
      </w:r>
      <w:r w:rsidR="007241D7" w:rsidRPr="0054119F">
        <w:t xml:space="preserve"> about matters in the final statement relevant to the</w:t>
      </w:r>
      <w:r w:rsidR="0058355E" w:rsidRPr="0054119F">
        <w:t>ir responsibilities, including instances of inappropriate conduct</w:t>
      </w:r>
      <w:r w:rsidR="007241D7" w:rsidRPr="0054119F">
        <w:t>.</w:t>
      </w:r>
      <w:bookmarkEnd w:id="29"/>
    </w:p>
    <w:p w14:paraId="2BEFE080" w14:textId="77777777" w:rsidR="00683C12" w:rsidRDefault="00CA00A9" w:rsidP="00683C12">
      <w:pPr>
        <w:pStyle w:val="Bullet"/>
        <w:numPr>
          <w:ilvl w:val="0"/>
          <w:numId w:val="4"/>
        </w:numPr>
        <w:tabs>
          <w:tab w:val="left" w:pos="720"/>
        </w:tabs>
        <w:spacing w:before="120" w:after="120" w:line="276" w:lineRule="auto"/>
      </w:pPr>
      <w:r w:rsidRPr="004F0398">
        <w:t>To prepare a final statement,</w:t>
      </w:r>
      <w:r w:rsidR="009A6B6A">
        <w:t xml:space="preserve"> </w:t>
      </w:r>
      <w:r w:rsidR="00193E7A">
        <w:t>in addition to reviewing materials provided by the parties,</w:t>
      </w:r>
      <w:r w:rsidRPr="004F0398">
        <w:t xml:space="preserve"> the examiner may seek out</w:t>
      </w:r>
      <w:r w:rsidR="00A124BB">
        <w:t xml:space="preserve">: </w:t>
      </w:r>
    </w:p>
    <w:p w14:paraId="42419421" w14:textId="77777777" w:rsidR="00683C12" w:rsidRDefault="00CA00A9" w:rsidP="00683C12">
      <w:pPr>
        <w:pStyle w:val="Bullet"/>
        <w:numPr>
          <w:ilvl w:val="1"/>
          <w:numId w:val="4"/>
        </w:numPr>
        <w:tabs>
          <w:tab w:val="left" w:pos="720"/>
        </w:tabs>
        <w:spacing w:before="120" w:after="120" w:line="276" w:lineRule="auto"/>
      </w:pPr>
      <w:r w:rsidRPr="004F0398">
        <w:t>publicly available information</w:t>
      </w:r>
    </w:p>
    <w:p w14:paraId="07C1E55B" w14:textId="77777777" w:rsidR="00683C12" w:rsidRDefault="007C03AD" w:rsidP="00683C12">
      <w:pPr>
        <w:pStyle w:val="Bullet"/>
        <w:numPr>
          <w:ilvl w:val="1"/>
          <w:numId w:val="4"/>
        </w:numPr>
        <w:tabs>
          <w:tab w:val="left" w:pos="720"/>
        </w:tabs>
        <w:spacing w:before="120" w:after="120" w:line="276" w:lineRule="auto"/>
      </w:pPr>
      <w:r>
        <w:t xml:space="preserve"> </w:t>
      </w:r>
      <w:r w:rsidR="00CA00A9" w:rsidRPr="004F0398">
        <w:t xml:space="preserve">information gathered through the </w:t>
      </w:r>
      <w:r w:rsidR="00CA00A9" w:rsidRPr="007C03AD">
        <w:t>dispute resolution</w:t>
      </w:r>
      <w:r w:rsidR="00CA00A9" w:rsidRPr="00683C12">
        <w:rPr>
          <w:b/>
          <w:bCs/>
          <w:i/>
          <w:iCs/>
        </w:rPr>
        <w:t xml:space="preserve"> </w:t>
      </w:r>
      <w:r w:rsidR="00CA00A9" w:rsidRPr="004F0398">
        <w:t xml:space="preserve">phase </w:t>
      </w:r>
      <w:r w:rsidR="00434264">
        <w:t>(</w:t>
      </w:r>
      <w:r w:rsidR="00CA00A9" w:rsidRPr="004F0398">
        <w:t>if the parties consent</w:t>
      </w:r>
      <w:r w:rsidR="00434264">
        <w:t xml:space="preserve">), </w:t>
      </w:r>
    </w:p>
    <w:p w14:paraId="6B7D88F1" w14:textId="3432465B" w:rsidR="00B22E70" w:rsidRDefault="00F07256" w:rsidP="00683C12">
      <w:pPr>
        <w:pStyle w:val="Bullet"/>
        <w:numPr>
          <w:ilvl w:val="1"/>
          <w:numId w:val="4"/>
        </w:numPr>
        <w:tabs>
          <w:tab w:val="left" w:pos="720"/>
        </w:tabs>
        <w:spacing w:before="120" w:after="120" w:line="276" w:lineRule="auto"/>
      </w:pPr>
      <w:r>
        <w:t>and</w:t>
      </w:r>
      <w:r w:rsidR="00CA00A9" w:rsidRPr="004F0398">
        <w:t xml:space="preserve"> information gathered during an examination. </w:t>
      </w:r>
    </w:p>
    <w:p w14:paraId="56CEF8F7" w14:textId="49090417" w:rsidR="00F138AF" w:rsidRPr="003C0CE5" w:rsidRDefault="00F138AF" w:rsidP="00F138AF">
      <w:pPr>
        <w:pStyle w:val="Bullet"/>
        <w:numPr>
          <w:ilvl w:val="0"/>
          <w:numId w:val="4"/>
        </w:numPr>
        <w:tabs>
          <w:tab w:val="left" w:pos="720"/>
        </w:tabs>
        <w:spacing w:before="120" w:after="120" w:line="276" w:lineRule="auto"/>
      </w:pPr>
      <w:r w:rsidRPr="003C0CE5">
        <w:t xml:space="preserve">To prepare a final statement, information and advice may also be sought as needed from other stakeholders and sources including the Board, other NCPs, the </w:t>
      </w:r>
      <w:hyperlink w:anchor="OECDR" w:history="1">
        <w:r w:rsidRPr="003C0CE5">
          <w:rPr>
            <w:rStyle w:val="Hyperlink"/>
          </w:rPr>
          <w:t xml:space="preserve">OECD </w:t>
        </w:r>
        <w:bookmarkStart w:id="30" w:name="_Hlk146022197"/>
        <w:r w:rsidRPr="003C0CE5">
          <w:rPr>
            <w:rStyle w:val="Hyperlink"/>
          </w:rPr>
          <w:t>Responsible Business Conduct Centre</w:t>
        </w:r>
      </w:hyperlink>
      <w:r w:rsidRPr="003C0CE5">
        <w:t xml:space="preserve"> </w:t>
      </w:r>
      <w:bookmarkEnd w:id="30"/>
      <w:r w:rsidRPr="003C0CE5">
        <w:t>or other subject-matter experts.</w:t>
      </w:r>
    </w:p>
    <w:p w14:paraId="6FD6F793" w14:textId="61D38D44" w:rsidR="00CA00A9" w:rsidRPr="004F0398" w:rsidRDefault="00CA00A9" w:rsidP="003C0CE5">
      <w:pPr>
        <w:pStyle w:val="ListParagraph"/>
        <w:numPr>
          <w:ilvl w:val="0"/>
          <w:numId w:val="4"/>
        </w:numPr>
        <w:spacing w:before="120" w:after="120" w:line="240" w:lineRule="auto"/>
        <w:contextualSpacing w:val="0"/>
      </w:pPr>
      <w:r w:rsidRPr="004F0398">
        <w:t xml:space="preserve">Each party will be given an opportunity to respond to any information that may be </w:t>
      </w:r>
      <w:proofErr w:type="gramStart"/>
      <w:r w:rsidRPr="004F0398">
        <w:t>taken into account</w:t>
      </w:r>
      <w:proofErr w:type="gramEnd"/>
      <w:r w:rsidRPr="004F0398">
        <w:t xml:space="preserve"> by the examiner in the formulation of views or recommendations for the final statement. </w:t>
      </w:r>
      <w:r w:rsidRPr="004F0398">
        <w:tab/>
      </w:r>
    </w:p>
    <w:p w14:paraId="4152B793" w14:textId="35273F65" w:rsidR="00CA00A9" w:rsidRPr="00793BD0" w:rsidRDefault="00CA00A9" w:rsidP="006D45E5">
      <w:pPr>
        <w:pStyle w:val="ListParagraph"/>
        <w:numPr>
          <w:ilvl w:val="0"/>
          <w:numId w:val="4"/>
        </w:numPr>
        <w:spacing w:before="120" w:after="120" w:line="240" w:lineRule="auto"/>
        <w:contextualSpacing w:val="0"/>
      </w:pPr>
      <w:r w:rsidRPr="00793BD0">
        <w:t xml:space="preserve">The </w:t>
      </w:r>
      <w:r w:rsidR="00D06E5D" w:rsidRPr="0023022E">
        <w:t>AusNCP</w:t>
      </w:r>
      <w:r w:rsidR="00D06E5D" w:rsidRPr="00793BD0">
        <w:t xml:space="preserve"> </w:t>
      </w:r>
      <w:r w:rsidRPr="00793BD0">
        <w:t xml:space="preserve">may initiate or resume the </w:t>
      </w:r>
      <w:r w:rsidRPr="007C03AD">
        <w:t>dispute resolution</w:t>
      </w:r>
      <w:r w:rsidRPr="00793BD0">
        <w:t xml:space="preserve"> process at any point during the drafting of a final statement if it is considered useful and is agreed by the parties.</w:t>
      </w:r>
    </w:p>
    <w:p w14:paraId="1D596336" w14:textId="2A4D2417" w:rsidR="00CA00A9" w:rsidRPr="004F0398" w:rsidRDefault="00CA00A9" w:rsidP="006D45E5">
      <w:pPr>
        <w:pStyle w:val="ListParagraph"/>
        <w:numPr>
          <w:ilvl w:val="0"/>
          <w:numId w:val="4"/>
        </w:numPr>
        <w:spacing w:before="120" w:after="120" w:line="240" w:lineRule="auto"/>
        <w:contextualSpacing w:val="0"/>
      </w:pPr>
      <w:r w:rsidRPr="004F0398">
        <w:t xml:space="preserve">Once the examiner has prepared their final statement, the Board will be provided with a draft for review and advice. Where necessary and appropriate, Board members may request additional information </w:t>
      </w:r>
      <w:r w:rsidRPr="00D06E5D">
        <w:t xml:space="preserve">over a reasonable </w:t>
      </w:r>
      <w:proofErr w:type="gramStart"/>
      <w:r w:rsidRPr="00D06E5D">
        <w:t>time period</w:t>
      </w:r>
      <w:proofErr w:type="gramEnd"/>
      <w:r w:rsidRPr="004F0398">
        <w:t xml:space="preserve"> to inform their review of the final statement. The examiner is not required to make changes in response to the views of the Board but may do so at their discretion.</w:t>
      </w:r>
    </w:p>
    <w:p w14:paraId="093FDC2C" w14:textId="77777777" w:rsidR="00CA00A9" w:rsidRPr="004F0398" w:rsidRDefault="00CA00A9" w:rsidP="006D45E5">
      <w:pPr>
        <w:pStyle w:val="ListParagraph"/>
        <w:numPr>
          <w:ilvl w:val="0"/>
          <w:numId w:val="4"/>
        </w:numPr>
        <w:spacing w:before="120" w:after="120" w:line="240" w:lineRule="auto"/>
        <w:contextualSpacing w:val="0"/>
      </w:pPr>
      <w:r w:rsidRPr="004F0398">
        <w:t>A draft final statement will then be provided to both parties for comment. The examiner may make changes at their discretion.</w:t>
      </w:r>
    </w:p>
    <w:p w14:paraId="3478DE2E" w14:textId="77777777" w:rsidR="00232691" w:rsidRPr="00232691" w:rsidRDefault="00CA00A9" w:rsidP="00232691">
      <w:pPr>
        <w:pStyle w:val="ListParagraph"/>
        <w:numPr>
          <w:ilvl w:val="0"/>
          <w:numId w:val="4"/>
        </w:numPr>
        <w:spacing w:before="120" w:after="120" w:line="240" w:lineRule="auto"/>
        <w:contextualSpacing w:val="0"/>
        <w:rPr>
          <w:lang w:val="en-GB"/>
        </w:rPr>
      </w:pPr>
      <w:r w:rsidRPr="004F0398">
        <w:t>The completed final statement will be</w:t>
      </w:r>
      <w:r w:rsidR="00B22E70">
        <w:t>:</w:t>
      </w:r>
    </w:p>
    <w:p w14:paraId="7EE81195" w14:textId="77777777" w:rsidR="00232691" w:rsidRPr="00232691" w:rsidRDefault="003F5D19" w:rsidP="00232691">
      <w:pPr>
        <w:pStyle w:val="ListParagraph"/>
        <w:numPr>
          <w:ilvl w:val="1"/>
          <w:numId w:val="4"/>
        </w:numPr>
        <w:spacing w:before="120" w:after="120" w:line="240" w:lineRule="auto"/>
        <w:contextualSpacing w:val="0"/>
        <w:rPr>
          <w:lang w:val="en-GB"/>
        </w:rPr>
      </w:pPr>
      <w:r>
        <w:t>p</w:t>
      </w:r>
      <w:r w:rsidR="00CA00A9" w:rsidRPr="004F0398">
        <w:t>rovided to parties and the Board</w:t>
      </w:r>
    </w:p>
    <w:p w14:paraId="39D83305" w14:textId="77777777" w:rsidR="000B6E89" w:rsidRPr="000B6E89" w:rsidRDefault="003F5D19" w:rsidP="000B6E89">
      <w:pPr>
        <w:pStyle w:val="ListParagraph"/>
        <w:numPr>
          <w:ilvl w:val="1"/>
          <w:numId w:val="4"/>
        </w:numPr>
        <w:spacing w:before="120" w:after="120" w:line="240" w:lineRule="auto"/>
        <w:contextualSpacing w:val="0"/>
        <w:rPr>
          <w:lang w:val="en-GB"/>
        </w:rPr>
      </w:pPr>
      <w:r>
        <w:t>p</w:t>
      </w:r>
      <w:r w:rsidR="00CA00A9" w:rsidRPr="004F0398">
        <w:t>ublished on the AusNCP website,</w:t>
      </w:r>
      <w:r w:rsidR="00672A66">
        <w:t xml:space="preserve"> and</w:t>
      </w:r>
    </w:p>
    <w:p w14:paraId="737891C5" w14:textId="0984770F" w:rsidR="008D4C16" w:rsidRPr="002C4EA8" w:rsidRDefault="003F5D19" w:rsidP="000B6E89">
      <w:pPr>
        <w:pStyle w:val="ListParagraph"/>
        <w:numPr>
          <w:ilvl w:val="1"/>
          <w:numId w:val="4"/>
        </w:numPr>
        <w:spacing w:before="120" w:after="120" w:line="240" w:lineRule="auto"/>
        <w:contextualSpacing w:val="0"/>
        <w:rPr>
          <w:lang w:val="en-GB"/>
        </w:rPr>
      </w:pPr>
      <w:r>
        <w:t>r</w:t>
      </w:r>
      <w:r w:rsidR="00CA00A9" w:rsidRPr="004F0398">
        <w:t xml:space="preserve">eported to the OECD, and provided to relevant Australian government agencies and NCPs. </w:t>
      </w:r>
    </w:p>
    <w:p w14:paraId="71EE3762" w14:textId="18A0FF8D" w:rsidR="00CA00A9" w:rsidRPr="002C4EA8" w:rsidRDefault="00CA00A9" w:rsidP="002C4EA8">
      <w:pPr>
        <w:pStyle w:val="ListParagraph"/>
        <w:numPr>
          <w:ilvl w:val="0"/>
          <w:numId w:val="4"/>
        </w:numPr>
        <w:spacing w:before="120" w:after="120" w:line="240" w:lineRule="auto"/>
        <w:contextualSpacing w:val="0"/>
        <w:rPr>
          <w:lang w:val="en-GB"/>
        </w:rPr>
      </w:pPr>
      <w:r w:rsidRPr="00054F1C">
        <w:t>Where</w:t>
      </w:r>
      <w:r w:rsidRPr="004F0398">
        <w:t xml:space="preserve"> recommendations affect bodies other than the parties, the statement will be provided to these bodies. The examiner has discretion to accommodate any reasonable requests, including from the Board, in relation to sensitivities around publication content or timing.</w:t>
      </w:r>
    </w:p>
    <w:p w14:paraId="5ACF9BAB" w14:textId="5938B608" w:rsidR="00CA00A9" w:rsidRPr="004F0398" w:rsidRDefault="00BB642C" w:rsidP="002061D1">
      <w:pPr>
        <w:pStyle w:val="Heading1"/>
        <w:rPr>
          <w:lang w:val="en-GB"/>
        </w:rPr>
      </w:pPr>
      <w:bookmarkStart w:id="31" w:name="_Toc163213139"/>
      <w:r w:rsidRPr="00D06E5D">
        <w:rPr>
          <w:lang w:val="en-GB"/>
        </w:rPr>
        <w:lastRenderedPageBreak/>
        <w:t>Complaint</w:t>
      </w:r>
      <w:r w:rsidR="00CA00A9" w:rsidRPr="004F0398">
        <w:rPr>
          <w:lang w:val="en-GB"/>
        </w:rPr>
        <w:t xml:space="preserve"> follow-up</w:t>
      </w:r>
      <w:bookmarkEnd w:id="31"/>
      <w:r w:rsidR="00CA00A9" w:rsidRPr="004F0398">
        <w:rPr>
          <w:lang w:val="en-GB"/>
        </w:rPr>
        <w:t xml:space="preserve"> </w:t>
      </w:r>
    </w:p>
    <w:p w14:paraId="6993CCB4" w14:textId="438444BD" w:rsidR="00CA00A9" w:rsidRPr="004F0398" w:rsidRDefault="00CA00A9" w:rsidP="006F379A">
      <w:pPr>
        <w:pStyle w:val="ListParagraph"/>
        <w:numPr>
          <w:ilvl w:val="0"/>
          <w:numId w:val="4"/>
        </w:numPr>
        <w:spacing w:before="120" w:after="120" w:line="240" w:lineRule="auto"/>
        <w:contextualSpacing w:val="0"/>
      </w:pPr>
      <w:r w:rsidRPr="004F0398">
        <w:t xml:space="preserve">The examiner preparing a final statement will specify a timeframe for a follow-up on the </w:t>
      </w:r>
      <w:r w:rsidR="00BB642C">
        <w:t>complaint</w:t>
      </w:r>
      <w:r w:rsidRPr="004F0398">
        <w:t xml:space="preserve">, provided this is appropriate in the context of the issues involved. The objective of any follow-up process will be to examine the extent to which </w:t>
      </w:r>
      <w:r w:rsidRPr="00B91939">
        <w:t>the recommendations in the final statement have been implemented</w:t>
      </w:r>
      <w:r w:rsidRPr="004F0398">
        <w:t xml:space="preserve"> and whether any further engagement from AusNCP is warranted, including where appropriate</w:t>
      </w:r>
      <w:r w:rsidR="00133097">
        <w:t>,</w:t>
      </w:r>
      <w:r w:rsidRPr="004F0398">
        <w:t xml:space="preserve"> an offer of </w:t>
      </w:r>
      <w:r w:rsidRPr="00D06E5D">
        <w:t>dispute resolution</w:t>
      </w:r>
      <w:r w:rsidR="00D06E5D">
        <w:t>.</w:t>
      </w:r>
      <w:r w:rsidRPr="004F0398">
        <w:t xml:space="preserve"> </w:t>
      </w:r>
    </w:p>
    <w:p w14:paraId="7D38BDB6" w14:textId="77777777" w:rsidR="00E904CD" w:rsidRPr="00054F1C" w:rsidRDefault="00CA00A9" w:rsidP="00E904CD">
      <w:pPr>
        <w:pStyle w:val="ListParagraph"/>
        <w:numPr>
          <w:ilvl w:val="0"/>
          <w:numId w:val="4"/>
        </w:numPr>
        <w:spacing w:before="120" w:after="120" w:line="240" w:lineRule="auto"/>
        <w:contextualSpacing w:val="0"/>
        <w:rPr>
          <w:rFonts w:cstheme="minorHAnsi"/>
        </w:rPr>
      </w:pPr>
      <w:r w:rsidRPr="00054F1C">
        <w:t>In these cases,</w:t>
      </w:r>
      <w:r w:rsidRPr="00054F1C">
        <w:rPr>
          <w:b/>
          <w:bCs/>
          <w:i/>
          <w:iCs/>
        </w:rPr>
        <w:t xml:space="preserve"> </w:t>
      </w:r>
      <w:r w:rsidRPr="00054F1C">
        <w:t>the</w:t>
      </w:r>
      <w:r w:rsidRPr="00054F1C">
        <w:rPr>
          <w:b/>
          <w:bCs/>
          <w:i/>
          <w:iCs/>
        </w:rPr>
        <w:t xml:space="preserve"> </w:t>
      </w:r>
      <w:r w:rsidRPr="00054F1C">
        <w:t>secretariat will decide on the allocation of an examiner for the follow</w:t>
      </w:r>
      <w:r w:rsidRPr="00054F1C">
        <w:noBreakHyphen/>
        <w:t xml:space="preserve">up process, </w:t>
      </w:r>
      <w:proofErr w:type="gramStart"/>
      <w:r w:rsidRPr="00054F1C">
        <w:t>taking into account</w:t>
      </w:r>
      <w:proofErr w:type="gramEnd"/>
      <w:r w:rsidRPr="00054F1C">
        <w:t xml:space="preserve"> the examiner’</w:t>
      </w:r>
      <w:r w:rsidR="00E8410E" w:rsidRPr="00054F1C">
        <w:t xml:space="preserve">s: </w:t>
      </w:r>
    </w:p>
    <w:p w14:paraId="21B25454" w14:textId="4C1AEEF2" w:rsidR="00E904CD" w:rsidRPr="00054F1C" w:rsidRDefault="00E904CD" w:rsidP="00E904CD">
      <w:pPr>
        <w:pStyle w:val="ListParagraph"/>
        <w:numPr>
          <w:ilvl w:val="1"/>
          <w:numId w:val="4"/>
        </w:numPr>
        <w:spacing w:before="120" w:after="120" w:line="240" w:lineRule="auto"/>
        <w:contextualSpacing w:val="0"/>
        <w:rPr>
          <w:rFonts w:cstheme="minorHAnsi"/>
        </w:rPr>
      </w:pPr>
      <w:r w:rsidRPr="00054F1C">
        <w:t>a</w:t>
      </w:r>
      <w:r w:rsidR="00CA00A9" w:rsidRPr="00054F1C">
        <w:t>vailability</w:t>
      </w:r>
    </w:p>
    <w:p w14:paraId="6C390F45" w14:textId="77777777" w:rsidR="00E904CD" w:rsidRPr="00054F1C" w:rsidRDefault="002A7B8E" w:rsidP="00E904CD">
      <w:pPr>
        <w:pStyle w:val="ListParagraph"/>
        <w:numPr>
          <w:ilvl w:val="1"/>
          <w:numId w:val="4"/>
        </w:numPr>
        <w:spacing w:before="120" w:after="120" w:line="240" w:lineRule="auto"/>
        <w:contextualSpacing w:val="0"/>
        <w:rPr>
          <w:rFonts w:cstheme="minorHAnsi"/>
        </w:rPr>
      </w:pPr>
      <w:r w:rsidRPr="00054F1C">
        <w:t>e</w:t>
      </w:r>
      <w:r w:rsidR="00CA00A9" w:rsidRPr="00054F1C">
        <w:t>xpertise</w:t>
      </w:r>
    </w:p>
    <w:p w14:paraId="0E57DF85" w14:textId="77777777" w:rsidR="00E904CD" w:rsidRPr="00054F1C" w:rsidRDefault="002A7B8E" w:rsidP="00E904CD">
      <w:pPr>
        <w:pStyle w:val="ListParagraph"/>
        <w:numPr>
          <w:ilvl w:val="1"/>
          <w:numId w:val="4"/>
        </w:numPr>
        <w:spacing w:before="120" w:after="120" w:line="240" w:lineRule="auto"/>
        <w:contextualSpacing w:val="0"/>
        <w:rPr>
          <w:rFonts w:cstheme="minorHAnsi"/>
        </w:rPr>
      </w:pPr>
      <w:r w:rsidRPr="00054F1C">
        <w:t>a</w:t>
      </w:r>
      <w:r w:rsidR="00CA00A9" w:rsidRPr="00054F1C">
        <w:t>ny actual, perceived or potential conflicts</w:t>
      </w:r>
      <w:r w:rsidR="00E8410E" w:rsidRPr="00054F1C">
        <w:t>-</w:t>
      </w:r>
      <w:r w:rsidR="00CA00A9" w:rsidRPr="00054F1C">
        <w:t>of</w:t>
      </w:r>
      <w:r w:rsidR="00E8410E" w:rsidRPr="00054F1C">
        <w:t>-</w:t>
      </w:r>
      <w:r w:rsidR="00CA00A9" w:rsidRPr="00054F1C">
        <w:t>interest and</w:t>
      </w:r>
      <w:r w:rsidR="00E8410E" w:rsidRPr="00054F1C">
        <w:t>,</w:t>
      </w:r>
    </w:p>
    <w:p w14:paraId="3C237DA9" w14:textId="77777777" w:rsidR="00F91A7E" w:rsidRPr="00054F1C" w:rsidRDefault="002A7B8E" w:rsidP="00F91A7E">
      <w:pPr>
        <w:pStyle w:val="ListParagraph"/>
        <w:numPr>
          <w:ilvl w:val="1"/>
          <w:numId w:val="4"/>
        </w:numPr>
        <w:spacing w:before="120" w:after="120" w:line="240" w:lineRule="auto"/>
        <w:contextualSpacing w:val="0"/>
        <w:rPr>
          <w:rFonts w:cstheme="minorHAnsi"/>
        </w:rPr>
      </w:pPr>
      <w:r w:rsidRPr="00054F1C">
        <w:t>a</w:t>
      </w:r>
      <w:r w:rsidR="00CA00A9" w:rsidRPr="00054F1C">
        <w:t xml:space="preserve">ny other relevant factors. </w:t>
      </w:r>
    </w:p>
    <w:p w14:paraId="66211092" w14:textId="5CB8E484" w:rsidR="00CA00A9" w:rsidRPr="00054F1C" w:rsidRDefault="00CA00A9" w:rsidP="00F91A7E">
      <w:pPr>
        <w:pStyle w:val="ListParagraph"/>
        <w:numPr>
          <w:ilvl w:val="0"/>
          <w:numId w:val="4"/>
        </w:numPr>
        <w:spacing w:before="120" w:after="120" w:line="240" w:lineRule="auto"/>
        <w:contextualSpacing w:val="0"/>
        <w:rPr>
          <w:rFonts w:cstheme="minorHAnsi"/>
        </w:rPr>
      </w:pPr>
      <w:r w:rsidRPr="00054F1C">
        <w:t xml:space="preserve">The examiner will then request an update </w:t>
      </w:r>
      <w:r w:rsidRPr="00054F1C">
        <w:rPr>
          <w:rFonts w:cstheme="minorHAnsi"/>
        </w:rPr>
        <w:t xml:space="preserve">from both parties on developments since the completion of the final statement. The examiner may also conduct independent inquiries and </w:t>
      </w:r>
      <w:r w:rsidR="00226FE4" w:rsidRPr="00054F1C">
        <w:rPr>
          <w:rFonts w:cstheme="minorHAnsi"/>
        </w:rPr>
        <w:t xml:space="preserve">if necessary, </w:t>
      </w:r>
      <w:r w:rsidRPr="00054F1C">
        <w:rPr>
          <w:rFonts w:cstheme="minorHAnsi"/>
        </w:rPr>
        <w:t>include consultation with third parties. This consultation may include the examiner responsible for the final statement</w:t>
      </w:r>
      <w:r w:rsidR="008559EC" w:rsidRPr="00054F1C">
        <w:rPr>
          <w:rFonts w:cstheme="minorHAnsi"/>
        </w:rPr>
        <w:t>, if different</w:t>
      </w:r>
      <w:r w:rsidRPr="00054F1C">
        <w:rPr>
          <w:rFonts w:cstheme="minorHAnsi"/>
        </w:rPr>
        <w:t xml:space="preserve">. </w:t>
      </w:r>
    </w:p>
    <w:p w14:paraId="1D85A28F" w14:textId="63C541B3" w:rsidR="00CA00A9" w:rsidRPr="004F0398" w:rsidRDefault="00CA00A9" w:rsidP="006F379A">
      <w:pPr>
        <w:pStyle w:val="ListParagraph"/>
        <w:numPr>
          <w:ilvl w:val="0"/>
          <w:numId w:val="4"/>
        </w:numPr>
        <w:spacing w:before="120" w:after="120" w:line="240" w:lineRule="auto"/>
        <w:contextualSpacing w:val="0"/>
        <w:rPr>
          <w:rFonts w:cstheme="minorHAnsi"/>
        </w:rPr>
      </w:pPr>
      <w:r w:rsidRPr="004F0398">
        <w:rPr>
          <w:rFonts w:cstheme="minorHAnsi"/>
        </w:rPr>
        <w:t xml:space="preserve">The examiner will draft a </w:t>
      </w:r>
      <w:hyperlink w:anchor="follow" w:history="1">
        <w:r w:rsidRPr="00DB5BC8">
          <w:rPr>
            <w:rStyle w:val="Hyperlink"/>
            <w:rFonts w:cstheme="minorHAnsi"/>
          </w:rPr>
          <w:t>follow-up statement</w:t>
        </w:r>
      </w:hyperlink>
      <w:r w:rsidRPr="004F0398">
        <w:rPr>
          <w:rFonts w:cstheme="minorHAnsi"/>
        </w:rPr>
        <w:t xml:space="preserve"> with a summary of the updates received and any commentary on the matter that they consider relevant</w:t>
      </w:r>
      <w:r w:rsidR="002D3494">
        <w:rPr>
          <w:rFonts w:cstheme="minorHAnsi"/>
        </w:rPr>
        <w:t xml:space="preserve">. </w:t>
      </w:r>
      <w:r w:rsidR="002D3494" w:rsidRPr="00E904CD">
        <w:rPr>
          <w:rFonts w:cstheme="minorHAnsi"/>
        </w:rPr>
        <w:t>This includes</w:t>
      </w:r>
      <w:r w:rsidRPr="00E904CD">
        <w:rPr>
          <w:rFonts w:cstheme="minorHAnsi"/>
        </w:rPr>
        <w:t xml:space="preserve"> the extent to which recommendations made in the final statement or any mediated outcome have been implemented.</w:t>
      </w:r>
      <w:r w:rsidRPr="004F0398">
        <w:rPr>
          <w:rFonts w:cstheme="minorHAnsi"/>
        </w:rPr>
        <w:t xml:space="preserve"> They may also recommend an additional follow-up period, where they consider this useful. </w:t>
      </w:r>
    </w:p>
    <w:p w14:paraId="2ABA028B" w14:textId="3F628B8C" w:rsidR="00CA00A9" w:rsidRPr="004F0398" w:rsidRDefault="00CA00A9" w:rsidP="006F379A">
      <w:pPr>
        <w:pStyle w:val="ListParagraph"/>
        <w:numPr>
          <w:ilvl w:val="1"/>
          <w:numId w:val="4"/>
        </w:numPr>
        <w:spacing w:before="120" w:after="120" w:line="240" w:lineRule="auto"/>
        <w:ind w:left="792"/>
        <w:contextualSpacing w:val="0"/>
        <w:rPr>
          <w:rFonts w:cstheme="minorHAnsi"/>
        </w:rPr>
      </w:pPr>
      <w:r w:rsidRPr="00AD6C43">
        <w:rPr>
          <w:rFonts w:cstheme="minorHAnsi"/>
        </w:rPr>
        <w:t xml:space="preserve">Consistent with </w:t>
      </w:r>
      <w:r w:rsidR="00B365EF" w:rsidRPr="00AD6C43">
        <w:rPr>
          <w:rFonts w:cstheme="minorHAnsi"/>
        </w:rPr>
        <w:t>paragraph</w:t>
      </w:r>
      <w:r w:rsidR="00AD6C43" w:rsidRPr="00AD6C43">
        <w:rPr>
          <w:rFonts w:cstheme="minorHAnsi"/>
        </w:rPr>
        <w:t xml:space="preserve"> </w:t>
      </w:r>
      <w:r w:rsidR="001677C5">
        <w:rPr>
          <w:rFonts w:cstheme="minorHAnsi"/>
        </w:rPr>
        <w:t>61</w:t>
      </w:r>
      <w:r w:rsidRPr="00AD6C43">
        <w:rPr>
          <w:rFonts w:cstheme="minorHAnsi"/>
        </w:rPr>
        <w:t>,</w:t>
      </w:r>
      <w:r w:rsidRPr="004F0398">
        <w:rPr>
          <w:rFonts w:cstheme="minorHAnsi"/>
        </w:rPr>
        <w:t xml:space="preserve"> at the conclusion of each follow-up process, the examiner may draw instances of inappropriate </w:t>
      </w:r>
      <w:hyperlink w:anchor="conduct" w:history="1">
        <w:r w:rsidRPr="00D901C5">
          <w:rPr>
            <w:rStyle w:val="Hyperlink"/>
            <w:rFonts w:cstheme="minorHAnsi"/>
          </w:rPr>
          <w:t>conduct</w:t>
        </w:r>
      </w:hyperlink>
      <w:r w:rsidRPr="004F0398">
        <w:rPr>
          <w:rFonts w:cstheme="minorHAnsi"/>
        </w:rPr>
        <w:t xml:space="preserve"> to the attention of other government agencies through the </w:t>
      </w:r>
      <w:r w:rsidR="00E7070D">
        <w:rPr>
          <w:rFonts w:cstheme="minorHAnsi"/>
        </w:rPr>
        <w:t>s</w:t>
      </w:r>
      <w:r w:rsidRPr="004F0398">
        <w:rPr>
          <w:rFonts w:cstheme="minorHAnsi"/>
        </w:rPr>
        <w:t>ecretariat.</w:t>
      </w:r>
    </w:p>
    <w:p w14:paraId="3D0069FC" w14:textId="77777777" w:rsidR="00CA00A9" w:rsidRPr="004F0398" w:rsidRDefault="00CA00A9" w:rsidP="006F379A">
      <w:pPr>
        <w:pStyle w:val="ListParagraph"/>
        <w:numPr>
          <w:ilvl w:val="0"/>
          <w:numId w:val="4"/>
        </w:numPr>
        <w:spacing w:before="120" w:after="120" w:line="240" w:lineRule="auto"/>
        <w:contextualSpacing w:val="0"/>
        <w:rPr>
          <w:rFonts w:cstheme="minorHAnsi"/>
        </w:rPr>
      </w:pPr>
      <w:r w:rsidRPr="004F0398">
        <w:rPr>
          <w:rFonts w:cstheme="minorHAnsi"/>
        </w:rPr>
        <w:t>Once the examiner has drafted their follow-up statement, the Board will be provided with a copy for review and advice. The examiner is not required to make changes in response to the views of the Board, but may do so at their discretion.</w:t>
      </w:r>
    </w:p>
    <w:p w14:paraId="53EEBA11" w14:textId="77777777" w:rsidR="00CA00A9" w:rsidRPr="004F0398" w:rsidRDefault="00CA00A9" w:rsidP="006F379A">
      <w:pPr>
        <w:pStyle w:val="ListParagraph"/>
        <w:numPr>
          <w:ilvl w:val="0"/>
          <w:numId w:val="4"/>
        </w:numPr>
        <w:spacing w:before="120" w:after="120" w:line="240" w:lineRule="auto"/>
        <w:contextualSpacing w:val="0"/>
      </w:pPr>
      <w:r w:rsidRPr="004F0398">
        <w:rPr>
          <w:rFonts w:cstheme="minorHAnsi"/>
        </w:rPr>
        <w:t xml:space="preserve">The draft follow-up statement will then be provided to both parties for comment. </w:t>
      </w:r>
      <w:r w:rsidRPr="004F0398">
        <w:t>The examiner may make changes at their discretion.</w:t>
      </w:r>
    </w:p>
    <w:p w14:paraId="71781009" w14:textId="77777777" w:rsidR="00E904CD" w:rsidRDefault="005C4FAE" w:rsidP="00E904CD">
      <w:pPr>
        <w:pStyle w:val="ListParagraph"/>
        <w:numPr>
          <w:ilvl w:val="0"/>
          <w:numId w:val="4"/>
        </w:numPr>
        <w:spacing w:before="120" w:after="120" w:line="240" w:lineRule="auto"/>
        <w:contextualSpacing w:val="0"/>
        <w:rPr>
          <w:rFonts w:cstheme="minorHAnsi"/>
        </w:rPr>
      </w:pPr>
      <w:r>
        <w:rPr>
          <w:rFonts w:cstheme="minorHAnsi"/>
        </w:rPr>
        <w:t>The</w:t>
      </w:r>
      <w:r w:rsidR="00CA00A9" w:rsidRPr="004F0398">
        <w:rPr>
          <w:rFonts w:cstheme="minorHAnsi"/>
        </w:rPr>
        <w:t xml:space="preserve"> follow-up statement will be</w:t>
      </w:r>
      <w:r w:rsidR="002120C2">
        <w:rPr>
          <w:rFonts w:cstheme="minorHAnsi"/>
        </w:rPr>
        <w:t>:</w:t>
      </w:r>
    </w:p>
    <w:p w14:paraId="501CBC47" w14:textId="77777777" w:rsidR="00E904CD" w:rsidRDefault="00AE2113" w:rsidP="00E904CD">
      <w:pPr>
        <w:pStyle w:val="ListParagraph"/>
        <w:numPr>
          <w:ilvl w:val="1"/>
          <w:numId w:val="4"/>
        </w:numPr>
        <w:spacing w:before="120" w:after="120" w:line="240" w:lineRule="auto"/>
        <w:contextualSpacing w:val="0"/>
        <w:rPr>
          <w:rFonts w:cstheme="minorHAnsi"/>
        </w:rPr>
      </w:pPr>
      <w:r w:rsidRPr="00E904CD">
        <w:rPr>
          <w:rFonts w:cstheme="minorHAnsi"/>
        </w:rPr>
        <w:t>p</w:t>
      </w:r>
      <w:r w:rsidR="00CA00A9" w:rsidRPr="00E904CD">
        <w:rPr>
          <w:rFonts w:cstheme="minorHAnsi"/>
        </w:rPr>
        <w:t>ublished on the AusNCP website</w:t>
      </w:r>
    </w:p>
    <w:p w14:paraId="45F697A7" w14:textId="77777777" w:rsidR="00E904CD" w:rsidRDefault="00AE2113" w:rsidP="00E904CD">
      <w:pPr>
        <w:pStyle w:val="ListParagraph"/>
        <w:numPr>
          <w:ilvl w:val="1"/>
          <w:numId w:val="4"/>
        </w:numPr>
        <w:spacing w:before="120" w:after="120" w:line="240" w:lineRule="auto"/>
        <w:contextualSpacing w:val="0"/>
        <w:rPr>
          <w:rFonts w:cstheme="minorHAnsi"/>
        </w:rPr>
      </w:pPr>
      <w:r w:rsidRPr="00E904CD">
        <w:rPr>
          <w:rFonts w:cstheme="minorHAnsi"/>
        </w:rPr>
        <w:t>s</w:t>
      </w:r>
      <w:r w:rsidR="00CA00A9" w:rsidRPr="00E904CD">
        <w:rPr>
          <w:rFonts w:cstheme="minorHAnsi"/>
        </w:rPr>
        <w:t>hared with the parties and the Board</w:t>
      </w:r>
    </w:p>
    <w:p w14:paraId="3E390C5E" w14:textId="77777777" w:rsidR="00E904CD" w:rsidRDefault="00AE2113" w:rsidP="00E904CD">
      <w:pPr>
        <w:pStyle w:val="ListParagraph"/>
        <w:numPr>
          <w:ilvl w:val="1"/>
          <w:numId w:val="4"/>
        </w:numPr>
        <w:spacing w:before="120" w:after="120" w:line="240" w:lineRule="auto"/>
        <w:contextualSpacing w:val="0"/>
        <w:rPr>
          <w:rFonts w:cstheme="minorHAnsi"/>
        </w:rPr>
      </w:pPr>
      <w:r w:rsidRPr="00E904CD">
        <w:rPr>
          <w:rFonts w:cstheme="minorHAnsi"/>
        </w:rPr>
        <w:t>r</w:t>
      </w:r>
      <w:r w:rsidR="00CA00A9" w:rsidRPr="00E904CD">
        <w:rPr>
          <w:rFonts w:cstheme="minorHAnsi"/>
        </w:rPr>
        <w:t>eported to the OECD and</w:t>
      </w:r>
      <w:r w:rsidR="002120C2" w:rsidRPr="00E904CD">
        <w:rPr>
          <w:rFonts w:cstheme="minorHAnsi"/>
        </w:rPr>
        <w:t>,</w:t>
      </w:r>
    </w:p>
    <w:p w14:paraId="08650FFF" w14:textId="09F60561" w:rsidR="00CA00A9" w:rsidRPr="00E904CD" w:rsidRDefault="00AE2113" w:rsidP="00E904CD">
      <w:pPr>
        <w:pStyle w:val="ListParagraph"/>
        <w:numPr>
          <w:ilvl w:val="1"/>
          <w:numId w:val="4"/>
        </w:numPr>
        <w:spacing w:before="120" w:after="120" w:line="240" w:lineRule="auto"/>
        <w:contextualSpacing w:val="0"/>
        <w:rPr>
          <w:rFonts w:cstheme="minorHAnsi"/>
        </w:rPr>
      </w:pPr>
      <w:r w:rsidRPr="00E904CD">
        <w:rPr>
          <w:rFonts w:cstheme="minorHAnsi"/>
        </w:rPr>
        <w:t>p</w:t>
      </w:r>
      <w:r w:rsidR="00CA00A9" w:rsidRPr="00E904CD">
        <w:rPr>
          <w:rFonts w:cstheme="minorHAnsi"/>
        </w:rPr>
        <w:t>rovided to relevant Australian Government agencies and NCPs.</w:t>
      </w:r>
    </w:p>
    <w:p w14:paraId="121BDF67" w14:textId="0BD5F662" w:rsidR="006979A7" w:rsidRDefault="00CA00A9" w:rsidP="006F379A">
      <w:pPr>
        <w:pStyle w:val="ListParagraph"/>
        <w:numPr>
          <w:ilvl w:val="0"/>
          <w:numId w:val="4"/>
        </w:numPr>
        <w:spacing w:before="120" w:after="120" w:line="240" w:lineRule="auto"/>
        <w:contextualSpacing w:val="0"/>
      </w:pPr>
      <w:r w:rsidRPr="004F0398">
        <w:t xml:space="preserve">If requested by the parties, the examiner can offer AusNCP </w:t>
      </w:r>
      <w:r w:rsidRPr="00D06E5D">
        <w:t>dispute resolution</w:t>
      </w:r>
      <w:r w:rsidRPr="004F0398">
        <w:t xml:space="preserve"> to the parties at any time during the follow-up phase.</w:t>
      </w:r>
    </w:p>
    <w:p w14:paraId="41962AD4" w14:textId="09B9E7D7" w:rsidR="007B2AC9" w:rsidRDefault="007B2AC9" w:rsidP="007B2AC9">
      <w:pPr>
        <w:pStyle w:val="Heading1"/>
      </w:pPr>
      <w:bookmarkStart w:id="32" w:name="_Toc163213140"/>
      <w:r w:rsidRPr="004F0398">
        <w:t>Timeframes for AusNCP complaint procedures</w:t>
      </w:r>
      <w:bookmarkEnd w:id="32"/>
      <w:r w:rsidRPr="004F0398">
        <w:t xml:space="preserve"> </w:t>
      </w:r>
    </w:p>
    <w:p w14:paraId="2A9358EC" w14:textId="77777777" w:rsidR="0083040E" w:rsidRDefault="007B2AC9" w:rsidP="0083040E">
      <w:pPr>
        <w:pStyle w:val="OutlineNumbered1"/>
        <w:numPr>
          <w:ilvl w:val="0"/>
          <w:numId w:val="4"/>
        </w:numPr>
      </w:pPr>
      <w:r w:rsidRPr="004F0398">
        <w:t xml:space="preserve">The following table provides timeframes for each stage of the </w:t>
      </w:r>
      <w:r w:rsidRPr="00A66146">
        <w:t>complaint</w:t>
      </w:r>
      <w:r>
        <w:t xml:space="preserve"> </w:t>
      </w:r>
      <w:r w:rsidRPr="004F0398">
        <w:t>handling process.</w:t>
      </w:r>
      <w:r>
        <w:t xml:space="preserve"> </w:t>
      </w:r>
      <w:r w:rsidRPr="0023022E">
        <w:t>Note</w:t>
      </w:r>
      <w:r>
        <w:t xml:space="preserve"> </w:t>
      </w:r>
      <w:r w:rsidRPr="009C0435">
        <w:t>t</w:t>
      </w:r>
      <w:r w:rsidRPr="004F0398">
        <w:t xml:space="preserve">imeframes are indicative of ideal scenarios and </w:t>
      </w:r>
      <w:r>
        <w:t>complaints</w:t>
      </w:r>
      <w:r w:rsidRPr="004F0398">
        <w:t xml:space="preserve"> may take longer.</w:t>
      </w:r>
    </w:p>
    <w:p w14:paraId="311CECF3" w14:textId="77777777" w:rsidR="00AD6C43" w:rsidRDefault="00AD6C43" w:rsidP="00AD6C43">
      <w:pPr>
        <w:pStyle w:val="OutlineNumbered1"/>
        <w:numPr>
          <w:ilvl w:val="0"/>
          <w:numId w:val="0"/>
        </w:numPr>
        <w:ind w:left="520" w:hanging="520"/>
      </w:pPr>
    </w:p>
    <w:p w14:paraId="13B9EE9B" w14:textId="77777777" w:rsidR="0083040E" w:rsidRPr="007B2AC9" w:rsidRDefault="0083040E" w:rsidP="0083040E">
      <w:pPr>
        <w:spacing w:before="120" w:after="120" w:line="240" w:lineRule="auto"/>
      </w:pPr>
      <w:r w:rsidRPr="0083040E">
        <w:rPr>
          <w:b/>
          <w:bCs/>
        </w:rPr>
        <w:lastRenderedPageBreak/>
        <w:t>Table 1: Indicative timeframes for the complaint process</w:t>
      </w:r>
    </w:p>
    <w:tbl>
      <w:tblPr>
        <w:tblStyle w:val="TableGrid"/>
        <w:tblW w:w="0" w:type="auto"/>
        <w:tblInd w:w="-5" w:type="dxa"/>
        <w:tblLook w:val="04A0" w:firstRow="1" w:lastRow="0" w:firstColumn="1" w:lastColumn="0" w:noHBand="0" w:noVBand="1"/>
      </w:tblPr>
      <w:tblGrid>
        <w:gridCol w:w="4508"/>
        <w:gridCol w:w="4508"/>
      </w:tblGrid>
      <w:tr w:rsidR="00D20024" w:rsidRPr="004F0398" w14:paraId="53BC347A" w14:textId="77777777" w:rsidTr="00155F96">
        <w:tc>
          <w:tcPr>
            <w:tcW w:w="4508" w:type="dxa"/>
            <w:shd w:val="clear" w:color="auto" w:fill="BDD6EE" w:themeFill="accent5" w:themeFillTint="66"/>
          </w:tcPr>
          <w:p w14:paraId="3D2324E7" w14:textId="77777777" w:rsidR="0083040E" w:rsidRPr="004F0398" w:rsidRDefault="0083040E" w:rsidP="00557D7C">
            <w:pPr>
              <w:rPr>
                <w:b/>
              </w:rPr>
            </w:pPr>
            <w:r w:rsidRPr="004F0398">
              <w:rPr>
                <w:b/>
              </w:rPr>
              <w:t xml:space="preserve">Stage </w:t>
            </w:r>
          </w:p>
        </w:tc>
        <w:tc>
          <w:tcPr>
            <w:tcW w:w="4508" w:type="dxa"/>
            <w:shd w:val="clear" w:color="auto" w:fill="BDD6EE" w:themeFill="accent5" w:themeFillTint="66"/>
          </w:tcPr>
          <w:p w14:paraId="084B81B8" w14:textId="77777777" w:rsidR="0083040E" w:rsidRPr="004F0398" w:rsidRDefault="0083040E" w:rsidP="00557D7C">
            <w:pPr>
              <w:rPr>
                <w:b/>
              </w:rPr>
            </w:pPr>
            <w:r w:rsidRPr="004F0398">
              <w:rPr>
                <w:b/>
              </w:rPr>
              <w:t xml:space="preserve">Duration </w:t>
            </w:r>
          </w:p>
        </w:tc>
      </w:tr>
      <w:tr w:rsidR="0083040E" w:rsidRPr="004F0398" w14:paraId="604989E2" w14:textId="77777777" w:rsidTr="00155F96">
        <w:tc>
          <w:tcPr>
            <w:tcW w:w="4508" w:type="dxa"/>
          </w:tcPr>
          <w:p w14:paraId="763614D8" w14:textId="77777777" w:rsidR="0083040E" w:rsidRPr="004F0398" w:rsidRDefault="0083040E" w:rsidP="00557D7C">
            <w:pPr>
              <w:rPr>
                <w:b/>
                <w:bCs/>
              </w:rPr>
            </w:pPr>
            <w:r w:rsidRPr="004F0398">
              <w:t>Phase 1: Submission and initial assessment</w:t>
            </w:r>
          </w:p>
          <w:p w14:paraId="13CA8B39" w14:textId="77777777" w:rsidR="0083040E" w:rsidRPr="004F0398" w:rsidRDefault="0083040E" w:rsidP="00557D7C"/>
        </w:tc>
        <w:tc>
          <w:tcPr>
            <w:tcW w:w="4508" w:type="dxa"/>
          </w:tcPr>
          <w:p w14:paraId="5C4BBAC9" w14:textId="77777777" w:rsidR="0083040E" w:rsidRPr="004F0398" w:rsidRDefault="0083040E" w:rsidP="00557D7C">
            <w:r w:rsidRPr="004F0398">
              <w:t xml:space="preserve">3 months </w:t>
            </w:r>
          </w:p>
        </w:tc>
      </w:tr>
      <w:tr w:rsidR="0083040E" w:rsidRPr="004F0398" w14:paraId="66924EE3" w14:textId="77777777" w:rsidTr="00155F96">
        <w:tc>
          <w:tcPr>
            <w:tcW w:w="4508" w:type="dxa"/>
          </w:tcPr>
          <w:p w14:paraId="003B8D47" w14:textId="77777777" w:rsidR="0083040E" w:rsidRPr="004F0398" w:rsidRDefault="0083040E" w:rsidP="00557D7C">
            <w:pPr>
              <w:rPr>
                <w:b/>
                <w:bCs/>
              </w:rPr>
            </w:pPr>
            <w:r w:rsidRPr="004F0398">
              <w:t>Phase 2: Good offices (dispute resolution)</w:t>
            </w:r>
          </w:p>
          <w:p w14:paraId="07A79F09" w14:textId="77777777" w:rsidR="0083040E" w:rsidRPr="004F0398" w:rsidRDefault="0083040E" w:rsidP="00557D7C"/>
        </w:tc>
        <w:tc>
          <w:tcPr>
            <w:tcW w:w="4508" w:type="dxa"/>
          </w:tcPr>
          <w:p w14:paraId="448CBF43" w14:textId="77777777" w:rsidR="0083040E" w:rsidRPr="004F0398" w:rsidRDefault="0083040E" w:rsidP="00557D7C">
            <w:r w:rsidRPr="004F0398">
              <w:t xml:space="preserve">6 months  </w:t>
            </w:r>
          </w:p>
        </w:tc>
      </w:tr>
      <w:tr w:rsidR="0083040E" w:rsidRPr="004F0398" w14:paraId="5DC9DB43" w14:textId="77777777" w:rsidTr="00155F96">
        <w:tc>
          <w:tcPr>
            <w:tcW w:w="4508" w:type="dxa"/>
          </w:tcPr>
          <w:p w14:paraId="15E9380E" w14:textId="77777777" w:rsidR="0083040E" w:rsidRPr="004F0398" w:rsidRDefault="0083040E" w:rsidP="00557D7C">
            <w:r w:rsidRPr="004F0398">
              <w:t xml:space="preserve">Phase 3: Final statement </w:t>
            </w:r>
          </w:p>
          <w:p w14:paraId="2F181F8B" w14:textId="77777777" w:rsidR="0083040E" w:rsidRPr="004F0398" w:rsidRDefault="0083040E" w:rsidP="00557D7C"/>
        </w:tc>
        <w:tc>
          <w:tcPr>
            <w:tcW w:w="4508" w:type="dxa"/>
          </w:tcPr>
          <w:p w14:paraId="4B7EE2A6" w14:textId="77777777" w:rsidR="0083040E" w:rsidRPr="004F0398" w:rsidRDefault="0083040E" w:rsidP="00557D7C">
            <w:r w:rsidRPr="004F0398">
              <w:t xml:space="preserve">3 months </w:t>
            </w:r>
          </w:p>
        </w:tc>
      </w:tr>
      <w:tr w:rsidR="00D20024" w:rsidRPr="004F0398" w14:paraId="28AC0B96" w14:textId="77777777" w:rsidTr="00155F96">
        <w:tc>
          <w:tcPr>
            <w:tcW w:w="4508" w:type="dxa"/>
            <w:shd w:val="clear" w:color="auto" w:fill="BDD6EE" w:themeFill="accent5" w:themeFillTint="66"/>
          </w:tcPr>
          <w:p w14:paraId="23ED74D4" w14:textId="77777777" w:rsidR="0083040E" w:rsidRPr="004F0398" w:rsidRDefault="0083040E" w:rsidP="00557D7C">
            <w:pPr>
              <w:rPr>
                <w:b/>
                <w:bCs/>
              </w:rPr>
            </w:pPr>
            <w:r w:rsidRPr="004F0398">
              <w:rPr>
                <w:b/>
                <w:bCs/>
              </w:rPr>
              <w:t>TOTAL</w:t>
            </w:r>
          </w:p>
        </w:tc>
        <w:tc>
          <w:tcPr>
            <w:tcW w:w="4508" w:type="dxa"/>
            <w:shd w:val="clear" w:color="auto" w:fill="BDD6EE" w:themeFill="accent5" w:themeFillTint="66"/>
          </w:tcPr>
          <w:p w14:paraId="67A7BA89" w14:textId="77777777" w:rsidR="0083040E" w:rsidRPr="004F0398" w:rsidRDefault="0083040E" w:rsidP="00557D7C">
            <w:pPr>
              <w:rPr>
                <w:b/>
                <w:bCs/>
              </w:rPr>
            </w:pPr>
            <w:r w:rsidRPr="004F0398">
              <w:rPr>
                <w:b/>
                <w:bCs/>
              </w:rPr>
              <w:t xml:space="preserve">12 months  </w:t>
            </w:r>
          </w:p>
        </w:tc>
      </w:tr>
      <w:tr w:rsidR="0083040E" w:rsidRPr="004F0398" w14:paraId="2E4A0B02" w14:textId="77777777" w:rsidTr="00155F96">
        <w:tc>
          <w:tcPr>
            <w:tcW w:w="4508" w:type="dxa"/>
          </w:tcPr>
          <w:p w14:paraId="6B454FF5" w14:textId="77777777" w:rsidR="0083040E" w:rsidRPr="004F0398" w:rsidRDefault="0083040E" w:rsidP="00557D7C">
            <w:r w:rsidRPr="004F0398">
              <w:t xml:space="preserve">Phase 4: Follow up </w:t>
            </w:r>
          </w:p>
          <w:p w14:paraId="5D195B5E" w14:textId="77777777" w:rsidR="0083040E" w:rsidRPr="004F0398" w:rsidRDefault="0083040E" w:rsidP="00557D7C"/>
        </w:tc>
        <w:tc>
          <w:tcPr>
            <w:tcW w:w="4508" w:type="dxa"/>
          </w:tcPr>
          <w:p w14:paraId="30D31E9C" w14:textId="77777777" w:rsidR="0083040E" w:rsidRPr="004F0398" w:rsidRDefault="0083040E" w:rsidP="00557D7C">
            <w:r w:rsidRPr="004F0398">
              <w:t xml:space="preserve">3 months </w:t>
            </w:r>
          </w:p>
        </w:tc>
      </w:tr>
    </w:tbl>
    <w:p w14:paraId="60AE2478" w14:textId="77777777" w:rsidR="0083040E" w:rsidRDefault="0083040E" w:rsidP="0083040E">
      <w:pPr>
        <w:pStyle w:val="OutlineNumbered1"/>
        <w:numPr>
          <w:ilvl w:val="0"/>
          <w:numId w:val="0"/>
        </w:numPr>
      </w:pPr>
    </w:p>
    <w:p w14:paraId="26805BB2" w14:textId="77777777" w:rsidR="0083040E" w:rsidRDefault="0083040E" w:rsidP="0083040E">
      <w:pPr>
        <w:pStyle w:val="OutlineNumbered1"/>
        <w:numPr>
          <w:ilvl w:val="0"/>
          <w:numId w:val="4"/>
        </w:numPr>
      </w:pPr>
      <w:r w:rsidRPr="004F0398">
        <w:t xml:space="preserve">Where delays are anticipated or ongoing, the independent examiner will discuss the reasons with the parties and consider options to suitably manage the delay. </w:t>
      </w:r>
      <w:r w:rsidRPr="00D06E5D">
        <w:t>Significant delays</w:t>
      </w:r>
      <w:r w:rsidRPr="004F0398">
        <w:t xml:space="preserve"> will be noted on the AusNCP website.</w:t>
      </w:r>
      <w:r w:rsidRPr="004F0398">
        <w:rPr>
          <w:rStyle w:val="EndnoteReference"/>
        </w:rPr>
        <w:endnoteReference w:id="10"/>
      </w:r>
    </w:p>
    <w:p w14:paraId="38B54EC7" w14:textId="7318882B" w:rsidR="0083040E" w:rsidRDefault="003B70F1" w:rsidP="003B70F1">
      <w:pPr>
        <w:pStyle w:val="Heading1"/>
      </w:pPr>
      <w:bookmarkStart w:id="33" w:name="_Toc163213141"/>
      <w:r w:rsidRPr="004F0398">
        <w:t>Proce</w:t>
      </w:r>
      <w:r>
        <w:t>d</w:t>
      </w:r>
      <w:r w:rsidRPr="004F0398">
        <w:t>ural review</w:t>
      </w:r>
      <w:bookmarkEnd w:id="33"/>
    </w:p>
    <w:p w14:paraId="652DD2BC" w14:textId="77777777" w:rsidR="003B70F1" w:rsidRDefault="00CA00A9" w:rsidP="003B70F1">
      <w:pPr>
        <w:pStyle w:val="OutlineNumbered1"/>
        <w:numPr>
          <w:ilvl w:val="0"/>
          <w:numId w:val="4"/>
        </w:numPr>
      </w:pPr>
      <w:r w:rsidRPr="004F0398">
        <w:t xml:space="preserve">Where either party considers that the examiner has not acted in line with these procedures, they may request a procedural review within </w:t>
      </w:r>
      <w:r w:rsidR="00917034">
        <w:t>6</w:t>
      </w:r>
      <w:r w:rsidR="00917034" w:rsidRPr="004F0398">
        <w:t xml:space="preserve"> </w:t>
      </w:r>
      <w:r w:rsidRPr="004F0398">
        <w:t>weeks from receipt of the completed version of the final statement.</w:t>
      </w:r>
    </w:p>
    <w:p w14:paraId="23E50799" w14:textId="77777777" w:rsidR="003B70F1" w:rsidRDefault="00CA00A9" w:rsidP="003B70F1">
      <w:pPr>
        <w:pStyle w:val="OutlineNumbered1"/>
        <w:numPr>
          <w:ilvl w:val="0"/>
          <w:numId w:val="4"/>
        </w:numPr>
      </w:pPr>
      <w:r w:rsidRPr="004F0398">
        <w:t xml:space="preserve">Requests can be made to the </w:t>
      </w:r>
      <w:r w:rsidR="00054C92">
        <w:t>s</w:t>
      </w:r>
      <w:r w:rsidRPr="004F0398">
        <w:t>ecretariat according to the contact information listed on the AusNCP website. The request must identify the final statement to be reviewed and what</w:t>
      </w:r>
      <w:r w:rsidR="003B70F1">
        <w:t xml:space="preserve"> </w:t>
      </w:r>
      <w:r w:rsidRPr="004F0398">
        <w:t>procedural irregularity occurred.</w:t>
      </w:r>
    </w:p>
    <w:p w14:paraId="783AEC83" w14:textId="77777777" w:rsidR="003B70F1" w:rsidRDefault="00CA00A9" w:rsidP="003B70F1">
      <w:pPr>
        <w:pStyle w:val="OutlineNumbered1"/>
        <w:numPr>
          <w:ilvl w:val="0"/>
          <w:numId w:val="4"/>
        </w:numPr>
      </w:pPr>
      <w:r w:rsidRPr="004F0398">
        <w:t xml:space="preserve">The </w:t>
      </w:r>
      <w:r w:rsidR="00DF78F9">
        <w:t>s</w:t>
      </w:r>
      <w:r w:rsidRPr="004F0398">
        <w:t xml:space="preserve">ecretariat will acknowledge receipt of a review request within 5 working days and send a copy of the request to all parties to the </w:t>
      </w:r>
      <w:r w:rsidR="00BB642C">
        <w:t>complaint</w:t>
      </w:r>
      <w:r w:rsidRPr="004F0398">
        <w:t>.</w:t>
      </w:r>
    </w:p>
    <w:p w14:paraId="6210A6CB" w14:textId="77777777" w:rsidR="003B70F1" w:rsidRDefault="00CA00A9" w:rsidP="003B70F1">
      <w:pPr>
        <w:pStyle w:val="OutlineNumbered1"/>
        <w:numPr>
          <w:ilvl w:val="0"/>
          <w:numId w:val="4"/>
        </w:numPr>
      </w:pPr>
      <w:r w:rsidRPr="004F0398">
        <w:t xml:space="preserve">The </w:t>
      </w:r>
      <w:r w:rsidR="00DF78F9">
        <w:t>s</w:t>
      </w:r>
      <w:r w:rsidRPr="004F0398">
        <w:t xml:space="preserve">ecretariat will notify the Board of a request for procedural review and call for the formation of a Board Review Committee (the Committee). The Committee will consist of 3 Board members (one government and 2 non-government, with the latter members to include a balance of business and civil society/union backgrounds to reflect the multi-stakeholder composition of the Board). Board members may volunteer themselves or their proxies to participate in the Committee. Where there is a surplus of volunteers, the </w:t>
      </w:r>
      <w:r w:rsidR="00563736">
        <w:t xml:space="preserve">Board </w:t>
      </w:r>
      <w:r w:rsidRPr="004F0398">
        <w:t>Chair has the discretion to select from the volunteers, retaining the composition of one government, one non</w:t>
      </w:r>
      <w:r w:rsidR="00CA0226">
        <w:noBreakHyphen/>
      </w:r>
      <w:r w:rsidRPr="004F0398">
        <w:t>government and one additional member with either a civil society or union background.</w:t>
      </w:r>
    </w:p>
    <w:p w14:paraId="4250402A" w14:textId="77777777" w:rsidR="003B70F1" w:rsidRDefault="00CA00A9" w:rsidP="003B70F1">
      <w:pPr>
        <w:pStyle w:val="OutlineNumbered1"/>
        <w:numPr>
          <w:ilvl w:val="0"/>
          <w:numId w:val="4"/>
        </w:numPr>
      </w:pPr>
      <w:r w:rsidRPr="004F0398">
        <w:t>Appointments to the Committee are to be consistent with the Board’s published conflicts of interest framework. If suitable representation cannot be drawn from the Board or proxies, then Board members may nominate one or more external candidates for the Committee. The external candidate/s must be agreed by majority of the Board. The name of any candidate/s agreed by majority of the Board will be provided to the parties for comment, and the Board may make changes at their discretion.</w:t>
      </w:r>
    </w:p>
    <w:p w14:paraId="10515E40" w14:textId="4644391F" w:rsidR="00CA00A9" w:rsidRPr="004F0398" w:rsidRDefault="00CA00A9" w:rsidP="003B70F1">
      <w:pPr>
        <w:pStyle w:val="OutlineNumbered1"/>
        <w:numPr>
          <w:ilvl w:val="0"/>
          <w:numId w:val="4"/>
        </w:numPr>
      </w:pPr>
      <w:r w:rsidRPr="004F0398">
        <w:t xml:space="preserve">The Committee will be provided with relevant information to complete the procedural review. </w:t>
      </w:r>
    </w:p>
    <w:p w14:paraId="1C9966C3" w14:textId="16BC48AC" w:rsidR="00CA00A9" w:rsidRPr="004F0398" w:rsidRDefault="00CA00A9" w:rsidP="00E16D29">
      <w:pPr>
        <w:pStyle w:val="ListParagraph"/>
        <w:numPr>
          <w:ilvl w:val="1"/>
          <w:numId w:val="4"/>
        </w:numPr>
        <w:spacing w:before="120" w:after="120" w:line="240" w:lineRule="auto"/>
        <w:ind w:left="792"/>
        <w:contextualSpacing w:val="0"/>
      </w:pPr>
      <w:r w:rsidRPr="004F0398">
        <w:t xml:space="preserve">The </w:t>
      </w:r>
      <w:r w:rsidR="000F1DE4">
        <w:t>s</w:t>
      </w:r>
      <w:r w:rsidRPr="004F0398">
        <w:t xml:space="preserve">ecretariat and the examiner will provide written comments on the review request and any background information they consider relevant to the review. </w:t>
      </w:r>
    </w:p>
    <w:p w14:paraId="4940440C" w14:textId="77777777" w:rsidR="003B70F1" w:rsidRDefault="00CA00A9" w:rsidP="003B70F1">
      <w:pPr>
        <w:pStyle w:val="ListParagraph"/>
        <w:numPr>
          <w:ilvl w:val="1"/>
          <w:numId w:val="4"/>
        </w:numPr>
        <w:spacing w:before="120" w:after="120" w:line="240" w:lineRule="auto"/>
        <w:ind w:left="792"/>
        <w:contextualSpacing w:val="0"/>
      </w:pPr>
      <w:r w:rsidRPr="004F0398">
        <w:lastRenderedPageBreak/>
        <w:t xml:space="preserve">Subject to any confidentiality considerations, </w:t>
      </w:r>
      <w:r w:rsidRPr="00D06E5D">
        <w:t xml:space="preserve">the information provided </w:t>
      </w:r>
      <w:r w:rsidRPr="004F0398">
        <w:t>will be made available to the parties.</w:t>
      </w:r>
      <w:r w:rsidR="00621A4B">
        <w:t xml:space="preserve">  </w:t>
      </w:r>
    </w:p>
    <w:p w14:paraId="5952027F" w14:textId="77777777" w:rsidR="003B70F1" w:rsidRDefault="00CA00A9" w:rsidP="003B70F1">
      <w:pPr>
        <w:pStyle w:val="ListParagraph"/>
        <w:numPr>
          <w:ilvl w:val="1"/>
          <w:numId w:val="4"/>
        </w:numPr>
        <w:spacing w:before="120" w:after="120" w:line="240" w:lineRule="auto"/>
        <w:ind w:left="792"/>
        <w:contextualSpacing w:val="0"/>
      </w:pPr>
      <w:r w:rsidRPr="004F0398">
        <w:t xml:space="preserve">The Committee will investigate the review request to determine whether there are grounds for concern about the procedural matters raised. The Committee may make </w:t>
      </w:r>
      <w:r w:rsidR="00045CF1">
        <w:t>inquiries</w:t>
      </w:r>
      <w:r w:rsidR="00045CF1" w:rsidRPr="004F0398">
        <w:t xml:space="preserve"> </w:t>
      </w:r>
      <w:r w:rsidRPr="004F0398">
        <w:t>to inform their decision. To facilitate these inquiries, the Committee may share the request for review or seek submissions from any person involved in the original matter (including the parties). The Committee may also consult with other NCPs or the OECD Responsible Business Conduct Centre.</w:t>
      </w:r>
    </w:p>
    <w:p w14:paraId="2FE61444" w14:textId="6500588D" w:rsidR="00CA00A9" w:rsidRPr="004F0398" w:rsidRDefault="00CA00A9" w:rsidP="003B70F1">
      <w:pPr>
        <w:pStyle w:val="ListParagraph"/>
        <w:numPr>
          <w:ilvl w:val="0"/>
          <w:numId w:val="4"/>
        </w:numPr>
        <w:spacing w:before="120" w:after="120" w:line="240" w:lineRule="auto"/>
        <w:contextualSpacing w:val="0"/>
      </w:pPr>
      <w:r w:rsidRPr="004F0398">
        <w:t>If the Committee determines that material procedural irregularities occurred, they will:</w:t>
      </w:r>
    </w:p>
    <w:p w14:paraId="28A4487A" w14:textId="77777777" w:rsidR="00CA00A9" w:rsidRPr="004F0398" w:rsidRDefault="00CA00A9" w:rsidP="00E16D29">
      <w:pPr>
        <w:pStyle w:val="ListParagraph"/>
        <w:numPr>
          <w:ilvl w:val="1"/>
          <w:numId w:val="4"/>
        </w:numPr>
        <w:spacing w:before="120" w:after="120" w:line="240" w:lineRule="auto"/>
        <w:ind w:left="792"/>
        <w:contextualSpacing w:val="0"/>
      </w:pPr>
      <w:r w:rsidRPr="004F0398">
        <w:t xml:space="preserve">Acknowledge that there were procedural irregularities in the examiner’s handling of the complaint. </w:t>
      </w:r>
    </w:p>
    <w:p w14:paraId="417D26A5" w14:textId="77777777" w:rsidR="00CA00A9" w:rsidRPr="004F0398" w:rsidRDefault="00CA00A9" w:rsidP="00E16D29">
      <w:pPr>
        <w:pStyle w:val="ListParagraph"/>
        <w:numPr>
          <w:ilvl w:val="1"/>
          <w:numId w:val="4"/>
        </w:numPr>
        <w:spacing w:before="120" w:after="120" w:line="240" w:lineRule="auto"/>
        <w:ind w:left="792"/>
        <w:contextualSpacing w:val="0"/>
      </w:pPr>
      <w:r w:rsidRPr="004F0398">
        <w:t xml:space="preserve">Return the decision to the examiner or refer the decision to a different examiner with instructions on how to rectify the procedural irregularity. </w:t>
      </w:r>
    </w:p>
    <w:p w14:paraId="7FC25284" w14:textId="77777777" w:rsidR="003B70F1" w:rsidRDefault="00CA00A9" w:rsidP="003B70F1">
      <w:pPr>
        <w:pStyle w:val="ListParagraph"/>
        <w:numPr>
          <w:ilvl w:val="1"/>
          <w:numId w:val="4"/>
        </w:numPr>
        <w:spacing w:before="120" w:after="120" w:line="240" w:lineRule="auto"/>
        <w:ind w:left="792"/>
        <w:contextualSpacing w:val="0"/>
      </w:pPr>
      <w:r w:rsidRPr="004F0398">
        <w:t xml:space="preserve">Make recommendations to the </w:t>
      </w:r>
      <w:r w:rsidR="00C7518D">
        <w:t>s</w:t>
      </w:r>
      <w:r w:rsidR="00C7518D" w:rsidRPr="004F0398">
        <w:t xml:space="preserve">ecretariat </w:t>
      </w:r>
      <w:r w:rsidRPr="004F0398">
        <w:t>and/or the examiners to prevent the recurrence of such irregularities in the future.</w:t>
      </w:r>
    </w:p>
    <w:p w14:paraId="23CF68A4" w14:textId="77777777" w:rsidR="003B70F1" w:rsidRDefault="00CA00A9" w:rsidP="003B70F1">
      <w:pPr>
        <w:pStyle w:val="ListParagraph"/>
        <w:numPr>
          <w:ilvl w:val="0"/>
          <w:numId w:val="4"/>
        </w:numPr>
        <w:spacing w:before="120" w:after="120" w:line="240" w:lineRule="auto"/>
        <w:contextualSpacing w:val="0"/>
      </w:pPr>
      <w:r w:rsidRPr="004F0398">
        <w:t>As the review is strictly procedural, the Committee will not examine the substance of any examiner’s decision and will not replace the examiner’s decision with their own decision.</w:t>
      </w:r>
    </w:p>
    <w:p w14:paraId="7F9DEFE0" w14:textId="77777777" w:rsidR="00524674" w:rsidRPr="00054F1C" w:rsidRDefault="00CA00A9" w:rsidP="00524674">
      <w:pPr>
        <w:pStyle w:val="ListParagraph"/>
        <w:numPr>
          <w:ilvl w:val="0"/>
          <w:numId w:val="4"/>
        </w:numPr>
        <w:spacing w:before="120" w:after="120" w:line="240" w:lineRule="auto"/>
        <w:contextualSpacing w:val="0"/>
      </w:pPr>
      <w:r w:rsidRPr="00054F1C">
        <w:t>If the decision is sent to an examiner for reconsideration, the examiner will</w:t>
      </w:r>
      <w:r w:rsidR="00822D1A" w:rsidRPr="00054F1C">
        <w:t>:</w:t>
      </w:r>
    </w:p>
    <w:p w14:paraId="70566850" w14:textId="77777777" w:rsidR="00A7368E" w:rsidRPr="00054F1C" w:rsidRDefault="0009278C" w:rsidP="00A7368E">
      <w:pPr>
        <w:pStyle w:val="ListParagraph"/>
        <w:numPr>
          <w:ilvl w:val="1"/>
          <w:numId w:val="4"/>
        </w:numPr>
        <w:spacing w:before="120" w:after="120" w:line="240" w:lineRule="auto"/>
        <w:contextualSpacing w:val="0"/>
      </w:pPr>
      <w:r w:rsidRPr="00054F1C">
        <w:t>re-open the complaint in accordance with the instructions of the Committee</w:t>
      </w:r>
    </w:p>
    <w:p w14:paraId="3AE77612" w14:textId="399A525C" w:rsidR="00A7368E" w:rsidRPr="00054F1C" w:rsidRDefault="0009278C" w:rsidP="00A7368E">
      <w:pPr>
        <w:pStyle w:val="ListParagraph"/>
        <w:numPr>
          <w:ilvl w:val="1"/>
          <w:numId w:val="4"/>
        </w:numPr>
        <w:spacing w:before="120" w:after="120" w:line="240" w:lineRule="auto"/>
        <w:contextualSpacing w:val="0"/>
      </w:pPr>
      <w:r w:rsidRPr="00054F1C">
        <w:t xml:space="preserve">correct the procedural irregularities and, </w:t>
      </w:r>
    </w:p>
    <w:p w14:paraId="5D46CA8B" w14:textId="1D65D3C6" w:rsidR="004C1F32" w:rsidRPr="00054F1C" w:rsidRDefault="00A7368E" w:rsidP="004C1F32">
      <w:pPr>
        <w:pStyle w:val="Bullet"/>
        <w:numPr>
          <w:ilvl w:val="1"/>
          <w:numId w:val="4"/>
        </w:numPr>
      </w:pPr>
      <w:r w:rsidRPr="00054F1C">
        <w:t>if necessary, reconsider the final statement (where the procedural irregularities would have influenced the final statement)</w:t>
      </w:r>
    </w:p>
    <w:p w14:paraId="20575C1D" w14:textId="5EEB828A" w:rsidR="0009278C" w:rsidRPr="00DA0BB6" w:rsidRDefault="006616CF" w:rsidP="004C1F32">
      <w:pPr>
        <w:pStyle w:val="Bullet"/>
        <w:numPr>
          <w:ilvl w:val="1"/>
          <w:numId w:val="4"/>
        </w:numPr>
      </w:pPr>
      <w:r w:rsidRPr="00DA0BB6">
        <w:t>n</w:t>
      </w:r>
      <w:r w:rsidR="0009278C" w:rsidRPr="00DA0BB6">
        <w:t>o further request for review of that action may be made.</w:t>
      </w:r>
    </w:p>
    <w:p w14:paraId="553494B0" w14:textId="77777777" w:rsidR="0009278C" w:rsidRDefault="00CA00A9" w:rsidP="0009278C">
      <w:pPr>
        <w:pStyle w:val="ListParagraph"/>
        <w:numPr>
          <w:ilvl w:val="0"/>
          <w:numId w:val="4"/>
        </w:numPr>
        <w:spacing w:before="120" w:after="120" w:line="240" w:lineRule="auto"/>
        <w:contextualSpacing w:val="0"/>
      </w:pPr>
      <w:r w:rsidRPr="00E16D29">
        <w:t>The Committee will provide its draft public statement on the procedural review to the examiner and both parties for comment prior to finalising.</w:t>
      </w:r>
    </w:p>
    <w:p w14:paraId="4239A025" w14:textId="77777777" w:rsidR="0009278C" w:rsidRDefault="00CA00A9" w:rsidP="0009278C">
      <w:pPr>
        <w:pStyle w:val="ListParagraph"/>
        <w:numPr>
          <w:ilvl w:val="0"/>
          <w:numId w:val="4"/>
        </w:numPr>
        <w:spacing w:before="120" w:after="120" w:line="240" w:lineRule="auto"/>
        <w:contextualSpacing w:val="0"/>
      </w:pPr>
      <w:r w:rsidRPr="004F0398">
        <w:t xml:space="preserve">The </w:t>
      </w:r>
      <w:r w:rsidR="007F721B">
        <w:t>s</w:t>
      </w:r>
      <w:r w:rsidR="007F721B" w:rsidRPr="004F0398">
        <w:t xml:space="preserve">ecretariat </w:t>
      </w:r>
      <w:r w:rsidRPr="004F0398">
        <w:t>will support the Committee in the conduct of its review and provide the Board with an embargoed copy of the finalised public statement prior to publication on the AusNCP website.</w:t>
      </w:r>
    </w:p>
    <w:p w14:paraId="165F4A1D" w14:textId="25B0E41D" w:rsidR="0009278C" w:rsidRDefault="0009278C" w:rsidP="0009278C">
      <w:pPr>
        <w:pStyle w:val="Heading1"/>
      </w:pPr>
      <w:bookmarkStart w:id="34" w:name="_Toc163213142"/>
      <w:r w:rsidRPr="004F0398">
        <w:t>Confidentiality, transparency and conflicts of interest</w:t>
      </w:r>
      <w:bookmarkEnd w:id="34"/>
      <w:r w:rsidRPr="004F0398">
        <w:t xml:space="preserve"> </w:t>
      </w:r>
    </w:p>
    <w:p w14:paraId="68ADC5B7" w14:textId="77777777" w:rsidR="0009278C" w:rsidRDefault="00CA00A9" w:rsidP="0009278C">
      <w:pPr>
        <w:pStyle w:val="ListParagraph"/>
        <w:numPr>
          <w:ilvl w:val="0"/>
          <w:numId w:val="4"/>
        </w:numPr>
        <w:spacing w:before="120" w:after="120" w:line="240" w:lineRule="auto"/>
        <w:contextualSpacing w:val="0"/>
      </w:pPr>
      <w:r w:rsidRPr="004F0398">
        <w:t xml:space="preserve">Transparency is one of the core criteria by which AusNCP operates. At the same time, it is important for the parties to have confidence that information provided to AusNCP will be treated sensitively. This information will not be released publicly by representatives of AusNCP without </w:t>
      </w:r>
      <w:r w:rsidRPr="0009278C">
        <w:rPr>
          <w:rFonts w:cstheme="minorHAnsi"/>
        </w:rPr>
        <w:t>consultation and consent</w:t>
      </w:r>
      <w:r w:rsidR="002E724A" w:rsidRPr="0009278C">
        <w:rPr>
          <w:rFonts w:cstheme="minorHAnsi"/>
        </w:rPr>
        <w:t>.</w:t>
      </w:r>
      <w:r w:rsidRPr="0009278C">
        <w:rPr>
          <w:rFonts w:cstheme="minorHAnsi"/>
        </w:rPr>
        <w:t xml:space="preserve"> </w:t>
      </w:r>
      <w:r w:rsidR="002E724A" w:rsidRPr="0009278C">
        <w:rPr>
          <w:rFonts w:cstheme="minorHAnsi"/>
        </w:rPr>
        <w:t xml:space="preserve">It </w:t>
      </w:r>
      <w:r w:rsidRPr="0009278C">
        <w:rPr>
          <w:rFonts w:cstheme="minorHAnsi"/>
        </w:rPr>
        <w:t>will only be shared on a confidential basis with those who have a direct role in assisting the examiner in considering the complaint such as members of the Board, service providers such as translators and mediators, other government officials and other NCPs.</w:t>
      </w:r>
      <w:bookmarkStart w:id="35" w:name="_Ref146104668"/>
    </w:p>
    <w:p w14:paraId="7D90C32C" w14:textId="77777777" w:rsidR="0009278C" w:rsidRDefault="00CA00A9" w:rsidP="0009278C">
      <w:pPr>
        <w:pStyle w:val="ListParagraph"/>
        <w:numPr>
          <w:ilvl w:val="0"/>
          <w:numId w:val="4"/>
        </w:numPr>
        <w:spacing w:before="120" w:after="120" w:line="240" w:lineRule="auto"/>
        <w:contextualSpacing w:val="0"/>
      </w:pPr>
      <w:r w:rsidRPr="004F0398">
        <w:t>Information provided by any party to a complaint will only be shared with the other party to the complaint with the consent of the party that provided the information. If a party does not agree to share information, the examiner will assess whether this is reasonable in the circumstances and where possible, work with the relevant party to excise any sensitive information that may otherwise limit the sharing of the information.</w:t>
      </w:r>
      <w:bookmarkEnd w:id="35"/>
      <w:r w:rsidRPr="004F0398">
        <w:t xml:space="preserve"> </w:t>
      </w:r>
    </w:p>
    <w:p w14:paraId="281DAF7B" w14:textId="77777777" w:rsidR="0009278C" w:rsidRDefault="00CA00A9" w:rsidP="0009278C">
      <w:pPr>
        <w:pStyle w:val="ListParagraph"/>
        <w:numPr>
          <w:ilvl w:val="0"/>
          <w:numId w:val="4"/>
        </w:numPr>
        <w:spacing w:before="120" w:after="120" w:line="240" w:lineRule="auto"/>
        <w:contextualSpacing w:val="0"/>
      </w:pPr>
      <w:r w:rsidRPr="004F0398">
        <w:lastRenderedPageBreak/>
        <w:t xml:space="preserve">Information that cannot be shared between the parties in some form will not be able to form part of the examiner’s consideration of the </w:t>
      </w:r>
      <w:r w:rsidR="00BB642C">
        <w:t>complaint</w:t>
      </w:r>
      <w:r w:rsidRPr="004F0398">
        <w:t>.</w:t>
      </w:r>
    </w:p>
    <w:p w14:paraId="62128FAC" w14:textId="77777777" w:rsidR="00690D4B" w:rsidRPr="00690D4B" w:rsidRDefault="00CA00A9" w:rsidP="00690D4B">
      <w:pPr>
        <w:pStyle w:val="ListParagraph"/>
        <w:numPr>
          <w:ilvl w:val="0"/>
          <w:numId w:val="4"/>
        </w:numPr>
        <w:spacing w:before="120" w:after="120" w:line="240" w:lineRule="auto"/>
        <w:contextualSpacing w:val="0"/>
      </w:pPr>
      <w:r w:rsidRPr="0009278C">
        <w:rPr>
          <w:rFonts w:cstheme="minorHAnsi"/>
        </w:rPr>
        <w:t>Information shared between the parties or by AusNCP should be kept confidential, including following the conclusion of the complaint, unless</w:t>
      </w:r>
      <w:r w:rsidR="002E724A" w:rsidRPr="0009278C">
        <w:rPr>
          <w:rFonts w:cstheme="minorHAnsi"/>
        </w:rPr>
        <w:t xml:space="preserve">: </w:t>
      </w:r>
    </w:p>
    <w:p w14:paraId="6F652C66" w14:textId="441E37D2" w:rsidR="00690D4B" w:rsidRPr="00690D4B" w:rsidRDefault="0009278C" w:rsidP="00690D4B">
      <w:pPr>
        <w:pStyle w:val="ListParagraph"/>
        <w:numPr>
          <w:ilvl w:val="1"/>
          <w:numId w:val="4"/>
        </w:numPr>
        <w:spacing w:before="120" w:after="120" w:line="240" w:lineRule="auto"/>
        <w:contextualSpacing w:val="0"/>
      </w:pPr>
      <w:r w:rsidRPr="00690D4B">
        <w:rPr>
          <w:rFonts w:cstheme="minorHAnsi"/>
        </w:rPr>
        <w:t>the providing party agrees to its disclosure</w:t>
      </w:r>
    </w:p>
    <w:p w14:paraId="54C0463E" w14:textId="77777777" w:rsidR="00690D4B" w:rsidRPr="00690D4B" w:rsidRDefault="0009278C" w:rsidP="00690D4B">
      <w:pPr>
        <w:pStyle w:val="ListParagraph"/>
        <w:numPr>
          <w:ilvl w:val="1"/>
          <w:numId w:val="4"/>
        </w:numPr>
        <w:spacing w:before="120" w:after="120" w:line="240" w:lineRule="auto"/>
        <w:contextualSpacing w:val="0"/>
      </w:pPr>
      <w:r w:rsidRPr="00690D4B">
        <w:rPr>
          <w:rFonts w:cstheme="minorHAnsi"/>
        </w:rPr>
        <w:t xml:space="preserve">it is in the public domain, or </w:t>
      </w:r>
    </w:p>
    <w:p w14:paraId="25D07BA4" w14:textId="4DF896DC" w:rsidR="0009278C" w:rsidRPr="00690D4B" w:rsidRDefault="0009278C" w:rsidP="00690D4B">
      <w:pPr>
        <w:pStyle w:val="ListParagraph"/>
        <w:numPr>
          <w:ilvl w:val="1"/>
          <w:numId w:val="4"/>
        </w:numPr>
        <w:spacing w:before="120" w:after="120" w:line="240" w:lineRule="auto"/>
        <w:contextualSpacing w:val="0"/>
      </w:pPr>
      <w:r w:rsidRPr="00690D4B">
        <w:rPr>
          <w:rFonts w:cstheme="minorHAnsi"/>
        </w:rPr>
        <w:t>this would be contrary to the provisions of a national law.</w:t>
      </w:r>
    </w:p>
    <w:p w14:paraId="3C9CAD4D" w14:textId="2EE9DE13" w:rsidR="0009278C" w:rsidRPr="0009278C" w:rsidRDefault="0009278C" w:rsidP="0009278C">
      <w:pPr>
        <w:pStyle w:val="ListParagraph"/>
        <w:numPr>
          <w:ilvl w:val="0"/>
          <w:numId w:val="4"/>
        </w:numPr>
        <w:spacing w:before="120" w:after="120" w:line="240" w:lineRule="auto"/>
        <w:contextualSpacing w:val="0"/>
      </w:pPr>
      <w:r w:rsidRPr="004F0398">
        <w:t xml:space="preserve">Parties should be aware that information and documents provided to AusNCP will be subject to the operation of the </w:t>
      </w:r>
      <w:r w:rsidRPr="0009278C">
        <w:rPr>
          <w:i/>
          <w:iCs/>
        </w:rPr>
        <w:t>Freedom of Information Act 1982</w:t>
      </w:r>
      <w:r w:rsidRPr="004F0398">
        <w:t xml:space="preserve"> (FOI Act) and could be released under the provisions of that Act. </w:t>
      </w:r>
      <w:r w:rsidRPr="00D06E5D">
        <w:t xml:space="preserve">The FOI Act outlines a number of </w:t>
      </w:r>
      <w:hyperlink r:id="rId35" w:history="1">
        <w:r w:rsidRPr="0009278C">
          <w:rPr>
            <w:rStyle w:val="Hyperlink"/>
            <w:u w:val="none"/>
          </w:rPr>
          <w:t>exemptions</w:t>
        </w:r>
      </w:hyperlink>
      <w:r w:rsidRPr="00540171">
        <w:rPr>
          <w:rStyle w:val="EndnoteReference"/>
        </w:rPr>
        <w:endnoteReference w:id="11"/>
      </w:r>
      <w:r w:rsidRPr="00D06E5D">
        <w:t xml:space="preserve"> to ensure sensitive information is properly protected. Please note that these exemptions are determined on a case</w:t>
      </w:r>
      <w:r>
        <w:noBreakHyphen/>
      </w:r>
      <w:r w:rsidRPr="00D06E5D">
        <w:t>by</w:t>
      </w:r>
      <w:r>
        <w:noBreakHyphen/>
      </w:r>
      <w:r w:rsidRPr="00D06E5D">
        <w:t>case basis, depending on the type of information sought.</w:t>
      </w:r>
      <w:r w:rsidRPr="004F0398">
        <w:t xml:space="preserve"> The FOI Act sets out a process for ensuring the public’s right to access documents held by government, but it does not prevent agencies from disclosing information outside that process.</w:t>
      </w:r>
    </w:p>
    <w:p w14:paraId="6D710E10" w14:textId="77777777" w:rsidR="0009278C" w:rsidRDefault="00CA00A9" w:rsidP="0009278C">
      <w:pPr>
        <w:pStyle w:val="ListParagraph"/>
        <w:numPr>
          <w:ilvl w:val="0"/>
          <w:numId w:val="4"/>
        </w:numPr>
        <w:spacing w:before="120" w:after="120" w:line="240" w:lineRule="auto"/>
        <w:contextualSpacing w:val="0"/>
      </w:pPr>
      <w:r w:rsidRPr="004F0398">
        <w:t>Parties should also be aware that the Australian Parliament can seek the production of information and documents supplied to or created by the Treasury.</w:t>
      </w:r>
    </w:p>
    <w:p w14:paraId="3E707A6F" w14:textId="77777777" w:rsidR="00690D4B" w:rsidRDefault="00CA00A9" w:rsidP="00690D4B">
      <w:pPr>
        <w:pStyle w:val="ListParagraph"/>
        <w:numPr>
          <w:ilvl w:val="0"/>
          <w:numId w:val="4"/>
        </w:numPr>
        <w:spacing w:before="120" w:after="120" w:line="240" w:lineRule="auto"/>
        <w:contextualSpacing w:val="0"/>
      </w:pPr>
      <w:r w:rsidRPr="004F0398">
        <w:t xml:space="preserve">AusNCP Board members must disclose conflicts of interest relating to AusNCP complaints in accordance with the </w:t>
      </w:r>
      <w:r w:rsidRPr="0009278C">
        <w:rPr>
          <w:i/>
          <w:iCs/>
        </w:rPr>
        <w:t>Guidelines for disclosing interests and managing conflicts</w:t>
      </w:r>
      <w:r w:rsidRPr="004F0398">
        <w:t xml:space="preserve"> annexed to </w:t>
      </w:r>
      <w:r w:rsidRPr="00E16D29">
        <w:t>the</w:t>
      </w:r>
      <w:r w:rsidRPr="004F0398">
        <w:t xml:space="preserve"> AusNCP Board terms of reference. These guidelines outline when and how AusNCP Board members’ conflicts should be identified, assessed and managed</w:t>
      </w:r>
      <w:r w:rsidR="0028130B">
        <w:t xml:space="preserve">. The guidelines </w:t>
      </w:r>
      <w:r w:rsidRPr="004F0398">
        <w:t>help ensure that Board activities, including advice to help manage AusNCP complaints, can</w:t>
      </w:r>
      <w:r w:rsidR="00FE6251">
        <w:t xml:space="preserve">: </w:t>
      </w:r>
    </w:p>
    <w:p w14:paraId="3BF01CA6" w14:textId="77777777" w:rsidR="00690D4B" w:rsidRDefault="001335E8" w:rsidP="00690D4B">
      <w:pPr>
        <w:pStyle w:val="ListParagraph"/>
        <w:numPr>
          <w:ilvl w:val="1"/>
          <w:numId w:val="4"/>
        </w:numPr>
        <w:spacing w:before="120" w:after="120" w:line="240" w:lineRule="auto"/>
        <w:contextualSpacing w:val="0"/>
      </w:pPr>
      <w:r w:rsidRPr="004F0398">
        <w:t xml:space="preserve">withstand scrutiny, and </w:t>
      </w:r>
    </w:p>
    <w:p w14:paraId="3587976F" w14:textId="77777777" w:rsidR="00690D4B" w:rsidRDefault="001335E8" w:rsidP="00690D4B">
      <w:pPr>
        <w:pStyle w:val="ListParagraph"/>
        <w:numPr>
          <w:ilvl w:val="1"/>
          <w:numId w:val="4"/>
        </w:numPr>
        <w:spacing w:before="120" w:after="120" w:line="240" w:lineRule="auto"/>
        <w:contextualSpacing w:val="0"/>
      </w:pPr>
      <w:r w:rsidRPr="004F0398">
        <w:t>are undertaken in a fair</w:t>
      </w:r>
      <w:r>
        <w:t>,</w:t>
      </w:r>
      <w:r w:rsidRPr="004F0398">
        <w:t xml:space="preserve"> and </w:t>
      </w:r>
    </w:p>
    <w:p w14:paraId="33A04FF9" w14:textId="785D7CBF" w:rsidR="001335E8" w:rsidRPr="004F0398" w:rsidRDefault="001335E8" w:rsidP="00690D4B">
      <w:pPr>
        <w:pStyle w:val="ListParagraph"/>
        <w:numPr>
          <w:ilvl w:val="1"/>
          <w:numId w:val="4"/>
        </w:numPr>
        <w:spacing w:before="120" w:after="120" w:line="240" w:lineRule="auto"/>
        <w:contextualSpacing w:val="0"/>
      </w:pPr>
      <w:r w:rsidRPr="004F0398">
        <w:t xml:space="preserve">unbiased way consistent with the OECD’s 2003 advice </w:t>
      </w:r>
      <w:r w:rsidRPr="00C268F2">
        <w:t>on</w:t>
      </w:r>
      <w:r w:rsidRPr="004F0398">
        <w:t xml:space="preserve"> </w:t>
      </w:r>
      <w:r w:rsidRPr="00690D4B">
        <w:rPr>
          <w:i/>
          <w:iCs/>
        </w:rPr>
        <w:t>Managing conflict of interest in the Public Service</w:t>
      </w:r>
      <w:r w:rsidRPr="004F0398">
        <w:t>.</w:t>
      </w:r>
    </w:p>
    <w:p w14:paraId="49C9B7C1" w14:textId="77777777" w:rsidR="001335E8" w:rsidRDefault="001335E8" w:rsidP="001335E8">
      <w:pPr>
        <w:pStyle w:val="ListParagraph"/>
        <w:numPr>
          <w:ilvl w:val="0"/>
          <w:numId w:val="4"/>
        </w:numPr>
        <w:spacing w:before="120" w:after="120" w:line="240" w:lineRule="auto"/>
        <w:contextualSpacing w:val="0"/>
      </w:pPr>
      <w:r w:rsidRPr="004F0398">
        <w:t xml:space="preserve">Examiners must disclose conflicts of interest in accordance with the </w:t>
      </w:r>
      <w:r w:rsidRPr="001335E8">
        <w:rPr>
          <w:i/>
          <w:iCs/>
        </w:rPr>
        <w:t>Independent Examiner Conflicts of Interest Framework</w:t>
      </w:r>
      <w:r w:rsidRPr="004F0398">
        <w:t>. Th</w:t>
      </w:r>
      <w:r w:rsidRPr="00D06E5D">
        <w:t>is</w:t>
      </w:r>
      <w:r w:rsidRPr="004F0398">
        <w:t xml:space="preserve"> framework outlines when and how examiners’ conflicts should be identified, assessed and managed. The framework helps ensure examiners’ management of AusNCP complaints and other activities can withstand scrutiny and are undertaken in a fair and unbiased way consistent with the OECD’s </w:t>
      </w:r>
      <w:r w:rsidRPr="00D06E5D">
        <w:t>2003</w:t>
      </w:r>
      <w:r w:rsidRPr="004F0398">
        <w:t xml:space="preserve"> advice </w:t>
      </w:r>
      <w:r w:rsidRPr="00D06E5D">
        <w:t>in</w:t>
      </w:r>
      <w:r w:rsidRPr="004F0398">
        <w:t xml:space="preserve"> </w:t>
      </w:r>
      <w:r w:rsidRPr="001335E8">
        <w:rPr>
          <w:i/>
          <w:iCs/>
        </w:rPr>
        <w:t>Managing conflict of interest in the Public Service</w:t>
      </w:r>
      <w:r w:rsidRPr="00B64FEA">
        <w:t>.</w:t>
      </w:r>
    </w:p>
    <w:p w14:paraId="7ABE56F5" w14:textId="616AD9A6" w:rsidR="001335E8" w:rsidRDefault="001335E8" w:rsidP="001335E8">
      <w:pPr>
        <w:pStyle w:val="Heading1"/>
      </w:pPr>
      <w:bookmarkStart w:id="36" w:name="_Ref162441431"/>
      <w:bookmarkStart w:id="37" w:name="_Toc163213143"/>
      <w:r w:rsidRPr="004F0398">
        <w:t xml:space="preserve">Withdrawal of </w:t>
      </w:r>
      <w:r>
        <w:t>c</w:t>
      </w:r>
      <w:r w:rsidRPr="00D06E5D">
        <w:t>omplaints</w:t>
      </w:r>
      <w:bookmarkEnd w:id="36"/>
      <w:bookmarkEnd w:id="37"/>
      <w:r w:rsidRPr="004F0398">
        <w:t xml:space="preserve"> </w:t>
      </w:r>
    </w:p>
    <w:p w14:paraId="10489582" w14:textId="56F74E36" w:rsidR="001335E8" w:rsidRPr="004F0398" w:rsidRDefault="001335E8" w:rsidP="001335E8">
      <w:pPr>
        <w:pStyle w:val="ListParagraph"/>
        <w:numPr>
          <w:ilvl w:val="0"/>
          <w:numId w:val="4"/>
        </w:numPr>
        <w:spacing w:before="120" w:after="120" w:line="240" w:lineRule="auto"/>
        <w:contextualSpacing w:val="0"/>
      </w:pPr>
      <w:r w:rsidRPr="004F0398">
        <w:t>Notifiers may request to withdraw their case in writing to AusNCP. If this occurs, the examiner will:</w:t>
      </w:r>
    </w:p>
    <w:p w14:paraId="1CAC8BF9" w14:textId="0C236A07" w:rsidR="00CA00A9" w:rsidRPr="004F0398" w:rsidRDefault="00CA00A9" w:rsidP="00B64FEA">
      <w:pPr>
        <w:pStyle w:val="ListParagraph"/>
        <w:numPr>
          <w:ilvl w:val="1"/>
          <w:numId w:val="4"/>
        </w:numPr>
        <w:spacing w:before="120" w:after="120" w:line="240" w:lineRule="auto"/>
        <w:ind w:left="792"/>
        <w:contextualSpacing w:val="0"/>
      </w:pPr>
      <w:r w:rsidRPr="004F0398">
        <w:t xml:space="preserve">consider whether there have been any concerns about reprisals or safety consistent with </w:t>
      </w:r>
      <w:r w:rsidRPr="000A443E">
        <w:t>paragraph</w:t>
      </w:r>
      <w:r w:rsidR="00A34FC8" w:rsidRPr="000A443E">
        <w:t xml:space="preserve"> </w:t>
      </w:r>
      <w:r w:rsidR="001677C5">
        <w:t>10</w:t>
      </w:r>
      <w:r w:rsidRPr="000A443E">
        <w:t>,</w:t>
      </w:r>
      <w:r w:rsidRPr="004F0398">
        <w:t xml:space="preserve"> including where appropriate by contacting the notifier or other relevant parties</w:t>
      </w:r>
    </w:p>
    <w:p w14:paraId="22829E82" w14:textId="61A1A943" w:rsidR="00CA00A9" w:rsidRPr="004F0398" w:rsidRDefault="00CA00A9" w:rsidP="00B64FEA">
      <w:pPr>
        <w:pStyle w:val="ListParagraph"/>
        <w:numPr>
          <w:ilvl w:val="1"/>
          <w:numId w:val="4"/>
        </w:numPr>
        <w:spacing w:before="120" w:after="120" w:line="240" w:lineRule="auto"/>
        <w:ind w:left="792"/>
        <w:contextualSpacing w:val="0"/>
      </w:pPr>
      <w:r w:rsidRPr="004F0398">
        <w:t>consult the enterprise</w:t>
      </w:r>
      <w:r w:rsidR="000C6C1B">
        <w:t>, and</w:t>
      </w:r>
      <w:r w:rsidRPr="004F0398">
        <w:t xml:space="preserve"> </w:t>
      </w:r>
    </w:p>
    <w:p w14:paraId="79F81924" w14:textId="77777777" w:rsidR="001335E8" w:rsidRDefault="00CA00A9" w:rsidP="001335E8">
      <w:pPr>
        <w:pStyle w:val="ListParagraph"/>
        <w:numPr>
          <w:ilvl w:val="1"/>
          <w:numId w:val="4"/>
        </w:numPr>
        <w:spacing w:before="120" w:after="120" w:line="240" w:lineRule="auto"/>
        <w:ind w:left="792"/>
        <w:contextualSpacing w:val="0"/>
      </w:pPr>
      <w:r w:rsidRPr="004F0398">
        <w:t xml:space="preserve">where appropriate, close the </w:t>
      </w:r>
      <w:r w:rsidR="00BB642C">
        <w:t>complaint</w:t>
      </w:r>
      <w:r w:rsidRPr="004F0398">
        <w:t>.</w:t>
      </w:r>
    </w:p>
    <w:p w14:paraId="55B4CCE3" w14:textId="2B55B2A1" w:rsidR="00CA00A9" w:rsidRPr="004F0398" w:rsidRDefault="00CA00A9" w:rsidP="00DA0BB6">
      <w:pPr>
        <w:pStyle w:val="ListParagraph"/>
        <w:numPr>
          <w:ilvl w:val="0"/>
          <w:numId w:val="4"/>
        </w:numPr>
        <w:spacing w:before="120" w:after="120" w:line="240" w:lineRule="auto"/>
        <w:contextualSpacing w:val="0"/>
      </w:pPr>
      <w:r w:rsidRPr="004F0398">
        <w:t xml:space="preserve">Withdrawn complaints will be publicly acknowledged </w:t>
      </w:r>
      <w:r w:rsidRPr="00D06E5D">
        <w:t>on the AusNCP website</w:t>
      </w:r>
      <w:r w:rsidRPr="004F0398">
        <w:t xml:space="preserve"> through the publication of a final statement consistent with </w:t>
      </w:r>
      <w:r w:rsidRPr="00D06E5D">
        <w:t>the</w:t>
      </w:r>
      <w:r w:rsidRPr="004F0398">
        <w:t xml:space="preserve"> ‘</w:t>
      </w:r>
      <w:r w:rsidR="001677C5" w:rsidRPr="008566C2">
        <w:t>Final statement</w:t>
      </w:r>
      <w:r w:rsidRPr="004F0398">
        <w:t>’ section.</w:t>
      </w:r>
      <w:r w:rsidRPr="004F0398">
        <w:br w:type="page"/>
      </w:r>
    </w:p>
    <w:p w14:paraId="1424F49D" w14:textId="77777777" w:rsidR="00CA00A9" w:rsidRPr="004F0398" w:rsidRDefault="00CA00A9" w:rsidP="00CA00A9">
      <w:pPr>
        <w:pStyle w:val="Heading1"/>
      </w:pPr>
      <w:bookmarkStart w:id="38" w:name="_Toc163213144"/>
      <w:r w:rsidRPr="004F0398">
        <w:lastRenderedPageBreak/>
        <w:t>Glossary</w:t>
      </w:r>
      <w:bookmarkEnd w:id="38"/>
      <w:r w:rsidRPr="004F0398">
        <w:t xml:space="preserve"> </w:t>
      </w:r>
    </w:p>
    <w:tbl>
      <w:tblPr>
        <w:tblStyle w:val="TableGrid"/>
        <w:tblW w:w="0" w:type="auto"/>
        <w:tblLook w:val="04A0" w:firstRow="1" w:lastRow="0" w:firstColumn="1" w:lastColumn="0" w:noHBand="0" w:noVBand="1"/>
      </w:tblPr>
      <w:tblGrid>
        <w:gridCol w:w="2400"/>
        <w:gridCol w:w="6616"/>
      </w:tblGrid>
      <w:tr w:rsidR="00CA00A9" w:rsidRPr="004F0398" w14:paraId="246A696E" w14:textId="77777777" w:rsidTr="008E448F">
        <w:tc>
          <w:tcPr>
            <w:tcW w:w="2400" w:type="dxa"/>
          </w:tcPr>
          <w:p w14:paraId="68C8DDD6" w14:textId="77777777" w:rsidR="00CA00A9" w:rsidRPr="004F0398" w:rsidRDefault="00CA00A9">
            <w:pPr>
              <w:rPr>
                <w:b/>
                <w:bCs/>
              </w:rPr>
            </w:pPr>
            <w:bookmarkStart w:id="39" w:name="Board"/>
            <w:bookmarkEnd w:id="39"/>
            <w:r w:rsidRPr="004F0398">
              <w:rPr>
                <w:b/>
                <w:bCs/>
              </w:rPr>
              <w:t xml:space="preserve">AusNCP Governance and Advisory Board (the Board) </w:t>
            </w:r>
          </w:p>
        </w:tc>
        <w:tc>
          <w:tcPr>
            <w:tcW w:w="6616" w:type="dxa"/>
          </w:tcPr>
          <w:p w14:paraId="7CF33A6C" w14:textId="77777777" w:rsidR="00CA00A9" w:rsidRPr="004F0398" w:rsidRDefault="00CA00A9">
            <w:r w:rsidRPr="004F0398">
              <w:t>A multi-stakeholder body that supports AusNCP and independent examiners.</w:t>
            </w:r>
          </w:p>
          <w:p w14:paraId="1A153FB7" w14:textId="77777777" w:rsidR="00CA00A9" w:rsidRPr="004F0398" w:rsidRDefault="00CA00A9"/>
          <w:p w14:paraId="3C3A1A56" w14:textId="77777777" w:rsidR="00CA00A9" w:rsidRPr="004F0398" w:rsidRDefault="00CA00A9">
            <w:r w:rsidRPr="004F0398">
              <w:t xml:space="preserve">The Board has representatives from the Australian Government, civil society, business and unions. </w:t>
            </w:r>
          </w:p>
          <w:p w14:paraId="1C111A54" w14:textId="77777777" w:rsidR="00CA00A9" w:rsidRPr="004F0398" w:rsidRDefault="00CA00A9"/>
          <w:p w14:paraId="572BCE1F" w14:textId="77777777" w:rsidR="00CA00A9" w:rsidRPr="004F0398" w:rsidRDefault="00CA00A9">
            <w:r w:rsidRPr="004F0398">
              <w:t>The Board and its members are available to the independent examiners to provide advice throughout the handling of complaints.</w:t>
            </w:r>
          </w:p>
          <w:p w14:paraId="468F71A6" w14:textId="77777777" w:rsidR="00CA00A9" w:rsidRPr="004F0398" w:rsidRDefault="00CA00A9"/>
          <w:p w14:paraId="0807C6D9" w14:textId="77777777" w:rsidR="00CA00A9" w:rsidRPr="004F0398" w:rsidRDefault="00CA00A9">
            <w:r w:rsidRPr="004F0398">
              <w:t>Members of the Board may also conduct procedural reviews in accordance with this document.</w:t>
            </w:r>
          </w:p>
          <w:p w14:paraId="2D6428A2" w14:textId="77777777" w:rsidR="00CA00A9" w:rsidRPr="004F0398" w:rsidRDefault="00CA00A9"/>
          <w:p w14:paraId="7677925C" w14:textId="0EB7D6B9" w:rsidR="00CA00A9" w:rsidRPr="004F0398" w:rsidRDefault="00CA00A9">
            <w:r w:rsidRPr="004F0398">
              <w:t xml:space="preserve">The Board terms of reference and membership are available on the </w:t>
            </w:r>
            <w:hyperlink r:id="rId36" w:history="1">
              <w:r w:rsidR="001303F9">
                <w:rPr>
                  <w:rStyle w:val="Hyperlink"/>
                </w:rPr>
                <w:t>AusNCP website</w:t>
              </w:r>
            </w:hyperlink>
            <w:r w:rsidRPr="004F0398">
              <w:t>.</w:t>
            </w:r>
            <w:r w:rsidRPr="004F0398">
              <w:rPr>
                <w:rStyle w:val="EndnoteReference"/>
              </w:rPr>
              <w:endnoteReference w:id="12"/>
            </w:r>
          </w:p>
          <w:p w14:paraId="6436C683" w14:textId="77777777" w:rsidR="00CA00A9" w:rsidRPr="004F0398" w:rsidRDefault="00CA00A9"/>
        </w:tc>
      </w:tr>
      <w:tr w:rsidR="00CA00A9" w:rsidRPr="004F0398" w14:paraId="1E06B3FD" w14:textId="77777777" w:rsidTr="008E448F">
        <w:tc>
          <w:tcPr>
            <w:tcW w:w="2400" w:type="dxa"/>
          </w:tcPr>
          <w:p w14:paraId="215B72A3" w14:textId="77777777" w:rsidR="00CA00A9" w:rsidRPr="004F0398" w:rsidRDefault="00CA00A9">
            <w:pPr>
              <w:rPr>
                <w:b/>
                <w:bCs/>
              </w:rPr>
            </w:pPr>
            <w:bookmarkStart w:id="40" w:name="secretariat"/>
            <w:bookmarkEnd w:id="40"/>
            <w:r w:rsidRPr="004F0398">
              <w:rPr>
                <w:b/>
                <w:bCs/>
              </w:rPr>
              <w:t>AusNCP secretariat (the secretariat)</w:t>
            </w:r>
          </w:p>
        </w:tc>
        <w:tc>
          <w:tcPr>
            <w:tcW w:w="6616" w:type="dxa"/>
          </w:tcPr>
          <w:p w14:paraId="4C498A3E" w14:textId="0D31EB84" w:rsidR="00CA00A9" w:rsidRPr="00D06E5D" w:rsidRDefault="00CA00A9">
            <w:pPr>
              <w:rPr>
                <w:strike/>
              </w:rPr>
            </w:pPr>
            <w:r w:rsidRPr="00D06E5D">
              <w:t>The</w:t>
            </w:r>
            <w:r w:rsidRPr="004F0398">
              <w:t xml:space="preserve"> secretariat is staffed by the Australian Treasury </w:t>
            </w:r>
            <w:r w:rsidRPr="00D06E5D">
              <w:t>and</w:t>
            </w:r>
            <w:r w:rsidRPr="004F0398">
              <w:t xml:space="preserve"> provides coordination and support services to the independent examiners and the Boar</w:t>
            </w:r>
            <w:r w:rsidR="00D06E5D">
              <w:t>d.</w:t>
            </w:r>
          </w:p>
          <w:p w14:paraId="3C493AC0" w14:textId="77777777" w:rsidR="00CA00A9" w:rsidRPr="004F0398" w:rsidRDefault="00CA00A9"/>
          <w:p w14:paraId="605FA380" w14:textId="3C5F4E66" w:rsidR="00CA00A9" w:rsidRPr="004F0398" w:rsidRDefault="00CA00A9">
            <w:r w:rsidRPr="00D06E5D">
              <w:t>The secretariat</w:t>
            </w:r>
            <w:r w:rsidRPr="004F0398">
              <w:t xml:space="preserve"> procures professional services as required, such as formal mediation, conciliation, translation services and legal advice.</w:t>
            </w:r>
          </w:p>
          <w:p w14:paraId="501057D7" w14:textId="77777777" w:rsidR="00CA00A9" w:rsidRPr="004F0398" w:rsidRDefault="00CA00A9"/>
        </w:tc>
      </w:tr>
      <w:tr w:rsidR="00CA00A9" w:rsidRPr="004F0398" w14:paraId="28C816D5" w14:textId="77777777" w:rsidTr="008E448F">
        <w:tc>
          <w:tcPr>
            <w:tcW w:w="2400" w:type="dxa"/>
          </w:tcPr>
          <w:p w14:paraId="0233C56F" w14:textId="77777777" w:rsidR="00CA00A9" w:rsidRPr="004F0398" w:rsidRDefault="00CA00A9">
            <w:pPr>
              <w:rPr>
                <w:b/>
                <w:bCs/>
              </w:rPr>
            </w:pPr>
            <w:bookmarkStart w:id="41" w:name="complaint"/>
            <w:bookmarkEnd w:id="41"/>
            <w:r w:rsidRPr="004F0398">
              <w:rPr>
                <w:b/>
                <w:bCs/>
              </w:rPr>
              <w:t>complaint/case/specific instance</w:t>
            </w:r>
          </w:p>
        </w:tc>
        <w:tc>
          <w:tcPr>
            <w:tcW w:w="6616" w:type="dxa"/>
          </w:tcPr>
          <w:p w14:paraId="1729E29B" w14:textId="1A0A6A32" w:rsidR="00CA00A9" w:rsidRPr="004F0398" w:rsidRDefault="00CA00A9">
            <w:r w:rsidRPr="004F0398">
              <w:t xml:space="preserve">A complaint </w:t>
            </w:r>
            <w:r w:rsidRPr="00D06E5D">
              <w:t>about a</w:t>
            </w:r>
            <w:r w:rsidR="00F67508" w:rsidRPr="00D06E5D">
              <w:t>n</w:t>
            </w:r>
            <w:r w:rsidRPr="00D06E5D">
              <w:t xml:space="preserve"> </w:t>
            </w:r>
            <w:r w:rsidR="00583B93" w:rsidRPr="00D06E5D">
              <w:t>enterprise’s</w:t>
            </w:r>
            <w:r w:rsidR="00583B93" w:rsidRPr="004F0398">
              <w:t xml:space="preserve"> </w:t>
            </w:r>
            <w:r w:rsidRPr="004F0398">
              <w:t>conduct relat</w:t>
            </w:r>
            <w:r w:rsidRPr="00D06E5D">
              <w:t>ing</w:t>
            </w:r>
            <w:r w:rsidRPr="00D06E5D">
              <w:rPr>
                <w:b/>
                <w:bCs/>
                <w:i/>
                <w:iCs/>
              </w:rPr>
              <w:t xml:space="preserve"> </w:t>
            </w:r>
            <w:r w:rsidRPr="004F0398">
              <w:t xml:space="preserve">to the OECD Guidelines. </w:t>
            </w:r>
          </w:p>
          <w:p w14:paraId="3CE71F64" w14:textId="77777777" w:rsidR="00CA00A9" w:rsidRPr="004F0398" w:rsidRDefault="00CA00A9"/>
          <w:p w14:paraId="09AC09F6" w14:textId="662479B3" w:rsidR="00CA00A9" w:rsidRPr="004F0398" w:rsidRDefault="00CA00A9">
            <w:r w:rsidRPr="00D06E5D">
              <w:t>AusNCP uses</w:t>
            </w:r>
            <w:r w:rsidRPr="004F0398">
              <w:t xml:space="preserve"> the terms ‘specific instance’, ‘complaint’ and ‘case’</w:t>
            </w:r>
            <w:r w:rsidR="00D06E5D">
              <w:t xml:space="preserve"> </w:t>
            </w:r>
            <w:r w:rsidRPr="004F0398">
              <w:t>interchangeably.</w:t>
            </w:r>
          </w:p>
          <w:p w14:paraId="2806D28C" w14:textId="77777777" w:rsidR="00CA00A9" w:rsidRPr="004F0398" w:rsidRDefault="00CA00A9"/>
        </w:tc>
      </w:tr>
      <w:tr w:rsidR="00CA00A9" w:rsidRPr="004F0398" w14:paraId="2FF70E17" w14:textId="77777777" w:rsidTr="008E448F">
        <w:tc>
          <w:tcPr>
            <w:tcW w:w="2400" w:type="dxa"/>
          </w:tcPr>
          <w:p w14:paraId="1F20B848" w14:textId="77777777" w:rsidR="00CA00A9" w:rsidRPr="00B41B9F" w:rsidRDefault="00CA00A9">
            <w:pPr>
              <w:rPr>
                <w:b/>
                <w:bCs/>
              </w:rPr>
            </w:pPr>
            <w:bookmarkStart w:id="42" w:name="conduct"/>
            <w:bookmarkEnd w:id="42"/>
            <w:r w:rsidRPr="00B41B9F">
              <w:rPr>
                <w:b/>
                <w:bCs/>
              </w:rPr>
              <w:t xml:space="preserve">conduct </w:t>
            </w:r>
          </w:p>
        </w:tc>
        <w:tc>
          <w:tcPr>
            <w:tcW w:w="6616" w:type="dxa"/>
          </w:tcPr>
          <w:p w14:paraId="454A5FE6" w14:textId="77777777" w:rsidR="00CA00A9" w:rsidRPr="00D06E5D" w:rsidRDefault="00CA00A9">
            <w:r w:rsidRPr="00D06E5D">
              <w:t>May include acts, omissions, responsibilities or decisions.</w:t>
            </w:r>
          </w:p>
          <w:p w14:paraId="514DC7CE" w14:textId="77777777" w:rsidR="00CA00A9" w:rsidRPr="004F0398" w:rsidRDefault="00CA00A9">
            <w:pPr>
              <w:rPr>
                <w:b/>
                <w:bCs/>
                <w:i/>
                <w:iCs/>
                <w:u w:val="single"/>
              </w:rPr>
            </w:pPr>
          </w:p>
        </w:tc>
      </w:tr>
      <w:tr w:rsidR="00CA00A9" w:rsidRPr="004F0398" w14:paraId="690B812F" w14:textId="77777777" w:rsidTr="008E448F">
        <w:tc>
          <w:tcPr>
            <w:tcW w:w="2400" w:type="dxa"/>
          </w:tcPr>
          <w:p w14:paraId="33E4638B" w14:textId="77777777" w:rsidR="00CA00A9" w:rsidRPr="004F0398" w:rsidRDefault="00CA00A9">
            <w:pPr>
              <w:rPr>
                <w:b/>
                <w:bCs/>
              </w:rPr>
            </w:pPr>
            <w:bookmarkStart w:id="43" w:name="core"/>
            <w:bookmarkEnd w:id="43"/>
            <w:r w:rsidRPr="004F0398">
              <w:rPr>
                <w:b/>
                <w:bCs/>
              </w:rPr>
              <w:t xml:space="preserve">core effectiveness criteria </w:t>
            </w:r>
          </w:p>
        </w:tc>
        <w:tc>
          <w:tcPr>
            <w:tcW w:w="6616" w:type="dxa"/>
          </w:tcPr>
          <w:p w14:paraId="5BCBA782" w14:textId="576DFE83" w:rsidR="00CA00A9" w:rsidRPr="004F0398" w:rsidRDefault="00CA00A9">
            <w:r w:rsidRPr="004F0398">
              <w:t xml:space="preserve">A set of criteria </w:t>
            </w:r>
            <w:r w:rsidRPr="00D06E5D">
              <w:t>outlined in the OECD Guidelines</w:t>
            </w:r>
            <w:r w:rsidRPr="004F0398">
              <w:rPr>
                <w:rStyle w:val="EndnoteReference"/>
              </w:rPr>
              <w:endnoteReference w:id="13"/>
            </w:r>
            <w:r w:rsidRPr="004F0398">
              <w:t xml:space="preserve"> that all NCPs seek to meet to function with an equivalent degree of effectiveness. </w:t>
            </w:r>
          </w:p>
          <w:p w14:paraId="2EE6022A" w14:textId="77777777" w:rsidR="00CA00A9" w:rsidRPr="004F0398" w:rsidRDefault="00CA00A9"/>
          <w:p w14:paraId="48EDDA3A" w14:textId="77777777" w:rsidR="00CA00A9" w:rsidRPr="004F0398" w:rsidRDefault="00CA00A9">
            <w:r w:rsidRPr="004F0398">
              <w:t xml:space="preserve">The core effectiveness criteria are: </w:t>
            </w:r>
          </w:p>
          <w:p w14:paraId="67D9BC28" w14:textId="77777777" w:rsidR="00CA00A9" w:rsidRPr="004F0398" w:rsidRDefault="00CA00A9" w:rsidP="00CA00A9">
            <w:pPr>
              <w:pStyle w:val="ListParagraph"/>
              <w:numPr>
                <w:ilvl w:val="0"/>
                <w:numId w:val="14"/>
              </w:numPr>
            </w:pPr>
            <w:r w:rsidRPr="004F0398">
              <w:t>visible</w:t>
            </w:r>
          </w:p>
          <w:p w14:paraId="2714499D" w14:textId="77777777" w:rsidR="00CA00A9" w:rsidRPr="004F0398" w:rsidRDefault="00CA00A9" w:rsidP="00CA00A9">
            <w:pPr>
              <w:pStyle w:val="ListParagraph"/>
              <w:numPr>
                <w:ilvl w:val="0"/>
                <w:numId w:val="14"/>
              </w:numPr>
            </w:pPr>
            <w:r w:rsidRPr="004F0398">
              <w:t>accessible</w:t>
            </w:r>
          </w:p>
          <w:p w14:paraId="5058C1E8" w14:textId="77777777" w:rsidR="00CA00A9" w:rsidRPr="004F0398" w:rsidRDefault="00CA00A9" w:rsidP="00CA00A9">
            <w:pPr>
              <w:pStyle w:val="ListParagraph"/>
              <w:numPr>
                <w:ilvl w:val="0"/>
                <w:numId w:val="14"/>
              </w:numPr>
            </w:pPr>
            <w:r w:rsidRPr="004F0398">
              <w:t>transparent</w:t>
            </w:r>
          </w:p>
          <w:p w14:paraId="7813D21F" w14:textId="77777777" w:rsidR="00CA00A9" w:rsidRPr="004F0398" w:rsidRDefault="00CA00A9" w:rsidP="00CA00A9">
            <w:pPr>
              <w:pStyle w:val="ListParagraph"/>
              <w:numPr>
                <w:ilvl w:val="0"/>
                <w:numId w:val="14"/>
              </w:numPr>
            </w:pPr>
            <w:r w:rsidRPr="004F0398">
              <w:t>accountable</w:t>
            </w:r>
          </w:p>
          <w:p w14:paraId="2B70DE3B" w14:textId="77777777" w:rsidR="00CA00A9" w:rsidRPr="004F0398" w:rsidRDefault="00CA00A9" w:rsidP="00CA00A9">
            <w:pPr>
              <w:pStyle w:val="ListParagraph"/>
              <w:numPr>
                <w:ilvl w:val="0"/>
                <w:numId w:val="14"/>
              </w:numPr>
            </w:pPr>
            <w:r w:rsidRPr="004F0398">
              <w:t>impartial and equitable</w:t>
            </w:r>
          </w:p>
          <w:p w14:paraId="240A57B9" w14:textId="77777777" w:rsidR="00CA00A9" w:rsidRPr="004F0398" w:rsidRDefault="00CA00A9" w:rsidP="00CA00A9">
            <w:pPr>
              <w:pStyle w:val="ListParagraph"/>
              <w:numPr>
                <w:ilvl w:val="0"/>
                <w:numId w:val="14"/>
              </w:numPr>
            </w:pPr>
            <w:r w:rsidRPr="004F0398">
              <w:t>predictable</w:t>
            </w:r>
          </w:p>
          <w:p w14:paraId="3BD42953" w14:textId="77777777" w:rsidR="00CA00A9" w:rsidRPr="004F0398" w:rsidRDefault="00CA00A9" w:rsidP="00CA00A9">
            <w:pPr>
              <w:pStyle w:val="ListParagraph"/>
              <w:numPr>
                <w:ilvl w:val="0"/>
                <w:numId w:val="14"/>
              </w:numPr>
            </w:pPr>
            <w:r w:rsidRPr="004F0398">
              <w:t>compatible with the OECD Guidelines.</w:t>
            </w:r>
          </w:p>
          <w:p w14:paraId="55423C2E" w14:textId="77777777" w:rsidR="00CA00A9" w:rsidRPr="004F0398" w:rsidRDefault="00CA00A9"/>
        </w:tc>
      </w:tr>
      <w:tr w:rsidR="00CA00A9" w:rsidRPr="004F0398" w14:paraId="1380DC1A" w14:textId="77777777" w:rsidTr="008E448F">
        <w:tc>
          <w:tcPr>
            <w:tcW w:w="2400" w:type="dxa"/>
          </w:tcPr>
          <w:p w14:paraId="7967C50F" w14:textId="77777777" w:rsidR="00CA00A9" w:rsidRPr="004F0398" w:rsidRDefault="00CA00A9">
            <w:pPr>
              <w:rPr>
                <w:b/>
                <w:bCs/>
              </w:rPr>
            </w:pPr>
            <w:bookmarkStart w:id="44" w:name="due"/>
            <w:bookmarkEnd w:id="44"/>
            <w:r w:rsidRPr="004F0398">
              <w:rPr>
                <w:b/>
                <w:bCs/>
              </w:rPr>
              <w:t xml:space="preserve">due diligence </w:t>
            </w:r>
          </w:p>
        </w:tc>
        <w:tc>
          <w:tcPr>
            <w:tcW w:w="6616" w:type="dxa"/>
          </w:tcPr>
          <w:p w14:paraId="1CFFBA40" w14:textId="25AE8776" w:rsidR="00CA00A9" w:rsidRDefault="00CA00A9">
            <w:pPr>
              <w:rPr>
                <w:lang w:val="en-GB"/>
              </w:rPr>
            </w:pPr>
            <w:r w:rsidRPr="004F0398">
              <w:rPr>
                <w:lang w:val="en-GB"/>
              </w:rPr>
              <w:t xml:space="preserve">Due diligence (in the context of the OECD Guidelines) is an outward-facing approach to risk – it assesses risk to </w:t>
            </w:r>
            <w:r w:rsidRPr="004F0398">
              <w:t>people, the environment and society, instead of risk to the enterprise</w:t>
            </w:r>
            <w:r w:rsidRPr="004F0398">
              <w:rPr>
                <w:lang w:val="en-GB"/>
              </w:rPr>
              <w:t>.</w:t>
            </w:r>
          </w:p>
          <w:p w14:paraId="0F8074EC" w14:textId="77777777" w:rsidR="009C20E6" w:rsidRPr="004F0398" w:rsidRDefault="009C20E6">
            <w:pPr>
              <w:rPr>
                <w:lang w:val="en-GB"/>
              </w:rPr>
            </w:pPr>
          </w:p>
          <w:p w14:paraId="1998EF03" w14:textId="531DC644" w:rsidR="00CA00A9" w:rsidRPr="004F0398" w:rsidRDefault="00CA00A9">
            <w:r w:rsidRPr="004F0398">
              <w:t xml:space="preserve">Due diligence is how companies can identify, prevent, mitigate and account for how they address their actual and potential adverse </w:t>
            </w:r>
            <w:r w:rsidRPr="004F0398">
              <w:lastRenderedPageBreak/>
              <w:t>impacts as an integral part of business decision-making and risk</w:t>
            </w:r>
            <w:r w:rsidR="002C3349">
              <w:noBreakHyphen/>
            </w:r>
            <w:r w:rsidRPr="004F0398">
              <w:t xml:space="preserve">management systems. </w:t>
            </w:r>
          </w:p>
          <w:p w14:paraId="1B15FDB0" w14:textId="77777777" w:rsidR="00CA00A9" w:rsidRPr="004F0398" w:rsidRDefault="00CA00A9"/>
          <w:p w14:paraId="35B21A3C" w14:textId="7ACDF73E" w:rsidR="00CA00A9" w:rsidRPr="004F0398" w:rsidRDefault="00CA00A9">
            <w:r w:rsidRPr="004F0398">
              <w:t>The OECD Guidelines recommend enterprises undertake risk-based due diligence</w:t>
            </w:r>
            <w:r w:rsidR="005C772E">
              <w:t>.</w:t>
            </w:r>
            <w:r w:rsidRPr="004F0398">
              <w:t xml:space="preserve"> </w:t>
            </w:r>
          </w:p>
          <w:p w14:paraId="0CA54CB6" w14:textId="77777777" w:rsidR="00CA00A9" w:rsidRPr="004F0398" w:rsidRDefault="00CA00A9"/>
          <w:p w14:paraId="6BFED8DE" w14:textId="77777777" w:rsidR="009C20E6" w:rsidRDefault="00CA00A9">
            <w:r w:rsidRPr="00D06E5D">
              <w:t>The OECD Due Diligence Guidance</w:t>
            </w:r>
            <w:r w:rsidR="005047EE" w:rsidRPr="00D06E5D">
              <w:t xml:space="preserve"> for</w:t>
            </w:r>
            <w:r w:rsidR="008C71C7" w:rsidRPr="00925BF4">
              <w:t xml:space="preserve"> </w:t>
            </w:r>
            <w:r w:rsidR="008C71C7" w:rsidRPr="00EC0A55">
              <w:t>Responsible Business Conduct</w:t>
            </w:r>
            <w:r w:rsidR="005047EE">
              <w:rPr>
                <w:b/>
                <w:bCs/>
                <w:i/>
                <w:iCs/>
                <w:u w:val="single"/>
              </w:rPr>
              <w:t xml:space="preserve"> </w:t>
            </w:r>
            <w:r w:rsidRPr="00D06E5D">
              <w:t>explains how companies can undertake due diligence</w:t>
            </w:r>
            <w:r w:rsidR="009D72C7" w:rsidRPr="00EC0A55">
              <w:t xml:space="preserve">. </w:t>
            </w:r>
          </w:p>
          <w:p w14:paraId="6BC3F3A7" w14:textId="77777777" w:rsidR="009C20E6" w:rsidRDefault="009C20E6"/>
          <w:p w14:paraId="3C7C9E96" w14:textId="5CCD5831" w:rsidR="00CA00A9" w:rsidRPr="004F0398" w:rsidRDefault="008C71C7">
            <w:r w:rsidRPr="00EC0A55">
              <w:t xml:space="preserve">The OECD has developed a </w:t>
            </w:r>
            <w:hyperlink r:id="rId37" w:history="1">
              <w:r w:rsidR="00726EE9">
                <w:rPr>
                  <w:rStyle w:val="Hyperlink"/>
                </w:rPr>
                <w:t>range of sector-specific due diligence guidance</w:t>
              </w:r>
            </w:hyperlink>
            <w:r w:rsidR="00CA00A9" w:rsidRPr="004F0398">
              <w:rPr>
                <w:rStyle w:val="EndnoteReference"/>
              </w:rPr>
              <w:endnoteReference w:id="14"/>
            </w:r>
          </w:p>
          <w:p w14:paraId="13DCAA60" w14:textId="77777777" w:rsidR="00CA00A9" w:rsidRPr="004F0398" w:rsidRDefault="00CA00A9"/>
        </w:tc>
      </w:tr>
      <w:tr w:rsidR="008968C1" w:rsidRPr="004F0398" w14:paraId="1B1C62EA" w14:textId="77777777" w:rsidTr="008E448F">
        <w:tc>
          <w:tcPr>
            <w:tcW w:w="2400" w:type="dxa"/>
          </w:tcPr>
          <w:p w14:paraId="72BC158C" w14:textId="0E8B5350" w:rsidR="008968C1" w:rsidRPr="004F0398" w:rsidRDefault="009A7378">
            <w:pPr>
              <w:rPr>
                <w:b/>
                <w:bCs/>
              </w:rPr>
            </w:pPr>
            <w:bookmarkStart w:id="45" w:name="discussion"/>
            <w:bookmarkEnd w:id="45"/>
            <w:r>
              <w:rPr>
                <w:b/>
                <w:bCs/>
              </w:rPr>
              <w:lastRenderedPageBreak/>
              <w:t>d</w:t>
            </w:r>
            <w:r w:rsidR="008968C1">
              <w:rPr>
                <w:b/>
                <w:bCs/>
              </w:rPr>
              <w:t>iscussion plan</w:t>
            </w:r>
          </w:p>
        </w:tc>
        <w:tc>
          <w:tcPr>
            <w:tcW w:w="6616" w:type="dxa"/>
          </w:tcPr>
          <w:p w14:paraId="349389DB" w14:textId="7F7B19B6" w:rsidR="008968C1" w:rsidRPr="008968C1" w:rsidRDefault="008968C1">
            <w:pPr>
              <w:rPr>
                <w:lang w:val="en-GB"/>
              </w:rPr>
            </w:pPr>
            <w:r w:rsidRPr="00D3515C">
              <w:t>Discussion plans are flexible and tailored for a specific complaint.</w:t>
            </w:r>
            <w:r w:rsidRPr="00FC71AC">
              <w:rPr>
                <w:i/>
                <w:iCs/>
              </w:rPr>
              <w:t> </w:t>
            </w:r>
          </w:p>
        </w:tc>
      </w:tr>
      <w:tr w:rsidR="00CA00A9" w:rsidRPr="004F0398" w14:paraId="573B36C6" w14:textId="77777777" w:rsidTr="008E448F">
        <w:tc>
          <w:tcPr>
            <w:tcW w:w="2400" w:type="dxa"/>
          </w:tcPr>
          <w:p w14:paraId="51887FE6" w14:textId="77777777" w:rsidR="00CA00A9" w:rsidRPr="004F0398" w:rsidRDefault="00CA00A9">
            <w:pPr>
              <w:rPr>
                <w:b/>
                <w:bCs/>
              </w:rPr>
            </w:pPr>
            <w:bookmarkStart w:id="46" w:name="dispute"/>
            <w:bookmarkEnd w:id="46"/>
            <w:r w:rsidRPr="004F0398">
              <w:rPr>
                <w:b/>
                <w:bCs/>
              </w:rPr>
              <w:t xml:space="preserve">dispute resolution </w:t>
            </w:r>
          </w:p>
        </w:tc>
        <w:tc>
          <w:tcPr>
            <w:tcW w:w="6616" w:type="dxa"/>
          </w:tcPr>
          <w:p w14:paraId="3CEC8098" w14:textId="77777777" w:rsidR="009C20E6" w:rsidRDefault="00CA00A9">
            <w:r w:rsidRPr="004F0398">
              <w:t xml:space="preserve">Facilitated discussion services offered by the independent examiners and supported by AusNCP, intended to assist the parties to resolve a complaint once it has been accepted by an </w:t>
            </w:r>
            <w:r w:rsidR="002C2BD5">
              <w:t>i</w:t>
            </w:r>
            <w:r w:rsidRPr="004F0398">
              <w:t xml:space="preserve">ndependent </w:t>
            </w:r>
            <w:r w:rsidR="002C2BD5">
              <w:t>e</w:t>
            </w:r>
            <w:r w:rsidR="002C2BD5" w:rsidRPr="004F0398">
              <w:t>xaminer</w:t>
            </w:r>
            <w:r w:rsidRPr="004F0398">
              <w:t xml:space="preserve">. </w:t>
            </w:r>
          </w:p>
          <w:p w14:paraId="68F6AA37" w14:textId="77777777" w:rsidR="009C20E6" w:rsidRDefault="009C20E6"/>
          <w:p w14:paraId="05C5DF2D" w14:textId="77777777" w:rsidR="009C20E6" w:rsidRDefault="00CA00A9">
            <w:r w:rsidRPr="004F0398">
              <w:t xml:space="preserve">Mediation or conciliation, whether formal or informal, may form part of the dispute resolution stage. </w:t>
            </w:r>
          </w:p>
          <w:p w14:paraId="47505209" w14:textId="77777777" w:rsidR="009C20E6" w:rsidRDefault="009C20E6"/>
          <w:p w14:paraId="7C9F8C11" w14:textId="0656F285" w:rsidR="00CA00A9" w:rsidRPr="00D06E5D" w:rsidRDefault="00CA00A9">
            <w:r w:rsidRPr="00D06E5D">
              <w:t xml:space="preserve">See </w:t>
            </w:r>
            <w:r w:rsidR="009C20E6">
              <w:t>‘</w:t>
            </w:r>
            <w:r w:rsidRPr="00D06E5D">
              <w:t>good offices</w:t>
            </w:r>
            <w:r w:rsidR="009C20E6">
              <w:t>’</w:t>
            </w:r>
            <w:r w:rsidRPr="00D06E5D">
              <w:t xml:space="preserve"> definition for more information.</w:t>
            </w:r>
            <w:r w:rsidR="006A2598">
              <w:t xml:space="preserve"> This dispute resolution process is described as ‘good offices’ in the OECD Guidelines. </w:t>
            </w:r>
          </w:p>
          <w:p w14:paraId="0FCD6F80" w14:textId="77777777" w:rsidR="00CA00A9" w:rsidRPr="004F0398" w:rsidRDefault="00CA00A9"/>
        </w:tc>
      </w:tr>
      <w:tr w:rsidR="00CA00A9" w:rsidRPr="004F0398" w14:paraId="554F55A8" w14:textId="77777777" w:rsidTr="008E448F">
        <w:tc>
          <w:tcPr>
            <w:tcW w:w="2400" w:type="dxa"/>
          </w:tcPr>
          <w:p w14:paraId="15B12964" w14:textId="77777777" w:rsidR="00CA00A9" w:rsidRPr="004F0398" w:rsidRDefault="00CA00A9">
            <w:pPr>
              <w:rPr>
                <w:b/>
                <w:bCs/>
              </w:rPr>
            </w:pPr>
            <w:bookmarkStart w:id="47" w:name="enterprise"/>
            <w:bookmarkEnd w:id="47"/>
            <w:r w:rsidRPr="004F0398">
              <w:rPr>
                <w:b/>
                <w:bCs/>
              </w:rPr>
              <w:t>enterprise</w:t>
            </w:r>
          </w:p>
        </w:tc>
        <w:tc>
          <w:tcPr>
            <w:tcW w:w="6616" w:type="dxa"/>
          </w:tcPr>
          <w:p w14:paraId="488DA48A" w14:textId="77777777" w:rsidR="00CA00A9" w:rsidRPr="004F0398" w:rsidRDefault="00CA00A9">
            <w:r w:rsidRPr="004F0398">
              <w:t>The multinational company or business entity against which the complaint is made.</w:t>
            </w:r>
          </w:p>
          <w:p w14:paraId="7CEE1959" w14:textId="77777777" w:rsidR="00CA00A9" w:rsidRPr="004F0398" w:rsidRDefault="00CA00A9"/>
        </w:tc>
      </w:tr>
      <w:tr w:rsidR="00CA00A9" w:rsidRPr="004F0398" w14:paraId="3BE5E101" w14:textId="77777777" w:rsidTr="008E448F">
        <w:tc>
          <w:tcPr>
            <w:tcW w:w="2400" w:type="dxa"/>
          </w:tcPr>
          <w:p w14:paraId="5F95DE47" w14:textId="77777777" w:rsidR="00CA00A9" w:rsidRPr="004F0398" w:rsidRDefault="00CA00A9">
            <w:pPr>
              <w:rPr>
                <w:b/>
                <w:bCs/>
              </w:rPr>
            </w:pPr>
            <w:bookmarkStart w:id="48" w:name="examination"/>
            <w:bookmarkEnd w:id="48"/>
            <w:r w:rsidRPr="004F0398">
              <w:rPr>
                <w:b/>
                <w:bCs/>
              </w:rPr>
              <w:t xml:space="preserve">examination </w:t>
            </w:r>
          </w:p>
        </w:tc>
        <w:tc>
          <w:tcPr>
            <w:tcW w:w="6616" w:type="dxa"/>
          </w:tcPr>
          <w:p w14:paraId="2B980DC9" w14:textId="77777777" w:rsidR="009C20E6" w:rsidRDefault="00CA00A9">
            <w:r w:rsidRPr="004F0398">
              <w:t xml:space="preserve">The stage of a complaint that may occur if an AusNCP </w:t>
            </w:r>
            <w:r w:rsidRPr="00D06E5D">
              <w:t>dispute resolution</w:t>
            </w:r>
            <w:r w:rsidRPr="004F0398">
              <w:t xml:space="preserve"> offer is refused by the enterprise, the enterprise has not acted in good faith or the </w:t>
            </w:r>
            <w:r w:rsidRPr="00D06E5D">
              <w:t>dispute resolution</w:t>
            </w:r>
            <w:r w:rsidRPr="004F0398">
              <w:t xml:space="preserve"> phase has concluded without agreement. </w:t>
            </w:r>
          </w:p>
          <w:p w14:paraId="6EC0F62A" w14:textId="77777777" w:rsidR="009C20E6" w:rsidRDefault="009C20E6"/>
          <w:p w14:paraId="137D383E" w14:textId="4FA004C5" w:rsidR="00CA00A9" w:rsidRPr="004F0398" w:rsidRDefault="00CA00A9">
            <w:r w:rsidRPr="004F0398">
              <w:t>In this process, an independent examiner considers whether the actions of an enterprise that are the subject of</w:t>
            </w:r>
            <w:r w:rsidRPr="004F0398">
              <w:rPr>
                <w:rFonts w:cstheme="minorHAnsi"/>
                <w:color w:val="000000"/>
              </w:rPr>
              <w:t xml:space="preserve"> </w:t>
            </w:r>
            <w:r w:rsidR="006B11DF">
              <w:rPr>
                <w:rFonts w:cstheme="minorHAnsi"/>
                <w:color w:val="000000"/>
              </w:rPr>
              <w:t xml:space="preserve">the </w:t>
            </w:r>
            <w:r w:rsidRPr="004F0398">
              <w:t>complaint were consistent with the OECD Guidelines</w:t>
            </w:r>
            <w:r w:rsidR="009C20E6">
              <w:t>. ‘C</w:t>
            </w:r>
            <w:r w:rsidRPr="004F0398">
              <w:t>onsiders</w:t>
            </w:r>
            <w:r w:rsidR="009C20E6">
              <w:t>’</w:t>
            </w:r>
            <w:r w:rsidRPr="004F0398">
              <w:t xml:space="preserve"> means to improve observance.</w:t>
            </w:r>
          </w:p>
          <w:p w14:paraId="45E34BF5" w14:textId="77777777" w:rsidR="00CA00A9" w:rsidRPr="004F0398" w:rsidRDefault="00CA00A9"/>
        </w:tc>
      </w:tr>
      <w:tr w:rsidR="00CA00A9" w:rsidRPr="004F0398" w14:paraId="50DBF85B" w14:textId="77777777" w:rsidTr="008E448F">
        <w:tc>
          <w:tcPr>
            <w:tcW w:w="2400" w:type="dxa"/>
          </w:tcPr>
          <w:p w14:paraId="7CF5A586" w14:textId="77777777" w:rsidR="00CA00A9" w:rsidRPr="004F0398" w:rsidRDefault="00CA00A9">
            <w:pPr>
              <w:rPr>
                <w:b/>
                <w:bCs/>
              </w:rPr>
            </w:pPr>
            <w:bookmarkStart w:id="49" w:name="final"/>
            <w:bookmarkEnd w:id="49"/>
            <w:r w:rsidRPr="004F0398">
              <w:rPr>
                <w:b/>
                <w:bCs/>
              </w:rPr>
              <w:t>final statement</w:t>
            </w:r>
          </w:p>
        </w:tc>
        <w:tc>
          <w:tcPr>
            <w:tcW w:w="6616" w:type="dxa"/>
          </w:tcPr>
          <w:p w14:paraId="76DBEE6D" w14:textId="07480209" w:rsidR="00CA00A9" w:rsidRPr="004F0398" w:rsidRDefault="00CA00A9">
            <w:pPr>
              <w:rPr>
                <w:lang w:val="en-GB"/>
              </w:rPr>
            </w:pPr>
            <w:r w:rsidRPr="004F0398">
              <w:rPr>
                <w:lang w:val="en-GB"/>
              </w:rPr>
              <w:t>A statement published on the AusNCP website</w:t>
            </w:r>
            <w:r w:rsidR="00125908">
              <w:rPr>
                <w:lang w:val="en-GB"/>
              </w:rPr>
              <w:t xml:space="preserve"> that </w:t>
            </w:r>
            <w:r w:rsidRPr="004F0398">
              <w:rPr>
                <w:lang w:val="en-GB"/>
              </w:rPr>
              <w:t>signals the end of a complaint.</w:t>
            </w:r>
          </w:p>
          <w:p w14:paraId="6E56C966" w14:textId="77777777" w:rsidR="00CA00A9" w:rsidRPr="004F0398" w:rsidRDefault="00CA00A9">
            <w:pPr>
              <w:rPr>
                <w:lang w:val="en-GB"/>
              </w:rPr>
            </w:pPr>
          </w:p>
          <w:p w14:paraId="12794D5C" w14:textId="77777777" w:rsidR="00CA00A9" w:rsidRPr="004F0398" w:rsidRDefault="00CA00A9">
            <w:pPr>
              <w:rPr>
                <w:lang w:val="en-GB"/>
              </w:rPr>
            </w:pPr>
            <w:r w:rsidRPr="004F0398">
              <w:rPr>
                <w:lang w:val="en-GB"/>
              </w:rPr>
              <w:t xml:space="preserve">A final statement can include information about the issues raised, the complaint process, parties’ engagement in the process and their respective positions. </w:t>
            </w:r>
          </w:p>
          <w:p w14:paraId="52998D46" w14:textId="77777777" w:rsidR="00CA00A9" w:rsidRPr="004F0398" w:rsidRDefault="00CA00A9">
            <w:pPr>
              <w:rPr>
                <w:lang w:val="en-GB"/>
              </w:rPr>
            </w:pPr>
          </w:p>
          <w:p w14:paraId="67CDA1E0" w14:textId="320345EE" w:rsidR="00CA00A9" w:rsidRPr="004F0398" w:rsidRDefault="00CA00A9">
            <w:pPr>
              <w:rPr>
                <w:lang w:val="en-GB"/>
              </w:rPr>
            </w:pPr>
            <w:r w:rsidRPr="004F0398">
              <w:rPr>
                <w:lang w:val="en-GB"/>
              </w:rPr>
              <w:t>Final statements can also contain the independent examiner’s views on whether a</w:t>
            </w:r>
            <w:r w:rsidR="00583B93">
              <w:rPr>
                <w:lang w:val="en-GB"/>
              </w:rPr>
              <w:t>n enterprise</w:t>
            </w:r>
            <w:r w:rsidRPr="004F0398">
              <w:rPr>
                <w:lang w:val="en-GB"/>
              </w:rPr>
              <w:t xml:space="preserve"> has breached the OECD Guidelines and may include recommendations to improve observance of the OECD Guidelines. </w:t>
            </w:r>
          </w:p>
          <w:p w14:paraId="56C7FA58" w14:textId="77777777" w:rsidR="00CA00A9" w:rsidRPr="004F0398" w:rsidRDefault="00CA00A9">
            <w:pPr>
              <w:rPr>
                <w:lang w:val="en-GB"/>
              </w:rPr>
            </w:pPr>
          </w:p>
        </w:tc>
      </w:tr>
      <w:tr w:rsidR="00CA00A9" w:rsidRPr="004F0398" w14:paraId="40039348" w14:textId="77777777" w:rsidTr="008E448F">
        <w:tc>
          <w:tcPr>
            <w:tcW w:w="2400" w:type="dxa"/>
          </w:tcPr>
          <w:p w14:paraId="21D3949A" w14:textId="2361533D" w:rsidR="00CA00A9" w:rsidRPr="004F0398" w:rsidRDefault="00384389">
            <w:pPr>
              <w:rPr>
                <w:b/>
                <w:bCs/>
              </w:rPr>
            </w:pPr>
            <w:bookmarkStart w:id="50" w:name="follow"/>
            <w:bookmarkEnd w:id="50"/>
            <w:r>
              <w:rPr>
                <w:b/>
                <w:bCs/>
              </w:rPr>
              <w:t>f</w:t>
            </w:r>
            <w:r w:rsidR="00CA00A9" w:rsidRPr="004F0398">
              <w:rPr>
                <w:b/>
                <w:bCs/>
              </w:rPr>
              <w:t>ollow</w:t>
            </w:r>
            <w:r w:rsidR="00AD3110">
              <w:rPr>
                <w:b/>
                <w:bCs/>
              </w:rPr>
              <w:t>-</w:t>
            </w:r>
            <w:r w:rsidR="00CA00A9" w:rsidRPr="004F0398">
              <w:rPr>
                <w:b/>
                <w:bCs/>
              </w:rPr>
              <w:t>up statement</w:t>
            </w:r>
          </w:p>
        </w:tc>
        <w:tc>
          <w:tcPr>
            <w:tcW w:w="6616" w:type="dxa"/>
          </w:tcPr>
          <w:p w14:paraId="35784CF9" w14:textId="77777777" w:rsidR="00236F64" w:rsidRDefault="00CA00A9">
            <w:r w:rsidRPr="00D06E5D">
              <w:t xml:space="preserve">Statement published on </w:t>
            </w:r>
            <w:r w:rsidR="006D53D2">
              <w:t xml:space="preserve">the </w:t>
            </w:r>
            <w:r w:rsidRPr="00D06E5D">
              <w:t>AusNCP website after the final statement</w:t>
            </w:r>
            <w:r w:rsidR="00962C9B" w:rsidRPr="00D06E5D">
              <w:t>,</w:t>
            </w:r>
            <w:r w:rsidRPr="00D06E5D">
              <w:t xml:space="preserve"> following up on</w:t>
            </w:r>
            <w:r w:rsidR="00236F64">
              <w:t>:</w:t>
            </w:r>
          </w:p>
          <w:p w14:paraId="550465DC" w14:textId="77777777" w:rsidR="00236F64" w:rsidRDefault="00CA00A9" w:rsidP="00236F64">
            <w:pPr>
              <w:pStyle w:val="ListParagraph"/>
              <w:numPr>
                <w:ilvl w:val="0"/>
                <w:numId w:val="14"/>
              </w:numPr>
            </w:pPr>
            <w:r w:rsidRPr="00D06E5D">
              <w:lastRenderedPageBreak/>
              <w:t>the progress of the implementation of recommendations and</w:t>
            </w:r>
            <w:r w:rsidR="00236F64">
              <w:t>,</w:t>
            </w:r>
          </w:p>
          <w:p w14:paraId="4CF88DBE" w14:textId="2D85728E" w:rsidR="00CA00A9" w:rsidRPr="00D06E5D" w:rsidRDefault="00236F64" w:rsidP="00236F64">
            <w:pPr>
              <w:pStyle w:val="ListParagraph"/>
              <w:numPr>
                <w:ilvl w:val="0"/>
                <w:numId w:val="14"/>
              </w:numPr>
            </w:pPr>
            <w:r>
              <w:t xml:space="preserve">the </w:t>
            </w:r>
            <w:r w:rsidR="00CA00A9" w:rsidRPr="00D06E5D">
              <w:t>progress of parties and issues arising from the final statement.</w:t>
            </w:r>
          </w:p>
          <w:p w14:paraId="76629BE5" w14:textId="77777777" w:rsidR="00CA00A9" w:rsidRPr="004F0398" w:rsidRDefault="00CA00A9">
            <w:pPr>
              <w:rPr>
                <w:lang w:val="en-GB"/>
              </w:rPr>
            </w:pPr>
          </w:p>
        </w:tc>
      </w:tr>
      <w:tr w:rsidR="002E4559" w:rsidRPr="004F0398" w14:paraId="1C44CEE1" w14:textId="77777777" w:rsidTr="008E448F">
        <w:tc>
          <w:tcPr>
            <w:tcW w:w="2400" w:type="dxa"/>
          </w:tcPr>
          <w:p w14:paraId="2974561E" w14:textId="487373B1" w:rsidR="002E4559" w:rsidRPr="004F0398" w:rsidRDefault="002E4559" w:rsidP="002E4559">
            <w:pPr>
              <w:rPr>
                <w:b/>
                <w:bCs/>
              </w:rPr>
            </w:pPr>
            <w:bookmarkStart w:id="51" w:name="good"/>
            <w:bookmarkEnd w:id="51"/>
            <w:r w:rsidRPr="004F0398">
              <w:rPr>
                <w:b/>
                <w:bCs/>
              </w:rPr>
              <w:lastRenderedPageBreak/>
              <w:t xml:space="preserve">good faith </w:t>
            </w:r>
          </w:p>
        </w:tc>
        <w:tc>
          <w:tcPr>
            <w:tcW w:w="6616" w:type="dxa"/>
          </w:tcPr>
          <w:p w14:paraId="102A281E" w14:textId="77777777" w:rsidR="002E4559" w:rsidRPr="004F0398" w:rsidRDefault="002E4559" w:rsidP="002E4559">
            <w:r w:rsidRPr="004F0398">
              <w:t>In the context of engagement in AusNCP process, good faith includes:</w:t>
            </w:r>
          </w:p>
          <w:p w14:paraId="3C51C012" w14:textId="77777777" w:rsidR="002E4559" w:rsidRPr="004F0398" w:rsidRDefault="002E4559" w:rsidP="002E4559">
            <w:pPr>
              <w:pStyle w:val="Bullet"/>
            </w:pPr>
            <w:r w:rsidRPr="004F0398">
              <w:t>responding to AusNCP in a timely fashion</w:t>
            </w:r>
          </w:p>
          <w:p w14:paraId="27423CB8" w14:textId="77777777" w:rsidR="002E4559" w:rsidRPr="004F0398" w:rsidRDefault="002E4559" w:rsidP="002E4559">
            <w:pPr>
              <w:pStyle w:val="Bullet"/>
            </w:pPr>
            <w:r w:rsidRPr="004F0398">
              <w:t>acting consistent</w:t>
            </w:r>
            <w:r w:rsidRPr="00D06E5D">
              <w:t xml:space="preserve">ly </w:t>
            </w:r>
            <w:r w:rsidRPr="004F0398">
              <w:t>with AusNCP complaint procedures, including by:</w:t>
            </w:r>
          </w:p>
          <w:p w14:paraId="332031F1" w14:textId="77777777" w:rsidR="002E4559" w:rsidRPr="004F0398" w:rsidRDefault="002E4559" w:rsidP="002E4559">
            <w:pPr>
              <w:pStyle w:val="Dash"/>
            </w:pPr>
            <w:r w:rsidRPr="004F0398">
              <w:t>maintaining confidentiality where appropriate</w:t>
            </w:r>
          </w:p>
          <w:p w14:paraId="7528AEE2" w14:textId="77777777" w:rsidR="002E4559" w:rsidRPr="004F0398" w:rsidRDefault="002E4559" w:rsidP="002E4559">
            <w:pPr>
              <w:pStyle w:val="Dash"/>
            </w:pPr>
            <w:r w:rsidRPr="004F0398">
              <w:t>refraining from misrepresenting the issues and the process, particularly in public communications</w:t>
            </w:r>
          </w:p>
          <w:p w14:paraId="34CA071E" w14:textId="77777777" w:rsidR="002E4559" w:rsidRPr="004F0398" w:rsidRDefault="002E4559" w:rsidP="002E4559">
            <w:pPr>
              <w:pStyle w:val="Dash"/>
            </w:pPr>
            <w:r w:rsidRPr="004F0398">
              <w:t xml:space="preserve">not threatening or taking reprisals against other parties or against AusNCP itself, and </w:t>
            </w:r>
          </w:p>
          <w:p w14:paraId="457FDCD8" w14:textId="77777777" w:rsidR="002E4559" w:rsidRPr="004F0398" w:rsidRDefault="002E4559" w:rsidP="002E4559">
            <w:pPr>
              <w:pStyle w:val="Dash"/>
            </w:pPr>
            <w:r w:rsidRPr="004F0398">
              <w:t xml:space="preserve">genuinely engaging in the proceedings with a view to finding an OECD </w:t>
            </w:r>
            <w:r w:rsidRPr="004F0398">
              <w:rPr>
                <w:rFonts w:cstheme="minorHAnsi"/>
                <w:color w:val="000000"/>
              </w:rPr>
              <w:t xml:space="preserve">Guideline–compatible solution to the issues raised. This includes giving serious consideration to any offer of dispute resolution made by </w:t>
            </w:r>
            <w:r w:rsidRPr="00236F64">
              <w:rPr>
                <w:rFonts w:cstheme="minorHAnsi"/>
                <w:color w:val="000000"/>
              </w:rPr>
              <w:t>(</w:t>
            </w:r>
            <w:r w:rsidRPr="006D53D2">
              <w:rPr>
                <w:rFonts w:cstheme="minorHAnsi"/>
                <w:color w:val="000000"/>
              </w:rPr>
              <w:t>or on behalf of</w:t>
            </w:r>
            <w:r w:rsidRPr="00236F64">
              <w:rPr>
                <w:rFonts w:cstheme="minorHAnsi"/>
                <w:color w:val="000000"/>
              </w:rPr>
              <w:t>)</w:t>
            </w:r>
            <w:r w:rsidRPr="00CD0BD7">
              <w:rPr>
                <w:rFonts w:cstheme="minorHAnsi"/>
                <w:color w:val="000000"/>
              </w:rPr>
              <w:t xml:space="preserve"> </w:t>
            </w:r>
            <w:r w:rsidRPr="004F0398">
              <w:rPr>
                <w:rFonts w:cstheme="minorHAnsi"/>
                <w:color w:val="000000"/>
              </w:rPr>
              <w:t>AusNCP.</w:t>
            </w:r>
          </w:p>
          <w:p w14:paraId="6F188F78" w14:textId="77777777" w:rsidR="002E4559" w:rsidRPr="00D06E5D" w:rsidRDefault="002E4559" w:rsidP="002E4559"/>
        </w:tc>
      </w:tr>
      <w:tr w:rsidR="002E4559" w:rsidRPr="004F0398" w14:paraId="07FFAA96" w14:textId="77777777" w:rsidTr="008E448F">
        <w:tc>
          <w:tcPr>
            <w:tcW w:w="2400" w:type="dxa"/>
          </w:tcPr>
          <w:p w14:paraId="64360AFE" w14:textId="77777777" w:rsidR="002E4559" w:rsidRPr="004F0398" w:rsidRDefault="002E4559" w:rsidP="002E4559">
            <w:pPr>
              <w:rPr>
                <w:b/>
                <w:bCs/>
              </w:rPr>
            </w:pPr>
            <w:bookmarkStart w:id="52" w:name="goodo"/>
            <w:bookmarkEnd w:id="52"/>
            <w:r w:rsidRPr="004F0398">
              <w:rPr>
                <w:b/>
                <w:bCs/>
              </w:rPr>
              <w:t xml:space="preserve">good offices </w:t>
            </w:r>
          </w:p>
        </w:tc>
        <w:tc>
          <w:tcPr>
            <w:tcW w:w="6616" w:type="dxa"/>
          </w:tcPr>
          <w:p w14:paraId="7205FDFC" w14:textId="63BDA825" w:rsidR="005F4C29" w:rsidRDefault="002E4559" w:rsidP="002E4559">
            <w:r w:rsidRPr="004F0398">
              <w:t xml:space="preserve">The terminology used in the OECD Guidelines Implementation Procedures to describe </w:t>
            </w:r>
            <w:r>
              <w:t xml:space="preserve">the </w:t>
            </w:r>
            <w:r w:rsidRPr="004F0398">
              <w:t>dispute resolution</w:t>
            </w:r>
            <w:r>
              <w:t xml:space="preserve"> </w:t>
            </w:r>
            <w:r w:rsidR="006A2598">
              <w:t>process</w:t>
            </w:r>
            <w:r w:rsidRPr="004F0398">
              <w:t>.</w:t>
            </w:r>
            <w:r>
              <w:t xml:space="preserve"> This </w:t>
            </w:r>
            <w:r w:rsidR="006A2598">
              <w:t>process</w:t>
            </w:r>
            <w:r w:rsidR="008257F8">
              <w:t xml:space="preserve"> includes offering a platform for dialogue between the </w:t>
            </w:r>
            <w:r w:rsidR="007A0502">
              <w:t>parties</w:t>
            </w:r>
            <w:r w:rsidR="008257F8">
              <w:t xml:space="preserve"> to assist with the resolution of </w:t>
            </w:r>
            <w:r w:rsidR="007A0502">
              <w:t>the complaint.</w:t>
            </w:r>
            <w:r w:rsidRPr="004F0398">
              <w:t xml:space="preserve"> </w:t>
            </w:r>
          </w:p>
          <w:p w14:paraId="339976A1" w14:textId="77777777" w:rsidR="00CC658C" w:rsidRDefault="00CC658C" w:rsidP="002E4559"/>
          <w:p w14:paraId="779B4A20" w14:textId="77777777" w:rsidR="002E4559" w:rsidRDefault="002E4559" w:rsidP="002E4559">
            <w:r w:rsidRPr="004F0398">
              <w:t xml:space="preserve">See </w:t>
            </w:r>
            <w:r w:rsidR="005F4C29">
              <w:t>‘</w:t>
            </w:r>
            <w:r w:rsidRPr="004F0398">
              <w:t>dispute resolution</w:t>
            </w:r>
            <w:r w:rsidR="005F4C29">
              <w:t>’</w:t>
            </w:r>
            <w:r w:rsidR="007A0502">
              <w:t xml:space="preserve"> definition</w:t>
            </w:r>
            <w:r w:rsidRPr="004F0398">
              <w:t xml:space="preserve"> for more information. </w:t>
            </w:r>
          </w:p>
          <w:p w14:paraId="19A27217" w14:textId="5BEBF0B9" w:rsidR="00CC658C" w:rsidRPr="004F0398" w:rsidRDefault="00CC658C" w:rsidP="002E4559"/>
        </w:tc>
      </w:tr>
      <w:tr w:rsidR="002E4559" w:rsidRPr="004F0398" w14:paraId="20E7892B" w14:textId="77777777" w:rsidTr="008E448F">
        <w:tc>
          <w:tcPr>
            <w:tcW w:w="2400" w:type="dxa"/>
          </w:tcPr>
          <w:p w14:paraId="0BC96715" w14:textId="0ADAF854" w:rsidR="002E4559" w:rsidRPr="00D06E5D" w:rsidRDefault="002E4559" w:rsidP="002E4559">
            <w:pPr>
              <w:rPr>
                <w:b/>
                <w:bCs/>
              </w:rPr>
            </w:pPr>
            <w:bookmarkStart w:id="53" w:name="independent"/>
            <w:bookmarkEnd w:id="53"/>
            <w:r w:rsidRPr="004F0398">
              <w:rPr>
                <w:b/>
                <w:bCs/>
              </w:rPr>
              <w:t xml:space="preserve">independent examiner </w:t>
            </w:r>
          </w:p>
        </w:tc>
        <w:tc>
          <w:tcPr>
            <w:tcW w:w="6616" w:type="dxa"/>
          </w:tcPr>
          <w:p w14:paraId="0847B61E" w14:textId="77777777" w:rsidR="005F4C29" w:rsidRDefault="002E4559" w:rsidP="002E4559">
            <w:pPr>
              <w:rPr>
                <w:rFonts w:eastAsia="Times New Roman"/>
              </w:rPr>
            </w:pPr>
            <w:r w:rsidRPr="004F0398">
              <w:rPr>
                <w:rFonts w:eastAsia="Times New Roman"/>
              </w:rPr>
              <w:t>A</w:t>
            </w:r>
            <w:r w:rsidR="009352D5">
              <w:rPr>
                <w:rFonts w:eastAsia="Times New Roman"/>
              </w:rPr>
              <w:t>n appropriately qualified</w:t>
            </w:r>
            <w:r w:rsidRPr="004F0398">
              <w:rPr>
                <w:rFonts w:eastAsia="Times New Roman"/>
              </w:rPr>
              <w:t xml:space="preserve"> person</w:t>
            </w:r>
            <w:r w:rsidRPr="004F0398">
              <w:rPr>
                <w:rFonts w:eastAsia="Times New Roman"/>
                <w:color w:val="FF2600"/>
              </w:rPr>
              <w:t> </w:t>
            </w:r>
            <w:r w:rsidRPr="004F0398">
              <w:rPr>
                <w:rFonts w:eastAsia="Times New Roman"/>
              </w:rPr>
              <w:t xml:space="preserve">who is contracted by the Commonwealth of Australia to manage complaints brought to AusNCP under the OECD Guidelines, help promote the OECD Guidelines and AusNCP, and advise on improving AusNCP. </w:t>
            </w:r>
          </w:p>
          <w:p w14:paraId="3288152D" w14:textId="77777777" w:rsidR="00CC658C" w:rsidRDefault="00CC658C" w:rsidP="002E4559">
            <w:pPr>
              <w:rPr>
                <w:rFonts w:eastAsia="Times New Roman"/>
              </w:rPr>
            </w:pPr>
          </w:p>
          <w:p w14:paraId="3A8461EE" w14:textId="0B576345" w:rsidR="005F4C29" w:rsidRDefault="002E4559" w:rsidP="002E4559">
            <w:pPr>
              <w:rPr>
                <w:rFonts w:eastAsia="Times New Roman"/>
              </w:rPr>
            </w:pPr>
            <w:r w:rsidRPr="004F0398">
              <w:rPr>
                <w:rFonts w:eastAsia="Times New Roman"/>
              </w:rPr>
              <w:t xml:space="preserve">Where </w:t>
            </w:r>
            <w:r w:rsidRPr="00D06E5D">
              <w:rPr>
                <w:rFonts w:eastAsia="Times New Roman"/>
              </w:rPr>
              <w:t>the</w:t>
            </w:r>
            <w:r w:rsidRPr="004F0398">
              <w:rPr>
                <w:rFonts w:eastAsia="Times New Roman"/>
              </w:rPr>
              <w:t xml:space="preserve"> secretariat appoints an </w:t>
            </w:r>
            <w:r w:rsidRPr="00D06E5D">
              <w:rPr>
                <w:rFonts w:eastAsia="Times New Roman"/>
              </w:rPr>
              <w:t>independent</w:t>
            </w:r>
            <w:r w:rsidRPr="004F0398">
              <w:rPr>
                <w:rFonts w:eastAsia="Times New Roman"/>
                <w:b/>
                <w:bCs/>
                <w:i/>
                <w:iCs/>
                <w:u w:val="single"/>
              </w:rPr>
              <w:t xml:space="preserve"> </w:t>
            </w:r>
            <w:r w:rsidRPr="00D06E5D">
              <w:rPr>
                <w:rFonts w:eastAsia="Times New Roman"/>
              </w:rPr>
              <w:t>examiner</w:t>
            </w:r>
            <w:r w:rsidRPr="004F0398">
              <w:rPr>
                <w:rFonts w:eastAsia="Times New Roman"/>
              </w:rPr>
              <w:t xml:space="preserve"> to manage a complaint about alleged non-observance of the OECD Guidelines, the appointed </w:t>
            </w:r>
            <w:r w:rsidRPr="00D06E5D">
              <w:rPr>
                <w:rFonts w:eastAsia="Times New Roman"/>
              </w:rPr>
              <w:t>independent examiner</w:t>
            </w:r>
            <w:r w:rsidRPr="004F0398">
              <w:rPr>
                <w:rFonts w:eastAsia="Times New Roman"/>
              </w:rPr>
              <w:t xml:space="preserve"> is independent of the parties. </w:t>
            </w:r>
          </w:p>
          <w:p w14:paraId="0EE885E6" w14:textId="77777777" w:rsidR="00CC658C" w:rsidRDefault="00CC658C" w:rsidP="002E4559">
            <w:pPr>
              <w:rPr>
                <w:rFonts w:eastAsia="Times New Roman"/>
              </w:rPr>
            </w:pPr>
          </w:p>
          <w:p w14:paraId="18759E88" w14:textId="7442A375" w:rsidR="00CC658C" w:rsidRPr="004F0398" w:rsidRDefault="002E4559" w:rsidP="002E4559">
            <w:r w:rsidRPr="004F0398">
              <w:rPr>
                <w:rFonts w:eastAsia="Times New Roman"/>
              </w:rPr>
              <w:t xml:space="preserve">In handling complaints, </w:t>
            </w:r>
            <w:r w:rsidRPr="00D06E5D">
              <w:rPr>
                <w:rFonts w:eastAsia="Times New Roman"/>
              </w:rPr>
              <w:t>independent examiners</w:t>
            </w:r>
            <w:r w:rsidRPr="004F0398">
              <w:rPr>
                <w:rFonts w:eastAsia="Times New Roman"/>
              </w:rPr>
              <w:t> exercise their judg</w:t>
            </w:r>
            <w:r w:rsidR="005944C6">
              <w:rPr>
                <w:rFonts w:eastAsia="Times New Roman"/>
              </w:rPr>
              <w:t>e</w:t>
            </w:r>
            <w:r w:rsidRPr="004F0398">
              <w:rPr>
                <w:rFonts w:eastAsia="Times New Roman"/>
              </w:rPr>
              <w:t>ment impartially and without bias</w:t>
            </w:r>
            <w:r w:rsidR="009C20E6">
              <w:rPr>
                <w:rFonts w:eastAsia="Times New Roman"/>
              </w:rPr>
              <w:t>;</w:t>
            </w:r>
            <w:r w:rsidRPr="004F0398">
              <w:rPr>
                <w:rFonts w:eastAsia="Times New Roman"/>
              </w:rPr>
              <w:t xml:space="preserve"> independent of the interests of others</w:t>
            </w:r>
            <w:r w:rsidRPr="004F0398">
              <w:t>.</w:t>
            </w:r>
          </w:p>
          <w:p w14:paraId="16498511" w14:textId="77777777" w:rsidR="002E4559" w:rsidRPr="004F0398" w:rsidRDefault="002E4559" w:rsidP="002E4559"/>
          <w:p w14:paraId="1D82AA94" w14:textId="77777777" w:rsidR="002E4559" w:rsidRPr="00D06E5D" w:rsidRDefault="002E4559" w:rsidP="002E4559">
            <w:r w:rsidRPr="00D06E5D">
              <w:t>These procedures refer to the independent examiner as an ‘examiner.’</w:t>
            </w:r>
          </w:p>
          <w:p w14:paraId="38D6BB98" w14:textId="77777777" w:rsidR="002E4559" w:rsidRPr="004F0398" w:rsidRDefault="002E4559" w:rsidP="002E4559"/>
        </w:tc>
      </w:tr>
      <w:tr w:rsidR="002E4559" w:rsidRPr="004F0398" w14:paraId="1FDF4E6D" w14:textId="77777777" w:rsidTr="008E448F">
        <w:tc>
          <w:tcPr>
            <w:tcW w:w="2400" w:type="dxa"/>
          </w:tcPr>
          <w:p w14:paraId="6D85ED04" w14:textId="77777777" w:rsidR="002E4559" w:rsidRPr="004F0398" w:rsidRDefault="002E4559" w:rsidP="002E4559">
            <w:pPr>
              <w:rPr>
                <w:b/>
                <w:bCs/>
              </w:rPr>
            </w:pPr>
            <w:bookmarkStart w:id="54" w:name="initial"/>
            <w:bookmarkEnd w:id="54"/>
            <w:r w:rsidRPr="004F0398">
              <w:rPr>
                <w:b/>
                <w:bCs/>
              </w:rPr>
              <w:t>initial assessment</w:t>
            </w:r>
          </w:p>
        </w:tc>
        <w:tc>
          <w:tcPr>
            <w:tcW w:w="6616" w:type="dxa"/>
          </w:tcPr>
          <w:p w14:paraId="7C75493A" w14:textId="55CBE6D9" w:rsidR="002E4559" w:rsidRDefault="002E4559" w:rsidP="002E4559">
            <w:r w:rsidRPr="004F0398">
              <w:t>A statement drafted by an independent examiner that is published on</w:t>
            </w:r>
            <w:r w:rsidR="004242F8">
              <w:t xml:space="preserve"> the</w:t>
            </w:r>
            <w:r w:rsidRPr="004F0398">
              <w:t xml:space="preserve"> AusNCP website.</w:t>
            </w:r>
          </w:p>
          <w:p w14:paraId="242EF151" w14:textId="784C0F6F" w:rsidR="002E4559" w:rsidRPr="004F0398" w:rsidRDefault="002E4559" w:rsidP="002E4559">
            <w:r w:rsidRPr="004F0398">
              <w:t>Initial assessments contain the independent examiner’s decisions about whether the complaint should</w:t>
            </w:r>
            <w:r w:rsidR="0055700C">
              <w:t xml:space="preserve"> be</w:t>
            </w:r>
            <w:r w:rsidRPr="004F0398">
              <w:t>:</w:t>
            </w:r>
          </w:p>
          <w:p w14:paraId="37EC6DDE" w14:textId="56D80F34" w:rsidR="002E4559" w:rsidRPr="004F0398" w:rsidRDefault="002E4559" w:rsidP="002E4559">
            <w:pPr>
              <w:pStyle w:val="Bullet"/>
            </w:pPr>
            <w:r w:rsidRPr="004F0398">
              <w:t xml:space="preserve">accepted, or </w:t>
            </w:r>
          </w:p>
          <w:p w14:paraId="043FB565" w14:textId="161B998B" w:rsidR="002E4559" w:rsidRPr="004F0398" w:rsidRDefault="002E4559" w:rsidP="002E4559">
            <w:pPr>
              <w:pStyle w:val="Bullet"/>
            </w:pPr>
            <w:r w:rsidRPr="004F0398">
              <w:t>rejected and progress</w:t>
            </w:r>
            <w:r w:rsidR="005F4C29">
              <w:t>ed</w:t>
            </w:r>
            <w:r w:rsidRPr="004F0398">
              <w:t xml:space="preserve"> to the next stage of the AusNCP process, or </w:t>
            </w:r>
          </w:p>
          <w:p w14:paraId="1B1E8BB5" w14:textId="14772D8C" w:rsidR="002E4559" w:rsidRPr="004F0398" w:rsidRDefault="002E4559" w:rsidP="002E4559">
            <w:pPr>
              <w:pStyle w:val="Bullet"/>
            </w:pPr>
            <w:r w:rsidRPr="004F0398">
              <w:t xml:space="preserve">transferred to another NCP. </w:t>
            </w:r>
          </w:p>
          <w:p w14:paraId="06D5747D" w14:textId="77777777" w:rsidR="002E4559" w:rsidRDefault="002E4559" w:rsidP="002E4559"/>
          <w:p w14:paraId="6E73B35D" w14:textId="19CDCA45" w:rsidR="002E4559" w:rsidRPr="004F0398" w:rsidRDefault="002E4559" w:rsidP="002E4559">
            <w:r w:rsidRPr="004F0398">
              <w:lastRenderedPageBreak/>
              <w:t xml:space="preserve">The initial assessment contains the </w:t>
            </w:r>
            <w:r w:rsidRPr="00D06E5D">
              <w:t>independent</w:t>
            </w:r>
            <w:r w:rsidRPr="004F0398">
              <w:t xml:space="preserve"> examiner’s assessment of the issues raised in the complaint and whether the issues warrant further examination.</w:t>
            </w:r>
          </w:p>
          <w:p w14:paraId="67B4D86A" w14:textId="77777777" w:rsidR="002E4559" w:rsidRPr="004F0398" w:rsidRDefault="002E4559" w:rsidP="002E4559"/>
        </w:tc>
      </w:tr>
      <w:tr w:rsidR="002E4559" w:rsidRPr="004F0398" w14:paraId="7FC9D96C" w14:textId="77777777" w:rsidTr="008E448F">
        <w:tc>
          <w:tcPr>
            <w:tcW w:w="2400" w:type="dxa"/>
          </w:tcPr>
          <w:p w14:paraId="516DF99F" w14:textId="77777777" w:rsidR="002E4559" w:rsidRPr="004F0398" w:rsidRDefault="002E4559" w:rsidP="002E4559">
            <w:pPr>
              <w:rPr>
                <w:b/>
                <w:bCs/>
              </w:rPr>
            </w:pPr>
            <w:bookmarkStart w:id="55" w:name="material"/>
            <w:bookmarkEnd w:id="55"/>
            <w:r w:rsidRPr="004F0398">
              <w:rPr>
                <w:b/>
                <w:bCs/>
              </w:rPr>
              <w:lastRenderedPageBreak/>
              <w:t xml:space="preserve">material and substantiated </w:t>
            </w:r>
          </w:p>
        </w:tc>
        <w:tc>
          <w:tcPr>
            <w:tcW w:w="6616" w:type="dxa"/>
          </w:tcPr>
          <w:p w14:paraId="3E2102D5" w14:textId="32E94435" w:rsidR="0055700C" w:rsidRDefault="0055700C" w:rsidP="002E4559">
            <w:r>
              <w:rPr>
                <w:rFonts w:cstheme="minorHAnsi"/>
                <w:color w:val="000000"/>
              </w:rPr>
              <w:t>‘</w:t>
            </w:r>
            <w:r w:rsidR="002E4559" w:rsidRPr="00D06E5D">
              <w:rPr>
                <w:rFonts w:cstheme="minorHAnsi"/>
                <w:color w:val="000000"/>
              </w:rPr>
              <w:t>Material</w:t>
            </w:r>
            <w:r>
              <w:rPr>
                <w:rFonts w:cstheme="minorHAnsi"/>
                <w:color w:val="000000"/>
              </w:rPr>
              <w:t>’</w:t>
            </w:r>
            <w:r w:rsidR="002E4559" w:rsidRPr="00D06E5D">
              <w:rPr>
                <w:rFonts w:cstheme="minorHAnsi"/>
                <w:color w:val="000000"/>
              </w:rPr>
              <w:t xml:space="preserve"> will be </w:t>
            </w:r>
            <w:r w:rsidR="002E4559" w:rsidRPr="00D06E5D">
              <w:t>interpreted to mean that the issues are plausible and related to the application of the OECD Guidelines</w:t>
            </w:r>
            <w:r>
              <w:t>.</w:t>
            </w:r>
          </w:p>
          <w:p w14:paraId="48724FBD" w14:textId="77777777" w:rsidR="00082BE0" w:rsidRDefault="00082BE0" w:rsidP="002E4559"/>
          <w:p w14:paraId="030E38C9" w14:textId="3DD67CED" w:rsidR="002E4559" w:rsidRPr="00D06E5D" w:rsidRDefault="0055700C" w:rsidP="002E4559">
            <w:r>
              <w:t>‘S</w:t>
            </w:r>
            <w:r w:rsidR="002E4559" w:rsidRPr="00D06E5D">
              <w:t>ubstantiated</w:t>
            </w:r>
            <w:r>
              <w:t>’</w:t>
            </w:r>
            <w:r w:rsidR="002E4559" w:rsidRPr="00D06E5D">
              <w:t xml:space="preserve"> will be interpreted to mean that there is a plausible link between the enterprise and the issues raised.</w:t>
            </w:r>
          </w:p>
          <w:p w14:paraId="53A51956" w14:textId="77777777" w:rsidR="002E4559" w:rsidRPr="004F0398" w:rsidRDefault="002E4559" w:rsidP="002E4559"/>
        </w:tc>
      </w:tr>
      <w:tr w:rsidR="002E4559" w:rsidRPr="004F0398" w14:paraId="26384E43" w14:textId="77777777" w:rsidTr="008E448F">
        <w:tc>
          <w:tcPr>
            <w:tcW w:w="2400" w:type="dxa"/>
          </w:tcPr>
          <w:p w14:paraId="7DA70BA0" w14:textId="77777777" w:rsidR="002E4559" w:rsidRPr="004F0398" w:rsidRDefault="002E4559" w:rsidP="002E4559">
            <w:pPr>
              <w:rPr>
                <w:b/>
                <w:bCs/>
              </w:rPr>
            </w:pPr>
            <w:bookmarkStart w:id="56" w:name="national"/>
            <w:bookmarkEnd w:id="56"/>
            <w:r w:rsidRPr="004F0398">
              <w:rPr>
                <w:b/>
                <w:bCs/>
              </w:rPr>
              <w:t>National Contact Points for Responsible Business Conduct (NCP)</w:t>
            </w:r>
          </w:p>
        </w:tc>
        <w:tc>
          <w:tcPr>
            <w:tcW w:w="6616" w:type="dxa"/>
          </w:tcPr>
          <w:p w14:paraId="541072E7" w14:textId="3926C55D" w:rsidR="002E4559" w:rsidRDefault="007F21F7" w:rsidP="002E4559">
            <w:pPr>
              <w:rPr>
                <w:rFonts w:cstheme="minorHAnsi"/>
                <w:color w:val="000000"/>
              </w:rPr>
            </w:pPr>
            <w:r>
              <w:rPr>
                <w:rFonts w:cstheme="minorHAnsi"/>
                <w:color w:val="000000"/>
              </w:rPr>
              <w:t>A</w:t>
            </w:r>
            <w:r w:rsidR="002E4559" w:rsidRPr="004F0398">
              <w:rPr>
                <w:rFonts w:cstheme="minorHAnsi"/>
                <w:color w:val="000000"/>
              </w:rPr>
              <w:t>gencies established by governments to promote the OECD Guidelines and related due diligence guidance, and to handle complaints as a non-judicial grievance mechanism.</w:t>
            </w:r>
          </w:p>
          <w:p w14:paraId="0C760206" w14:textId="5C029061" w:rsidR="00CC658C" w:rsidRPr="004F0398" w:rsidRDefault="00CC658C" w:rsidP="002E4559">
            <w:pPr>
              <w:rPr>
                <w:rFonts w:cstheme="minorHAnsi"/>
                <w:color w:val="000000"/>
              </w:rPr>
            </w:pPr>
          </w:p>
        </w:tc>
      </w:tr>
      <w:tr w:rsidR="002E4559" w:rsidRPr="004F0398" w14:paraId="14A0CFD8" w14:textId="77777777" w:rsidTr="008E448F">
        <w:tc>
          <w:tcPr>
            <w:tcW w:w="2400" w:type="dxa"/>
          </w:tcPr>
          <w:p w14:paraId="591F2F03" w14:textId="77777777" w:rsidR="002E4559" w:rsidRPr="004F0398" w:rsidRDefault="002E4559" w:rsidP="002E4559">
            <w:pPr>
              <w:rPr>
                <w:b/>
                <w:bCs/>
              </w:rPr>
            </w:pPr>
            <w:bookmarkStart w:id="57" w:name="notifier"/>
            <w:bookmarkEnd w:id="57"/>
            <w:r w:rsidRPr="004F0398">
              <w:rPr>
                <w:b/>
                <w:bCs/>
              </w:rPr>
              <w:t xml:space="preserve">notifier </w:t>
            </w:r>
          </w:p>
        </w:tc>
        <w:tc>
          <w:tcPr>
            <w:tcW w:w="6616" w:type="dxa"/>
          </w:tcPr>
          <w:p w14:paraId="1C5B7BA8" w14:textId="22502C6E" w:rsidR="002E4559" w:rsidRPr="004F0398" w:rsidRDefault="002E4559" w:rsidP="002E4559">
            <w:r w:rsidRPr="004F0398">
              <w:t xml:space="preserve">The individual or entity </w:t>
            </w:r>
            <w:r w:rsidR="007F21F7">
              <w:t>that</w:t>
            </w:r>
            <w:r w:rsidR="007F21F7" w:rsidRPr="004F0398">
              <w:t xml:space="preserve"> </w:t>
            </w:r>
            <w:r w:rsidRPr="004F0398">
              <w:t xml:space="preserve">submits a complaint to AusNCP. </w:t>
            </w:r>
          </w:p>
          <w:p w14:paraId="7CA38F47" w14:textId="77777777" w:rsidR="002E4559" w:rsidRPr="004F0398" w:rsidRDefault="002E4559" w:rsidP="002E4559"/>
          <w:p w14:paraId="29BCA04A" w14:textId="77777777" w:rsidR="002E4559" w:rsidRPr="004F0398" w:rsidRDefault="002E4559" w:rsidP="002E4559">
            <w:r w:rsidRPr="004F0398">
              <w:t>The notifier is usually directly or indirectly affected by the conduct that is the subject of the complaint.</w:t>
            </w:r>
          </w:p>
          <w:p w14:paraId="445DF659" w14:textId="77777777" w:rsidR="002E4559" w:rsidRPr="004F0398" w:rsidRDefault="002E4559" w:rsidP="002E4559"/>
          <w:p w14:paraId="63C08866" w14:textId="0983CAEA" w:rsidR="002E4559" w:rsidRPr="004F0398" w:rsidRDefault="002E4559" w:rsidP="002E4559">
            <w:r w:rsidRPr="004F0398">
              <w:t>Alternatively, the</w:t>
            </w:r>
            <w:r w:rsidR="007F21F7">
              <w:t xml:space="preserve"> notifier</w:t>
            </w:r>
            <w:r w:rsidRPr="004F0398">
              <w:t xml:space="preserve"> may be any interested party able to supply AusNCP with timely, accurate and adequate information to be able to progress the complaint.</w:t>
            </w:r>
          </w:p>
          <w:p w14:paraId="6C3DA99D" w14:textId="77777777" w:rsidR="002E4559" w:rsidRPr="004F0398" w:rsidRDefault="002E4559" w:rsidP="002E4559"/>
        </w:tc>
      </w:tr>
      <w:tr w:rsidR="002E4559" w:rsidRPr="004F0398" w14:paraId="262DC418" w14:textId="77777777" w:rsidTr="008E448F">
        <w:tc>
          <w:tcPr>
            <w:tcW w:w="2400" w:type="dxa"/>
          </w:tcPr>
          <w:p w14:paraId="785242D8" w14:textId="77777777" w:rsidR="002E4559" w:rsidRPr="004F0398" w:rsidRDefault="002E4559" w:rsidP="002E4559">
            <w:pPr>
              <w:rPr>
                <w:b/>
                <w:bCs/>
              </w:rPr>
            </w:pPr>
            <w:bookmarkStart w:id="58" w:name="OECD"/>
            <w:bookmarkEnd w:id="58"/>
            <w:r w:rsidRPr="004F0398">
              <w:rPr>
                <w:b/>
                <w:bCs/>
              </w:rPr>
              <w:t xml:space="preserve">OECD </w:t>
            </w:r>
          </w:p>
        </w:tc>
        <w:tc>
          <w:tcPr>
            <w:tcW w:w="6616" w:type="dxa"/>
          </w:tcPr>
          <w:p w14:paraId="54CD851E" w14:textId="77777777" w:rsidR="002E4559" w:rsidRDefault="002E4559" w:rsidP="002E4559">
            <w:r w:rsidRPr="004F0398">
              <w:t>Organisation of Economic Co</w:t>
            </w:r>
            <w:r>
              <w:t>-</w:t>
            </w:r>
            <w:r w:rsidRPr="004F0398">
              <w:t xml:space="preserve">operation and Development </w:t>
            </w:r>
          </w:p>
          <w:p w14:paraId="06DB4D36" w14:textId="1EAB465D" w:rsidR="00CC658C" w:rsidRPr="004F0398" w:rsidRDefault="00CC658C" w:rsidP="002E4559"/>
        </w:tc>
      </w:tr>
      <w:tr w:rsidR="002E4559" w:rsidRPr="004F0398" w14:paraId="160CD012" w14:textId="77777777" w:rsidTr="008E448F">
        <w:tc>
          <w:tcPr>
            <w:tcW w:w="2400" w:type="dxa"/>
          </w:tcPr>
          <w:p w14:paraId="44C89E64" w14:textId="77777777" w:rsidR="002E4559" w:rsidRPr="004F0398" w:rsidRDefault="002E4559" w:rsidP="002E4559">
            <w:pPr>
              <w:rPr>
                <w:b/>
                <w:bCs/>
              </w:rPr>
            </w:pPr>
            <w:bookmarkStart w:id="59" w:name="OECDi"/>
            <w:bookmarkEnd w:id="59"/>
            <w:r w:rsidRPr="004F0398">
              <w:rPr>
                <w:b/>
                <w:bCs/>
              </w:rPr>
              <w:t xml:space="preserve">OECD implementation procedures </w:t>
            </w:r>
          </w:p>
        </w:tc>
        <w:tc>
          <w:tcPr>
            <w:tcW w:w="6616" w:type="dxa"/>
          </w:tcPr>
          <w:p w14:paraId="5250A034" w14:textId="77777777" w:rsidR="002E4559" w:rsidRDefault="002E4559" w:rsidP="002E4559">
            <w:r w:rsidRPr="004F0398">
              <w:t>Procedural guidance and commentary regarding the 2023 OECD Guidelines.</w:t>
            </w:r>
          </w:p>
          <w:p w14:paraId="5F713BB7" w14:textId="77777777" w:rsidR="00CC658C" w:rsidRPr="004F0398" w:rsidRDefault="00CC658C" w:rsidP="002E4559"/>
        </w:tc>
      </w:tr>
      <w:tr w:rsidR="002E4559" w:rsidRPr="004F0398" w14:paraId="6FE27607" w14:textId="77777777" w:rsidTr="008E448F">
        <w:tc>
          <w:tcPr>
            <w:tcW w:w="2400" w:type="dxa"/>
          </w:tcPr>
          <w:p w14:paraId="04970E4C" w14:textId="77777777" w:rsidR="002E4559" w:rsidRPr="004F0398" w:rsidRDefault="002E4559" w:rsidP="002E4559">
            <w:pPr>
              <w:rPr>
                <w:b/>
                <w:bCs/>
              </w:rPr>
            </w:pPr>
            <w:bookmarkStart w:id="60" w:name="OECDG"/>
            <w:bookmarkEnd w:id="60"/>
            <w:r w:rsidRPr="004F0398">
              <w:rPr>
                <w:b/>
                <w:bCs/>
              </w:rPr>
              <w:t>OECD Guidelines for Multinational Enterprises on Responsible Business Conduct (OECD Guidelines)</w:t>
            </w:r>
          </w:p>
        </w:tc>
        <w:tc>
          <w:tcPr>
            <w:tcW w:w="6616" w:type="dxa"/>
          </w:tcPr>
          <w:p w14:paraId="320C1F39" w14:textId="409954CF" w:rsidR="002E4559" w:rsidRPr="004F0398" w:rsidRDefault="002E4559" w:rsidP="002E4559">
            <w:pPr>
              <w:rPr>
                <w:lang w:val="en-GB"/>
              </w:rPr>
            </w:pPr>
            <w:r w:rsidRPr="004F0398">
              <w:rPr>
                <w:lang w:val="en-GB"/>
              </w:rPr>
              <w:t xml:space="preserve">Recommendations jointly addressed to multinational enterprises </w:t>
            </w:r>
            <w:r w:rsidRPr="00D06E5D">
              <w:rPr>
                <w:lang w:val="en-GB"/>
              </w:rPr>
              <w:t>from</w:t>
            </w:r>
            <w:r w:rsidRPr="004F0398">
              <w:rPr>
                <w:lang w:val="en-GB"/>
              </w:rPr>
              <w:t xml:space="preserve"> governments – including the Australian Government, all OECD </w:t>
            </w:r>
            <w:proofErr w:type="gramStart"/>
            <w:r w:rsidRPr="004F0398">
              <w:rPr>
                <w:lang w:val="en-GB"/>
              </w:rPr>
              <w:t>members</w:t>
            </w:r>
            <w:proofErr w:type="gramEnd"/>
            <w:r w:rsidRPr="004F0398">
              <w:rPr>
                <w:lang w:val="en-GB"/>
              </w:rPr>
              <w:t xml:space="preserve"> and other adhering governments. </w:t>
            </w:r>
          </w:p>
          <w:p w14:paraId="1616AE98" w14:textId="77777777" w:rsidR="002E4559" w:rsidRPr="004F0398" w:rsidRDefault="002E4559" w:rsidP="002E4559">
            <w:pPr>
              <w:rPr>
                <w:lang w:val="en-GB"/>
              </w:rPr>
            </w:pPr>
          </w:p>
          <w:p w14:paraId="7F34AB5F" w14:textId="4C4AB5E9" w:rsidR="002E4559" w:rsidRPr="004F0398" w:rsidRDefault="002E4559" w:rsidP="002E4559">
            <w:pPr>
              <w:rPr>
                <w:lang w:val="en-GB"/>
              </w:rPr>
            </w:pPr>
            <w:r w:rsidRPr="004F0398">
              <w:rPr>
                <w:lang w:val="en-GB"/>
              </w:rPr>
              <w:t>The recommendations explain the actions enterprises should take to:</w:t>
            </w:r>
          </w:p>
          <w:p w14:paraId="229F5785" w14:textId="77777777" w:rsidR="002E4559" w:rsidRPr="004F0398" w:rsidRDefault="002E4559" w:rsidP="002E4559">
            <w:pPr>
              <w:pStyle w:val="Bullet"/>
              <w:rPr>
                <w:lang w:val="en-GB"/>
              </w:rPr>
            </w:pPr>
            <w:r w:rsidRPr="004F0398">
              <w:rPr>
                <w:lang w:val="en-GB"/>
              </w:rPr>
              <w:t>enhance their contribution to sustainable development, and</w:t>
            </w:r>
          </w:p>
          <w:p w14:paraId="55ED5478" w14:textId="77777777" w:rsidR="002E4559" w:rsidRPr="004F0398" w:rsidRDefault="002E4559" w:rsidP="002E4559">
            <w:pPr>
              <w:pStyle w:val="Bullet"/>
              <w:rPr>
                <w:lang w:val="en-GB"/>
              </w:rPr>
            </w:pPr>
            <w:r w:rsidRPr="004F0398">
              <w:rPr>
                <w:lang w:val="en-GB"/>
              </w:rPr>
              <w:t>address any adverse impacts on people, planet and society that are associated with their business activities.</w:t>
            </w:r>
          </w:p>
          <w:p w14:paraId="0CCE608E" w14:textId="77777777" w:rsidR="002E4559" w:rsidRPr="004F0398" w:rsidRDefault="002E4559" w:rsidP="002E4559">
            <w:pPr>
              <w:pStyle w:val="Bullet"/>
              <w:numPr>
                <w:ilvl w:val="0"/>
                <w:numId w:val="0"/>
              </w:numPr>
              <w:rPr>
                <w:lang w:val="en-GB"/>
              </w:rPr>
            </w:pPr>
          </w:p>
          <w:p w14:paraId="645ADCB5" w14:textId="073E9E9C" w:rsidR="002E4559" w:rsidRPr="004F0398" w:rsidRDefault="002E4559" w:rsidP="002E4559">
            <w:pPr>
              <w:pStyle w:val="Bullet"/>
              <w:numPr>
                <w:ilvl w:val="0"/>
                <w:numId w:val="0"/>
              </w:numPr>
              <w:rPr>
                <w:rStyle w:val="Hyperlink"/>
                <w:b/>
                <w:bCs/>
                <w:i/>
                <w:iCs/>
              </w:rPr>
            </w:pPr>
            <w:r w:rsidRPr="00D06E5D">
              <w:rPr>
                <w:lang w:val="en-GB"/>
              </w:rPr>
              <w:t xml:space="preserve">The OECD Guidelines are available </w:t>
            </w:r>
            <w:r w:rsidR="008328AA">
              <w:rPr>
                <w:lang w:val="en-GB"/>
              </w:rPr>
              <w:t xml:space="preserve">on the </w:t>
            </w:r>
            <w:r w:rsidRPr="004F0398">
              <w:rPr>
                <w:b/>
                <w:bCs/>
                <w:i/>
                <w:iCs/>
                <w:u w:val="single"/>
                <w:lang w:val="en-GB"/>
              </w:rPr>
              <w:t xml:space="preserve"> </w:t>
            </w:r>
            <w:hyperlink r:id="rId38" w:history="1">
              <w:r w:rsidR="008328AA">
                <w:rPr>
                  <w:rStyle w:val="Hyperlink"/>
                </w:rPr>
                <w:t>OECD website</w:t>
              </w:r>
            </w:hyperlink>
            <w:r w:rsidR="008328AA">
              <w:rPr>
                <w:rStyle w:val="Hyperlink"/>
              </w:rPr>
              <w:t>.</w:t>
            </w:r>
            <w:r w:rsidRPr="004F0398">
              <w:rPr>
                <w:rStyle w:val="EndnoteReference"/>
              </w:rPr>
              <w:endnoteReference w:id="15"/>
            </w:r>
          </w:p>
          <w:p w14:paraId="0CD203A5" w14:textId="77777777" w:rsidR="002E4559" w:rsidRPr="004F0398" w:rsidRDefault="002E4559" w:rsidP="002E4559">
            <w:pPr>
              <w:pStyle w:val="Bullet"/>
              <w:numPr>
                <w:ilvl w:val="0"/>
                <w:numId w:val="0"/>
              </w:numPr>
              <w:rPr>
                <w:lang w:val="en-GB"/>
              </w:rPr>
            </w:pPr>
          </w:p>
        </w:tc>
      </w:tr>
      <w:tr w:rsidR="002E4559" w:rsidRPr="004F0398" w14:paraId="4A54C3FD" w14:textId="77777777" w:rsidTr="008E448F">
        <w:tc>
          <w:tcPr>
            <w:tcW w:w="2400" w:type="dxa"/>
          </w:tcPr>
          <w:p w14:paraId="5DD6E75F" w14:textId="77777777" w:rsidR="002E4559" w:rsidRPr="004F0398" w:rsidRDefault="002E4559" w:rsidP="002E4559">
            <w:pPr>
              <w:rPr>
                <w:b/>
                <w:bCs/>
              </w:rPr>
            </w:pPr>
            <w:bookmarkStart w:id="61" w:name="OECDR"/>
            <w:bookmarkEnd w:id="61"/>
            <w:r w:rsidRPr="004F0398">
              <w:rPr>
                <w:b/>
                <w:bCs/>
              </w:rPr>
              <w:t>OECD Responsible Business Conduct Centre</w:t>
            </w:r>
          </w:p>
        </w:tc>
        <w:tc>
          <w:tcPr>
            <w:tcW w:w="6616" w:type="dxa"/>
          </w:tcPr>
          <w:p w14:paraId="18771908" w14:textId="3BAAD82A" w:rsidR="002E4559" w:rsidRPr="004F0398" w:rsidRDefault="002E4559" w:rsidP="002E4559">
            <w:pPr>
              <w:rPr>
                <w:lang w:val="en-GB"/>
              </w:rPr>
            </w:pPr>
            <w:r w:rsidRPr="004F0398">
              <w:rPr>
                <w:lang w:val="en-GB"/>
              </w:rPr>
              <w:t xml:space="preserve">The </w:t>
            </w:r>
            <w:r w:rsidRPr="00D06E5D">
              <w:rPr>
                <w:lang w:val="en-GB"/>
              </w:rPr>
              <w:t>OECD Responsible Business Conduct Centre</w:t>
            </w:r>
            <w:r w:rsidRPr="004F0398">
              <w:rPr>
                <w:lang w:val="en-GB"/>
              </w:rPr>
              <w:t xml:space="preserve"> is the secretariat to the Working Party on Responsible Business Conduct, which includes representatives of all governments adhering to the OECD Guidelines. </w:t>
            </w:r>
          </w:p>
          <w:p w14:paraId="2C080280" w14:textId="77777777" w:rsidR="002E4559" w:rsidRPr="004F0398" w:rsidRDefault="002E4559" w:rsidP="002E4559">
            <w:pPr>
              <w:rPr>
                <w:lang w:val="en-GB"/>
              </w:rPr>
            </w:pPr>
          </w:p>
        </w:tc>
      </w:tr>
      <w:tr w:rsidR="002E4559" w:rsidRPr="004F0398" w14:paraId="19EA7AFF" w14:textId="77777777" w:rsidTr="008E448F">
        <w:tc>
          <w:tcPr>
            <w:tcW w:w="2400" w:type="dxa"/>
          </w:tcPr>
          <w:p w14:paraId="30EF926F" w14:textId="77777777" w:rsidR="002E4559" w:rsidRPr="004F0398" w:rsidRDefault="002E4559" w:rsidP="002E4559">
            <w:pPr>
              <w:rPr>
                <w:b/>
                <w:bCs/>
              </w:rPr>
            </w:pPr>
            <w:bookmarkStart w:id="62" w:name="parties"/>
            <w:bookmarkEnd w:id="62"/>
            <w:r w:rsidRPr="004F0398">
              <w:rPr>
                <w:b/>
                <w:bCs/>
              </w:rPr>
              <w:t xml:space="preserve">parties </w:t>
            </w:r>
          </w:p>
        </w:tc>
        <w:tc>
          <w:tcPr>
            <w:tcW w:w="6616" w:type="dxa"/>
          </w:tcPr>
          <w:p w14:paraId="71D177C6" w14:textId="6E3E592B" w:rsidR="002E4559" w:rsidRPr="004F0398" w:rsidRDefault="002E4559" w:rsidP="002E4559">
            <w:r w:rsidRPr="004F0398">
              <w:t xml:space="preserve">The notifier and the </w:t>
            </w:r>
            <w:r>
              <w:t>enterprise</w:t>
            </w:r>
            <w:r w:rsidRPr="004F0398">
              <w:t>.</w:t>
            </w:r>
          </w:p>
          <w:p w14:paraId="0BECE3C4" w14:textId="77777777" w:rsidR="002E4559" w:rsidRPr="004F0398" w:rsidRDefault="002E4559" w:rsidP="002E4559">
            <w:pPr>
              <w:rPr>
                <w:lang w:val="en-GB"/>
              </w:rPr>
            </w:pPr>
          </w:p>
        </w:tc>
      </w:tr>
      <w:tr w:rsidR="002E4559" w:rsidRPr="004F0398" w14:paraId="6FCED36D" w14:textId="77777777" w:rsidTr="008E448F">
        <w:tc>
          <w:tcPr>
            <w:tcW w:w="2400" w:type="dxa"/>
          </w:tcPr>
          <w:p w14:paraId="537D433B" w14:textId="77777777" w:rsidR="002E4559" w:rsidRPr="004F0398" w:rsidRDefault="002E4559" w:rsidP="002E4559">
            <w:pPr>
              <w:rPr>
                <w:b/>
                <w:bCs/>
              </w:rPr>
            </w:pPr>
            <w:bookmarkStart w:id="63" w:name="transfer"/>
            <w:bookmarkEnd w:id="63"/>
            <w:r w:rsidRPr="004F0398">
              <w:rPr>
                <w:b/>
                <w:bCs/>
              </w:rPr>
              <w:t xml:space="preserve">transfer statement </w:t>
            </w:r>
          </w:p>
        </w:tc>
        <w:tc>
          <w:tcPr>
            <w:tcW w:w="6616" w:type="dxa"/>
          </w:tcPr>
          <w:p w14:paraId="078909ED" w14:textId="5A7CDC4D" w:rsidR="002E4559" w:rsidRPr="004F0398" w:rsidRDefault="002E4559" w:rsidP="002E4559">
            <w:r w:rsidRPr="004F0398">
              <w:t xml:space="preserve">A statement published on the AusNCP website </w:t>
            </w:r>
            <w:r w:rsidR="00607DC7">
              <w:t>that</w:t>
            </w:r>
            <w:r w:rsidR="00607DC7" w:rsidRPr="004F0398">
              <w:t xml:space="preserve"> </w:t>
            </w:r>
            <w:r w:rsidRPr="004F0398">
              <w:t>sets out an independent examiner’s decision to transfer the complaint to another NCP.</w:t>
            </w:r>
          </w:p>
          <w:p w14:paraId="2F4E7442" w14:textId="77777777" w:rsidR="002E4559" w:rsidRPr="004F0398" w:rsidRDefault="002E4559" w:rsidP="002E4559"/>
        </w:tc>
      </w:tr>
    </w:tbl>
    <w:p w14:paraId="17AF8592" w14:textId="6D8FB2A9" w:rsidR="00CA00A9" w:rsidRDefault="00CA00A9" w:rsidP="00CA00A9">
      <w:pPr>
        <w:pStyle w:val="Heading1"/>
      </w:pPr>
      <w:bookmarkStart w:id="64" w:name="_Ref150179212"/>
      <w:bookmarkStart w:id="65" w:name="_Ref150179214"/>
      <w:bookmarkStart w:id="66" w:name="_Ref162441157"/>
      <w:bookmarkStart w:id="67" w:name="_Toc163213145"/>
      <w:r w:rsidRPr="004F0398">
        <w:lastRenderedPageBreak/>
        <w:t>Appendix A: Complaint process</w:t>
      </w:r>
      <w:bookmarkEnd w:id="64"/>
      <w:bookmarkEnd w:id="65"/>
      <w:r w:rsidR="00857BB2">
        <w:t xml:space="preserve"> diagram</w:t>
      </w:r>
      <w:bookmarkEnd w:id="66"/>
      <w:bookmarkEnd w:id="67"/>
      <w:r w:rsidRPr="004F0398">
        <w:t xml:space="preserve"> </w:t>
      </w:r>
    </w:p>
    <w:p w14:paraId="43A3EE22" w14:textId="71985CE9" w:rsidR="00CA00A9" w:rsidRPr="002040FE" w:rsidRDefault="00687BC1" w:rsidP="00CA00A9">
      <w:r w:rsidRPr="00687BC1">
        <w:rPr>
          <w:noProof/>
        </w:rPr>
        <w:drawing>
          <wp:inline distT="0" distB="0" distL="0" distR="0" wp14:anchorId="7D3151C0" wp14:editId="7E0709DB">
            <wp:extent cx="5731510" cy="60382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731510" cy="6038215"/>
                    </a:xfrm>
                    <a:prstGeom prst="rect">
                      <a:avLst/>
                    </a:prstGeom>
                  </pic:spPr>
                </pic:pic>
              </a:graphicData>
            </a:graphic>
          </wp:inline>
        </w:drawing>
      </w:r>
    </w:p>
    <w:p w14:paraId="02F35BC2" w14:textId="77777777" w:rsidR="00CA00A9" w:rsidRDefault="00CA00A9" w:rsidP="00CA00A9">
      <w:pPr>
        <w:rPr>
          <w:b/>
          <w:bCs/>
        </w:rPr>
      </w:pPr>
    </w:p>
    <w:p w14:paraId="2425768A" w14:textId="77777777" w:rsidR="00614B90" w:rsidRDefault="00614B90" w:rsidP="00CA00A9">
      <w:pPr>
        <w:rPr>
          <w:b/>
          <w:bCs/>
        </w:rPr>
      </w:pPr>
    </w:p>
    <w:p w14:paraId="7F76E6BA" w14:textId="77777777" w:rsidR="00614B90" w:rsidRDefault="00614B90" w:rsidP="00CA00A9">
      <w:pPr>
        <w:rPr>
          <w:b/>
          <w:bCs/>
        </w:rPr>
      </w:pPr>
    </w:p>
    <w:p w14:paraId="7F68C0B5" w14:textId="77777777" w:rsidR="00614B90" w:rsidRDefault="00614B90" w:rsidP="00CA00A9">
      <w:pPr>
        <w:rPr>
          <w:b/>
          <w:bCs/>
        </w:rPr>
      </w:pPr>
    </w:p>
    <w:p w14:paraId="7341113C" w14:textId="77777777" w:rsidR="00CA00A9" w:rsidRDefault="00CA00A9"/>
    <w:p w14:paraId="51F29FE6" w14:textId="77777777" w:rsidR="000A443E" w:rsidRDefault="000A443E"/>
    <w:p w14:paraId="18E8487D" w14:textId="0CA7E179" w:rsidR="000A443E" w:rsidRDefault="000A443E">
      <w:r>
        <w:br w:type="page"/>
      </w:r>
    </w:p>
    <w:p w14:paraId="0D9F3462" w14:textId="6A7D4A08" w:rsidR="00EE1ECE" w:rsidRDefault="00CA00A9" w:rsidP="00CA00A9">
      <w:pPr>
        <w:pStyle w:val="Heading1"/>
      </w:pPr>
      <w:bookmarkStart w:id="68" w:name="_Toc163213146"/>
      <w:r>
        <w:lastRenderedPageBreak/>
        <w:t>Endnotes</w:t>
      </w:r>
      <w:bookmarkEnd w:id="68"/>
      <w:r>
        <w:t xml:space="preserve"> </w:t>
      </w:r>
    </w:p>
    <w:sectPr w:rsidR="00EE1ECE" w:rsidSect="00EE1ECE">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135FD" w14:textId="77777777" w:rsidR="001705AB" w:rsidRDefault="001705AB" w:rsidP="00442BC9">
      <w:pPr>
        <w:spacing w:after="0" w:line="240" w:lineRule="auto"/>
      </w:pPr>
      <w:r>
        <w:separator/>
      </w:r>
    </w:p>
    <w:p w14:paraId="5761014D" w14:textId="77777777" w:rsidR="001705AB" w:rsidRDefault="001705AB"/>
  </w:endnote>
  <w:endnote w:type="continuationSeparator" w:id="0">
    <w:p w14:paraId="0C1C00A8" w14:textId="77777777" w:rsidR="001705AB" w:rsidRDefault="001705AB" w:rsidP="00442BC9">
      <w:pPr>
        <w:spacing w:after="0" w:line="240" w:lineRule="auto"/>
      </w:pPr>
      <w:r>
        <w:continuationSeparator/>
      </w:r>
    </w:p>
    <w:p w14:paraId="2951EA06" w14:textId="77777777" w:rsidR="001705AB" w:rsidRDefault="001705AB"/>
  </w:endnote>
  <w:endnote w:type="continuationNotice" w:id="1">
    <w:p w14:paraId="79CA550E" w14:textId="77777777" w:rsidR="001705AB" w:rsidRDefault="001705AB">
      <w:pPr>
        <w:spacing w:after="0" w:line="240" w:lineRule="auto"/>
      </w:pPr>
    </w:p>
    <w:p w14:paraId="622DF7E4" w14:textId="77777777" w:rsidR="001705AB" w:rsidRDefault="001705AB"/>
  </w:endnote>
  <w:endnote w:id="2">
    <w:p w14:paraId="363F8B95" w14:textId="77777777" w:rsidR="00CA00A9" w:rsidRDefault="00CA00A9" w:rsidP="00CA00A9">
      <w:pPr>
        <w:pStyle w:val="EndnoteText"/>
      </w:pPr>
      <w:r>
        <w:rPr>
          <w:rStyle w:val="EndnoteReference"/>
        </w:rPr>
        <w:endnoteRef/>
      </w:r>
      <w:r>
        <w:t xml:space="preserve"> </w:t>
      </w:r>
      <w:r w:rsidRPr="00A02487">
        <w:t xml:space="preserve">OECD (2023), </w:t>
      </w:r>
      <w:r w:rsidRPr="00A02487">
        <w:rPr>
          <w:i/>
          <w:iCs/>
        </w:rPr>
        <w:t>OECD Guidelines for Multinational Enterprises on Responsible Business Conduct</w:t>
      </w:r>
      <w:r w:rsidRPr="00A02487">
        <w:t>, OECD Publishing, Paris</w:t>
      </w:r>
      <w:r>
        <w:t xml:space="preserve">, </w:t>
      </w:r>
      <w:hyperlink r:id="rId1" w:history="1">
        <w:r w:rsidRPr="00167633">
          <w:rPr>
            <w:rStyle w:val="Hyperlink"/>
          </w:rPr>
          <w:t>https://doi.org/10.1787/81f92357-en</w:t>
        </w:r>
      </w:hyperlink>
      <w:r>
        <w:t xml:space="preserve">, accessed December 2023. </w:t>
      </w:r>
    </w:p>
  </w:endnote>
  <w:endnote w:id="3">
    <w:p w14:paraId="661C1869" w14:textId="77777777" w:rsidR="00CA00A9" w:rsidRDefault="00CA00A9" w:rsidP="00CA00A9">
      <w:pPr>
        <w:pStyle w:val="EndnoteText"/>
      </w:pPr>
      <w:r>
        <w:rPr>
          <w:rStyle w:val="EndnoteReference"/>
        </w:rPr>
        <w:endnoteRef/>
      </w:r>
      <w:r>
        <w:t xml:space="preserve"> </w:t>
      </w:r>
      <w:r w:rsidRPr="00A879DB">
        <w:t xml:space="preserve">OECD, OECD Legal Instruments, </w:t>
      </w:r>
      <w:r w:rsidRPr="00A879DB">
        <w:rPr>
          <w:i/>
          <w:iCs/>
        </w:rPr>
        <w:t>Declaration on International Investment and Multinational Enterprises</w:t>
      </w:r>
      <w:r w:rsidRPr="00A879DB">
        <w:t xml:space="preserve">, </w:t>
      </w:r>
      <w:hyperlink r:id="rId2" w:history="1">
        <w:r w:rsidRPr="00A879DB">
          <w:rPr>
            <w:rStyle w:val="Hyperlink"/>
          </w:rPr>
          <w:t>legalinstruments.oecd.org/en/instruments/OECD-LEGAL-0144</w:t>
        </w:r>
      </w:hyperlink>
      <w:r w:rsidRPr="00A879DB">
        <w:t>, accessed December 2023.</w:t>
      </w:r>
    </w:p>
  </w:endnote>
  <w:endnote w:id="4">
    <w:p w14:paraId="5EE16223" w14:textId="77777777" w:rsidR="00CA00A9" w:rsidRDefault="00CA00A9" w:rsidP="00CA00A9">
      <w:pPr>
        <w:pStyle w:val="EndnoteText"/>
      </w:pPr>
      <w:r>
        <w:rPr>
          <w:rStyle w:val="EndnoteReference"/>
        </w:rPr>
        <w:endnoteRef/>
      </w:r>
      <w:r>
        <w:t xml:space="preserve"> OECD, OECD Guidelines for Multinational Enterprises on Responsible Business Conduct, </w:t>
      </w:r>
      <w:hyperlink r:id="rId3" w:history="1">
        <w:r>
          <w:rPr>
            <w:rStyle w:val="Hyperlink"/>
          </w:rPr>
          <w:t>https://mneguidelines.oecd.org/mneguidelines/</w:t>
        </w:r>
      </w:hyperlink>
      <w:r>
        <w:t xml:space="preserve">, 2023, accessed December 2023. </w:t>
      </w:r>
    </w:p>
  </w:endnote>
  <w:endnote w:id="5">
    <w:p w14:paraId="077ECB6F" w14:textId="2C326DBF" w:rsidR="00CA00A9" w:rsidRDefault="00DD7D1D" w:rsidP="00CA00A9">
      <w:pPr>
        <w:pStyle w:val="EndnoteText"/>
      </w:pPr>
      <w:r>
        <w:rPr>
          <w:rStyle w:val="EndnoteReference"/>
        </w:rPr>
        <w:endnoteRef/>
      </w:r>
      <w:r w:rsidR="008D1A45">
        <w:t xml:space="preserve"> </w:t>
      </w:r>
      <w:r w:rsidR="00CA00A9">
        <w:t xml:space="preserve">OECD, OECD Due Diligence Guidance for Responsible Business Conduct, </w:t>
      </w:r>
      <w:hyperlink r:id="rId4" w:history="1">
        <w:r w:rsidR="00CA00A9">
          <w:rPr>
            <w:rStyle w:val="Hyperlink"/>
          </w:rPr>
          <w:t>https://www.oecd.org/investment/due-diligence-guidance-for-responsible-business-conduct.htm</w:t>
        </w:r>
      </w:hyperlink>
      <w:r w:rsidR="00CA00A9">
        <w:t xml:space="preserve">, 2023, accessed December 2023. </w:t>
      </w:r>
    </w:p>
  </w:endnote>
  <w:endnote w:id="6">
    <w:p w14:paraId="264F1853" w14:textId="77777777" w:rsidR="00CA00A9" w:rsidRDefault="00CA00A9" w:rsidP="00CA00A9">
      <w:pPr>
        <w:pStyle w:val="EndnoteText"/>
      </w:pPr>
      <w:r>
        <w:rPr>
          <w:rStyle w:val="EndnoteReference"/>
        </w:rPr>
        <w:endnoteRef/>
      </w:r>
      <w:r>
        <w:t xml:space="preserve"> AusNCP, </w:t>
      </w:r>
      <w:r>
        <w:t xml:space="preserve">Submit a Complaint, </w:t>
      </w:r>
      <w:hyperlink r:id="rId5" w:history="1">
        <w:r>
          <w:rPr>
            <w:rStyle w:val="Hyperlink"/>
          </w:rPr>
          <w:t>https://ausncp.gov.au/complaints/submit-complaint</w:t>
        </w:r>
      </w:hyperlink>
      <w:r>
        <w:t xml:space="preserve">, 2023, accessed 2023. </w:t>
      </w:r>
    </w:p>
  </w:endnote>
  <w:endnote w:id="7">
    <w:p w14:paraId="4364E811" w14:textId="77777777" w:rsidR="00CA00A9" w:rsidRDefault="00CA00A9" w:rsidP="00CA00A9">
      <w:pPr>
        <w:pStyle w:val="EndnoteText"/>
      </w:pPr>
      <w:r>
        <w:rPr>
          <w:rStyle w:val="EndnoteReference"/>
        </w:rPr>
        <w:endnoteRef/>
      </w:r>
      <w:r>
        <w:t xml:space="preserve"> </w:t>
      </w:r>
      <w:r w:rsidRPr="00A02487">
        <w:t xml:space="preserve">OECD (2023), </w:t>
      </w:r>
      <w:r w:rsidRPr="00A02487">
        <w:rPr>
          <w:i/>
          <w:iCs/>
        </w:rPr>
        <w:t>OECD Guidelines for Multinational Enterprises on Responsible Business Conduct</w:t>
      </w:r>
      <w:r w:rsidRPr="00A02487">
        <w:t>, OECD Publishing, Paris, paragraph 35 ‘Parallel proceedings’</w:t>
      </w:r>
      <w:r>
        <w:t>,</w:t>
      </w:r>
      <w:r w:rsidRPr="00A02487">
        <w:t xml:space="preserve">  </w:t>
      </w:r>
      <w:hyperlink r:id="rId6" w:history="1">
        <w:r w:rsidRPr="00A02487">
          <w:rPr>
            <w:rStyle w:val="Hyperlink"/>
          </w:rPr>
          <w:t>https://doi.org/10.1787/81f92357-en</w:t>
        </w:r>
      </w:hyperlink>
      <w:r>
        <w:t>, accessed December 2023.</w:t>
      </w:r>
    </w:p>
  </w:endnote>
  <w:endnote w:id="8">
    <w:p w14:paraId="1127ABB2" w14:textId="77777777" w:rsidR="00CA00A9" w:rsidRDefault="00CA00A9" w:rsidP="00CA00A9">
      <w:pPr>
        <w:pStyle w:val="EndnoteText"/>
      </w:pPr>
      <w:r>
        <w:rPr>
          <w:rStyle w:val="EndnoteReference"/>
        </w:rPr>
        <w:endnoteRef/>
      </w:r>
      <w:r>
        <w:t xml:space="preserve"> </w:t>
      </w:r>
      <w:r w:rsidRPr="00A02487">
        <w:t>Ibid, above n 1, Part II, Coordination between NCPs in Specific Instances, paragraphs 29 – 32 for more information</w:t>
      </w:r>
      <w:r>
        <w:t xml:space="preserve">, </w:t>
      </w:r>
      <w:hyperlink r:id="rId7" w:history="1">
        <w:r w:rsidRPr="00167633">
          <w:rPr>
            <w:rStyle w:val="Hyperlink"/>
          </w:rPr>
          <w:t>https://doi.org/10.1787/81f92357-en</w:t>
        </w:r>
      </w:hyperlink>
      <w:r>
        <w:t>, accessed December 2023</w:t>
      </w:r>
      <w:r w:rsidRPr="00A02487">
        <w:t>.</w:t>
      </w:r>
    </w:p>
  </w:endnote>
  <w:endnote w:id="9">
    <w:p w14:paraId="39F28522" w14:textId="6DA250A8" w:rsidR="00CA00A9" w:rsidRDefault="00CA00A9" w:rsidP="00CA00A9">
      <w:pPr>
        <w:pStyle w:val="EndnoteText"/>
      </w:pPr>
      <w:r>
        <w:rPr>
          <w:rStyle w:val="EndnoteReference"/>
        </w:rPr>
        <w:endnoteRef/>
      </w:r>
      <w:r>
        <w:t xml:space="preserve"> </w:t>
      </w:r>
      <w:r w:rsidRPr="00091ACC">
        <w:t>Consistent with confidentiality requirements in paragraph 8</w:t>
      </w:r>
      <w:r w:rsidR="00091ACC" w:rsidRPr="00091ACC">
        <w:t>5</w:t>
      </w:r>
      <w:r w:rsidR="00EB5C38" w:rsidRPr="00091ACC">
        <w:t>.</w:t>
      </w:r>
    </w:p>
  </w:endnote>
  <w:endnote w:id="10">
    <w:p w14:paraId="702469CF" w14:textId="77777777" w:rsidR="0083040E" w:rsidRDefault="0083040E" w:rsidP="0083040E">
      <w:pPr>
        <w:pStyle w:val="EndnoteText"/>
      </w:pPr>
      <w:r>
        <w:rPr>
          <w:rStyle w:val="EndnoteReference"/>
        </w:rPr>
        <w:endnoteRef/>
      </w:r>
      <w:r>
        <w:t xml:space="preserve"> AusNCP, AusNCP website, </w:t>
      </w:r>
      <w:hyperlink r:id="rId8" w:history="1">
        <w:r>
          <w:rPr>
            <w:rStyle w:val="Hyperlink"/>
          </w:rPr>
          <w:t>https://ausncp.gov.au/</w:t>
        </w:r>
      </w:hyperlink>
      <w:r>
        <w:t xml:space="preserve">, 2023, accessed December 2023.  </w:t>
      </w:r>
    </w:p>
  </w:endnote>
  <w:endnote w:id="11">
    <w:p w14:paraId="61B130D2" w14:textId="77777777" w:rsidR="0009278C" w:rsidRDefault="0009278C" w:rsidP="0009278C">
      <w:pPr>
        <w:pStyle w:val="EndnoteText"/>
      </w:pPr>
      <w:r>
        <w:rPr>
          <w:rStyle w:val="EndnoteReference"/>
        </w:rPr>
        <w:endnoteRef/>
      </w:r>
      <w:r>
        <w:t xml:space="preserve"> Office of the Australian Information Commissioner, Exemptions and conditional exemptions under the Freedom of Information Act 1982, </w:t>
      </w:r>
      <w:hyperlink r:id="rId9" w:history="1">
        <w:r>
          <w:rPr>
            <w:rStyle w:val="Hyperlink"/>
          </w:rPr>
          <w:t>https://www.oaic.gov.au/freedom-of-information/</w:t>
        </w:r>
      </w:hyperlink>
      <w:r>
        <w:t xml:space="preserve">, 2023, accessed December 2023. </w:t>
      </w:r>
    </w:p>
  </w:endnote>
  <w:endnote w:id="12">
    <w:p w14:paraId="6DC2E786" w14:textId="77777777" w:rsidR="00CA00A9" w:rsidRDefault="00CA00A9" w:rsidP="00CA00A9">
      <w:pPr>
        <w:pStyle w:val="EndnoteText"/>
      </w:pPr>
      <w:r>
        <w:rPr>
          <w:rStyle w:val="EndnoteReference"/>
        </w:rPr>
        <w:endnoteRef/>
      </w:r>
      <w:r>
        <w:t xml:space="preserve"> AusNCP, Governance and Advisory Board – terms of reference, </w:t>
      </w:r>
      <w:hyperlink r:id="rId10" w:history="1">
        <w:r>
          <w:rPr>
            <w:rStyle w:val="Hyperlink"/>
          </w:rPr>
          <w:t>https://ausncp.gov.au/responsible-business-conduct/governance-and-advisory-board</w:t>
        </w:r>
      </w:hyperlink>
      <w:r>
        <w:t xml:space="preserve">, 2023, accessed December 2023. </w:t>
      </w:r>
    </w:p>
  </w:endnote>
  <w:endnote w:id="13">
    <w:p w14:paraId="6938E49B" w14:textId="77777777" w:rsidR="00CA00A9" w:rsidRDefault="00CA00A9" w:rsidP="00CA00A9">
      <w:pPr>
        <w:pStyle w:val="EndnoteText"/>
      </w:pPr>
      <w:r>
        <w:rPr>
          <w:rStyle w:val="EndnoteReference"/>
        </w:rPr>
        <w:endnoteRef/>
      </w:r>
      <w:r>
        <w:t xml:space="preserve"> OECD Guidelines for Multinational Enterprises on Responsible Business Conduct, above n 1, page 58, paragraph I, accessed December 2023. </w:t>
      </w:r>
    </w:p>
  </w:endnote>
  <w:endnote w:id="14">
    <w:p w14:paraId="46A701EC" w14:textId="77777777" w:rsidR="00CA00A9" w:rsidRDefault="00CA00A9" w:rsidP="00CA00A9">
      <w:pPr>
        <w:pStyle w:val="EndnoteText"/>
      </w:pPr>
      <w:r>
        <w:rPr>
          <w:rStyle w:val="EndnoteReference"/>
        </w:rPr>
        <w:endnoteRef/>
      </w:r>
      <w:r>
        <w:t xml:space="preserve"> OECD, OECD Due Diligence Guidance for Responsible Business Conduct, above n 4. </w:t>
      </w:r>
    </w:p>
  </w:endnote>
  <w:endnote w:id="15">
    <w:p w14:paraId="10019EFE" w14:textId="77777777" w:rsidR="002E4559" w:rsidRDefault="002E4559" w:rsidP="00CA00A9">
      <w:pPr>
        <w:pStyle w:val="EndnoteText"/>
      </w:pPr>
      <w:r>
        <w:rPr>
          <w:rStyle w:val="EndnoteReference"/>
        </w:rPr>
        <w:endnoteRef/>
      </w:r>
      <w:r>
        <w:t xml:space="preserve"> OECD Guidelines for Multinational Enterprises on Responsible Business Conduct, above n 1.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C916" w14:textId="0E54D7C0" w:rsidR="00CA00A9" w:rsidRDefault="00713D97">
    <w:pPr>
      <w:pStyle w:val="SecurityClassificationFooter"/>
    </w:pPr>
    <w:r>
      <w:fldChar w:fldCharType="begin"/>
    </w:r>
    <w:r>
      <w:instrText xml:space="preserve"> DOCPROPERTY SecurityClassification \* MERGEFORMAT </w:instrText>
    </w:r>
    <w:r>
      <w:fldChar w:fldCharType="separate"/>
    </w:r>
    <w:r w:rsidR="001677C5">
      <w:rPr>
        <w:b w:val="0"/>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812450"/>
      <w:docPartObj>
        <w:docPartGallery w:val="Page Numbers (Bottom of Page)"/>
        <w:docPartUnique/>
      </w:docPartObj>
    </w:sdtPr>
    <w:sdtEndPr>
      <w:rPr>
        <w:noProof/>
      </w:rPr>
    </w:sdtEndPr>
    <w:sdtContent>
      <w:p w14:paraId="3CED9EC7" w14:textId="77777777" w:rsidR="00CA00A9" w:rsidRDefault="00CA00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F102C7" w14:textId="0DFF9C05" w:rsidR="00CA00A9" w:rsidRDefault="00CA00A9">
    <w:pPr>
      <w:pStyle w:val="SecurityClassification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ABFB" w14:textId="3D0C4BB7" w:rsidR="00CA00A9" w:rsidRDefault="00713D97">
    <w:pPr>
      <w:pStyle w:val="SecurityClassificationFooter"/>
    </w:pPr>
    <w:r>
      <w:fldChar w:fldCharType="begin"/>
    </w:r>
    <w:r>
      <w:instrText xml:space="preserve"> DOCPROPERTY SecurityClassification \* MERGEFORMAT </w:instrText>
    </w:r>
    <w:r>
      <w:fldChar w:fldCharType="separate"/>
    </w:r>
    <w:r w:rsidR="001677C5">
      <w:rPr>
        <w:b w:val="0"/>
        <w:bCs/>
        <w:lang w:val="en-US"/>
      </w:rPr>
      <w:t>Error! Unknown document property name.</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031E" w14:textId="726C3C15" w:rsidR="00CA00A9" w:rsidRDefault="00CA00A9">
    <w:pPr>
      <w:pStyle w:val="FooterEven"/>
    </w:pPr>
    <w:r>
      <w:drawing>
        <wp:anchor distT="0" distB="0" distL="114300" distR="114300" simplePos="0" relativeHeight="251658240" behindDoc="1" locked="0" layoutInCell="1" allowOverlap="0" wp14:anchorId="66E4E365" wp14:editId="75F47600">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1374E8">
      <w:fldChar w:fldCharType="begin"/>
    </w:r>
    <w:r w:rsidR="001374E8">
      <w:instrText xml:space="preserve"> STYLEREF  "Heading 1"  \* MERGEFORMAT </w:instrText>
    </w:r>
    <w:r w:rsidR="001374E8">
      <w:fldChar w:fldCharType="separate"/>
    </w:r>
    <w:r w:rsidR="001677C5">
      <w:t>Purpose of AusNCP complaint procedures</w:t>
    </w:r>
    <w:r w:rsidR="001374E8">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p w14:paraId="7366635F" w14:textId="45480D54" w:rsidR="00CA00A9" w:rsidRDefault="00713D97">
    <w:pPr>
      <w:pStyle w:val="SecurityClassificationFooter"/>
    </w:pPr>
    <w:r>
      <w:fldChar w:fldCharType="begin"/>
    </w:r>
    <w:r>
      <w:instrText xml:space="preserve"> DOCPROPERTY SecurityClassification \* MERGEFORMAT </w:instrText>
    </w:r>
    <w:r>
      <w:fldChar w:fldCharType="separate"/>
    </w:r>
    <w:r w:rsidR="001677C5">
      <w:rPr>
        <w:b w:val="0"/>
        <w:bCs/>
        <w:lang w:val="en-US"/>
      </w:rPr>
      <w:t>Error! Unknown document property name.</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2D01" w14:textId="445ADC89" w:rsidR="00CA00A9" w:rsidRDefault="00CA00A9">
    <w:pPr>
      <w:pStyle w:val="FooterOdd"/>
    </w:pPr>
    <w:r w:rsidRPr="00103F3C">
      <w:rPr>
        <w:noProof/>
        <w:position w:val="-8"/>
      </w:rPr>
      <w:drawing>
        <wp:inline distT="0" distB="0" distL="0" distR="0" wp14:anchorId="3E5FD5D0" wp14:editId="7D9A511E">
          <wp:extent cx="1313552" cy="2016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1313552" cy="201600"/>
                  </a:xfrm>
                  <a:prstGeom prst="rect">
                    <a:avLst/>
                  </a:prstGeom>
                </pic:spPr>
              </pic:pic>
            </a:graphicData>
          </a:graphic>
        </wp:inline>
      </w:drawing>
    </w:r>
    <w:r>
      <w:tab/>
    </w:r>
    <w:r w:rsidR="001374E8">
      <w:fldChar w:fldCharType="begin"/>
    </w:r>
    <w:r w:rsidR="001374E8">
      <w:instrText xml:space="preserve"> STYLEREF  "Heading 1"  \* MERGEFORMAT </w:instrText>
    </w:r>
    <w:r w:rsidR="001374E8">
      <w:fldChar w:fldCharType="separate"/>
    </w:r>
    <w:r w:rsidR="001374E8">
      <w:rPr>
        <w:noProof/>
      </w:rPr>
      <w:t>Purpose of AusNCP complaint procedures</w:t>
    </w:r>
    <w:r w:rsidR="001374E8">
      <w:rPr>
        <w:noProof/>
      </w:rPr>
      <w:fldChar w:fldCharType="end"/>
    </w:r>
    <w:r>
      <w:rPr>
        <w:noProof/>
      </w:rPr>
      <w:t xml:space="preserve"> </w:t>
    </w:r>
    <w:r>
      <w:t xml:space="preserve">| </w:t>
    </w:r>
    <w:r>
      <w:fldChar w:fldCharType="begin"/>
    </w:r>
    <w:r>
      <w:instrText xml:space="preserve"> PAGE   \* MERGEFORMAT </w:instrText>
    </w:r>
    <w:r>
      <w:fldChar w:fldCharType="separate"/>
    </w:r>
    <w:r>
      <w:t>2</w:t>
    </w:r>
    <w:r>
      <w:fldChar w:fldCharType="end"/>
    </w:r>
  </w:p>
  <w:p w14:paraId="361963B1" w14:textId="39FFBB77" w:rsidR="00CA00A9" w:rsidRDefault="00CA00A9">
    <w:pPr>
      <w:pStyle w:val="SecurityClassification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C1086" w14:textId="77777777" w:rsidR="001705AB" w:rsidRDefault="001705AB" w:rsidP="00442BC9">
      <w:pPr>
        <w:spacing w:after="0" w:line="240" w:lineRule="auto"/>
      </w:pPr>
      <w:r>
        <w:separator/>
      </w:r>
    </w:p>
    <w:p w14:paraId="7A029D52" w14:textId="77777777" w:rsidR="001705AB" w:rsidRDefault="001705AB"/>
  </w:footnote>
  <w:footnote w:type="continuationSeparator" w:id="0">
    <w:p w14:paraId="130616D0" w14:textId="77777777" w:rsidR="001705AB" w:rsidRDefault="001705AB" w:rsidP="00442BC9">
      <w:pPr>
        <w:spacing w:after="0" w:line="240" w:lineRule="auto"/>
      </w:pPr>
      <w:r>
        <w:continuationSeparator/>
      </w:r>
    </w:p>
    <w:p w14:paraId="6BA5F23E" w14:textId="77777777" w:rsidR="001705AB" w:rsidRDefault="001705AB"/>
  </w:footnote>
  <w:footnote w:type="continuationNotice" w:id="1">
    <w:p w14:paraId="538C8ADB" w14:textId="77777777" w:rsidR="001705AB" w:rsidRDefault="001705AB">
      <w:pPr>
        <w:spacing w:after="0" w:line="240" w:lineRule="auto"/>
      </w:pPr>
    </w:p>
    <w:p w14:paraId="51B7E60C" w14:textId="77777777" w:rsidR="001705AB" w:rsidRDefault="001705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2B19" w14:textId="27BC4569" w:rsidR="00CA00A9" w:rsidRDefault="00713D97">
    <w:pPr>
      <w:pStyle w:val="SecurityClassificationHeader"/>
    </w:pPr>
    <w:r>
      <w:fldChar w:fldCharType="begin"/>
    </w:r>
    <w:r>
      <w:instrText xml:space="preserve"> DOCPROPERTY SecurityClassification \* MERGEFORMAT </w:instrText>
    </w:r>
    <w:r>
      <w:fldChar w:fldCharType="separate"/>
    </w:r>
    <w:r w:rsidR="001677C5">
      <w:rPr>
        <w:b w:val="0"/>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17FD" w14:textId="78EE3A87" w:rsidR="00CA00A9" w:rsidRDefault="00713D97">
    <w:pPr>
      <w:pStyle w:val="SecurityClassificationHeader"/>
    </w:pPr>
    <w:r>
      <w:fldChar w:fldCharType="begin"/>
    </w:r>
    <w:r>
      <w:instrText xml:space="preserve"> DOCPROPERTY SecurityClassification \* MERGEFORMAT </w:instrText>
    </w:r>
    <w:r>
      <w:fldChar w:fldCharType="separate"/>
    </w:r>
    <w:r w:rsidR="001677C5">
      <w:rPr>
        <w:b w:val="0"/>
        <w:bCs/>
        <w:lang w:val="en-US"/>
      </w:rPr>
      <w:t>Error! Unknown document property name.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84A7" w14:textId="305E7E80" w:rsidR="00CA00A9" w:rsidRPr="00095D88" w:rsidRDefault="00713D97">
    <w:pPr>
      <w:pStyle w:val="SecurityClassificationHeader"/>
    </w:pPr>
    <w:r>
      <w:fldChar w:fldCharType="begin"/>
    </w:r>
    <w:r>
      <w:instrText xml:space="preserve"> DOCPROPERTY SecurityClassification \* MERGEFORMAT </w:instrText>
    </w:r>
    <w:r>
      <w:fldChar w:fldCharType="separate"/>
    </w:r>
    <w:r w:rsidR="001677C5">
      <w:rPr>
        <w:b w:val="0"/>
        <w:bCs/>
        <w:lang w:val="en-US"/>
      </w:rPr>
      <w:t>Error! Unknown document property name.</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84B0" w14:textId="6BAD9C9B" w:rsidR="00CA00A9" w:rsidRPr="00095D88" w:rsidRDefault="00CA00A9" w:rsidP="00857BB2">
    <w:pPr>
      <w:pStyle w:val="SecurityClassification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9163" w14:textId="2D74F9B8" w:rsidR="00CA00A9" w:rsidRPr="00095D88" w:rsidRDefault="00CA00A9">
    <w:pPr>
      <w:pStyle w:val="SecurityClassification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3" w15:restartNumberingAfterBreak="0">
    <w:nsid w:val="14E550AB"/>
    <w:multiLevelType w:val="hybridMultilevel"/>
    <w:tmpl w:val="A9CED4DE"/>
    <w:lvl w:ilvl="0" w:tplc="D16836FE">
      <w:start w:val="88"/>
      <w:numFmt w:val="bullet"/>
      <w:lvlText w:val=""/>
      <w:lvlJc w:val="left"/>
      <w:pPr>
        <w:ind w:left="720" w:hanging="360"/>
      </w:pPr>
      <w:rPr>
        <w:rFonts w:ascii="Symbol" w:eastAsiaTheme="minorHAnsi" w:hAnsi="Symbol" w:cstheme="minorBidi"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6C1066"/>
    <w:multiLevelType w:val="hybridMultilevel"/>
    <w:tmpl w:val="D0805EA6"/>
    <w:lvl w:ilvl="0" w:tplc="7C8C93FE">
      <w:start w:val="53"/>
      <w:numFmt w:val="bullet"/>
      <w:lvlText w:val=""/>
      <w:lvlJc w:val="left"/>
      <w:pPr>
        <w:ind w:left="720" w:hanging="360"/>
      </w:pPr>
      <w:rPr>
        <w:rFonts w:ascii="Symbol" w:eastAsiaTheme="minorHAnsi" w:hAnsi="Symbol" w:cstheme="minorBidi" w:hint="default"/>
        <w:sz w:val="14"/>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6E6AFE"/>
    <w:multiLevelType w:val="hybridMultilevel"/>
    <w:tmpl w:val="11F8BBF0"/>
    <w:lvl w:ilvl="0" w:tplc="3580C520">
      <w:start w:val="8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757D02"/>
    <w:multiLevelType w:val="hybridMultilevel"/>
    <w:tmpl w:val="F5041C46"/>
    <w:lvl w:ilvl="0" w:tplc="9042AB6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B96C00"/>
    <w:multiLevelType w:val="hybridMultilevel"/>
    <w:tmpl w:val="A978FE48"/>
    <w:lvl w:ilvl="0" w:tplc="AD7AA96C">
      <w:start w:val="53"/>
      <w:numFmt w:val="bullet"/>
      <w:lvlText w:val=""/>
      <w:lvlJc w:val="left"/>
      <w:pPr>
        <w:ind w:left="720" w:hanging="360"/>
      </w:pPr>
      <w:rPr>
        <w:rFonts w:ascii="Symbol" w:eastAsiaTheme="minorHAnsi" w:hAnsi="Symbol" w:cstheme="minorBidi" w:hint="default"/>
        <w:sz w:val="14"/>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C35AB3"/>
    <w:multiLevelType w:val="hybridMultilevel"/>
    <w:tmpl w:val="192AB296"/>
    <w:lvl w:ilvl="0" w:tplc="CB4A5374">
      <w:numFmt w:val="bullet"/>
      <w:lvlText w:val=""/>
      <w:lvlJc w:val="left"/>
      <w:pPr>
        <w:ind w:left="720" w:hanging="360"/>
      </w:pPr>
      <w:rPr>
        <w:rFonts w:ascii="Symbol" w:eastAsiaTheme="minorHAnsi" w:hAnsi="Symbol" w:cstheme="minorBidi" w:hint="default"/>
        <w:sz w:val="14"/>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ED25B1"/>
    <w:multiLevelType w:val="multilevel"/>
    <w:tmpl w:val="74CAC66A"/>
    <w:lvl w:ilvl="0">
      <w:start w:val="1"/>
      <w:numFmt w:val="decimal"/>
      <w:lvlText w:val="%1."/>
      <w:lvlJc w:val="left"/>
      <w:pPr>
        <w:ind w:left="360" w:hanging="360"/>
      </w:pPr>
      <w:rPr>
        <w:rFonts w:hint="default"/>
        <w:sz w:val="22"/>
        <w:szCs w:val="22"/>
      </w:rPr>
    </w:lvl>
    <w:lvl w:ilvl="1">
      <w:start w:val="1"/>
      <w:numFmt w:val="decimal"/>
      <w:suff w:val="space"/>
      <w:lvlText w:val="%1.%2."/>
      <w:lvlJc w:val="left"/>
      <w:pPr>
        <w:ind w:left="858" w:hanging="432"/>
      </w:pPr>
      <w:rPr>
        <w:rFonts w:hint="default"/>
        <w:b w:val="0"/>
        <w:i w:val="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67B66F20"/>
    <w:multiLevelType w:val="multilevel"/>
    <w:tmpl w:val="2130A112"/>
    <w:lvl w:ilvl="0">
      <w:start w:val="1"/>
      <w:numFmt w:val="decimal"/>
      <w:pStyle w:val="OutlineNumbered1"/>
      <w:lvlText w:val="%1."/>
      <w:lvlJc w:val="left"/>
      <w:pPr>
        <w:tabs>
          <w:tab w:val="num" w:pos="520"/>
        </w:tabs>
        <w:ind w:left="520" w:hanging="520"/>
      </w:pPr>
      <w:rPr>
        <w:b w:val="0"/>
        <w:bCs w:val="0"/>
      </w:r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181079"/>
    <w:multiLevelType w:val="multilevel"/>
    <w:tmpl w:val="6F92BA82"/>
    <w:lvl w:ilvl="0">
      <w:start w:val="1"/>
      <w:numFmt w:val="bullet"/>
      <w:lvlText w:val="•"/>
      <w:lvlJc w:val="left"/>
      <w:pPr>
        <w:ind w:left="568" w:hanging="284"/>
      </w:pPr>
      <w:rPr>
        <w:rFonts w:ascii="Times New Roman" w:hAnsi="Times New Roman" w:cs="Times New Roman" w:hint="default"/>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Calibri" w:hAnsi="Calibri" w:hint="default"/>
      </w:rPr>
    </w:lvl>
    <w:lvl w:ilvl="3">
      <w:start w:val="1"/>
      <w:numFmt w:val="none"/>
      <w:lvlText w:val=""/>
      <w:lvlJc w:val="left"/>
      <w:pPr>
        <w:ind w:left="1420" w:hanging="284"/>
      </w:pPr>
      <w:rPr>
        <w:rFonts w:hint="default"/>
      </w:rPr>
    </w:lvl>
    <w:lvl w:ilvl="4">
      <w:start w:val="1"/>
      <w:numFmt w:val="none"/>
      <w:lvlText w:val=""/>
      <w:lvlJc w:val="left"/>
      <w:pPr>
        <w:ind w:left="1704" w:hanging="284"/>
      </w:pPr>
      <w:rPr>
        <w:rFonts w:hint="default"/>
      </w:rPr>
    </w:lvl>
    <w:lvl w:ilvl="5">
      <w:start w:val="1"/>
      <w:numFmt w:val="none"/>
      <w:lvlText w:val=""/>
      <w:lvlJc w:val="left"/>
      <w:pPr>
        <w:ind w:left="1988" w:hanging="284"/>
      </w:pPr>
      <w:rPr>
        <w:rFonts w:hint="default"/>
      </w:rPr>
    </w:lvl>
    <w:lvl w:ilvl="6">
      <w:start w:val="1"/>
      <w:numFmt w:val="none"/>
      <w:lvlText w:val=""/>
      <w:lvlJc w:val="left"/>
      <w:pPr>
        <w:ind w:left="2272" w:hanging="284"/>
      </w:pPr>
      <w:rPr>
        <w:rFonts w:hint="default"/>
      </w:rPr>
    </w:lvl>
    <w:lvl w:ilvl="7">
      <w:start w:val="1"/>
      <w:numFmt w:val="none"/>
      <w:lvlText w:val=""/>
      <w:lvlJc w:val="left"/>
      <w:pPr>
        <w:ind w:left="2556" w:hanging="284"/>
      </w:pPr>
      <w:rPr>
        <w:rFonts w:hint="default"/>
      </w:rPr>
    </w:lvl>
    <w:lvl w:ilvl="8">
      <w:start w:val="1"/>
      <w:numFmt w:val="none"/>
      <w:lvlText w:val=""/>
      <w:lvlJc w:val="left"/>
      <w:pPr>
        <w:ind w:left="2840" w:hanging="284"/>
      </w:pPr>
      <w:rPr>
        <w:rFonts w:hint="default"/>
      </w:rPr>
    </w:lvl>
  </w:abstractNum>
  <w:abstractNum w:abstractNumId="17" w15:restartNumberingAfterBreak="0">
    <w:nsid w:val="723948B5"/>
    <w:multiLevelType w:val="hybridMultilevel"/>
    <w:tmpl w:val="8BACCF74"/>
    <w:lvl w:ilvl="0" w:tplc="2F7E74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062B04"/>
    <w:multiLevelType w:val="multilevel"/>
    <w:tmpl w:val="6442BC30"/>
    <w:name w:val="StandardBulletedList"/>
    <w:lvl w:ilvl="0">
      <w:start w:val="1"/>
      <w:numFmt w:val="bullet"/>
      <w:pStyle w:val="Bullet"/>
      <w:lvlText w:val="•"/>
      <w:lvlJc w:val="left"/>
      <w:pPr>
        <w:tabs>
          <w:tab w:val="num" w:pos="1088"/>
        </w:tabs>
        <w:ind w:left="1088" w:hanging="520"/>
      </w:pPr>
      <w:rPr>
        <w:rFonts w:ascii="Times New Roman" w:hAnsi="Times New Roman" w:cs="Times New Roman"/>
      </w:rPr>
    </w:lvl>
    <w:lvl w:ilvl="1">
      <w:start w:val="1"/>
      <w:numFmt w:val="bullet"/>
      <w:pStyle w:val="Dash"/>
      <w:lvlText w:val="–"/>
      <w:lvlJc w:val="left"/>
      <w:pPr>
        <w:tabs>
          <w:tab w:val="num" w:pos="1560"/>
        </w:tabs>
        <w:ind w:left="1560" w:hanging="520"/>
      </w:pPr>
      <w:rPr>
        <w:rFonts w:ascii="Times New Roman" w:hAnsi="Times New Roman" w:cs="Times New Roman"/>
      </w:rPr>
    </w:lvl>
    <w:lvl w:ilvl="2">
      <w:start w:val="1"/>
      <w:numFmt w:val="bullet"/>
      <w:pStyle w:val="DoubleDo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19" w15:restartNumberingAfterBreak="0">
    <w:nsid w:val="7B803BAB"/>
    <w:multiLevelType w:val="hybridMultilevel"/>
    <w:tmpl w:val="7D8CE970"/>
    <w:lvl w:ilvl="0" w:tplc="A846F2FE">
      <w:start w:val="340"/>
      <w:numFmt w:val="bullet"/>
      <w:lvlText w:val=""/>
      <w:lvlJc w:val="left"/>
      <w:pPr>
        <w:ind w:left="720" w:hanging="360"/>
      </w:pPr>
      <w:rPr>
        <w:rFonts w:ascii="Symbol" w:eastAsiaTheme="minorHAns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2215990">
    <w:abstractNumId w:val="15"/>
  </w:num>
  <w:num w:numId="2" w16cid:durableId="1550074509">
    <w:abstractNumId w:val="19"/>
  </w:num>
  <w:num w:numId="3" w16cid:durableId="62610534">
    <w:abstractNumId w:val="18"/>
  </w:num>
  <w:num w:numId="4" w16cid:durableId="2035107421">
    <w:abstractNumId w:val="14"/>
  </w:num>
  <w:num w:numId="5" w16cid:durableId="1978027024">
    <w:abstractNumId w:val="9"/>
  </w:num>
  <w:num w:numId="6" w16cid:durableId="1231497551">
    <w:abstractNumId w:val="0"/>
  </w:num>
  <w:num w:numId="7" w16cid:durableId="1874732680">
    <w:abstractNumId w:val="11"/>
  </w:num>
  <w:num w:numId="8" w16cid:durableId="1628701806">
    <w:abstractNumId w:val="1"/>
  </w:num>
  <w:num w:numId="9" w16cid:durableId="1946188419">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1187476848">
    <w:abstractNumId w:val="4"/>
  </w:num>
  <w:num w:numId="11" w16cid:durableId="295333457">
    <w:abstractNumId w:val="7"/>
  </w:num>
  <w:num w:numId="12" w16cid:durableId="590240036">
    <w:abstractNumId w:val="2"/>
  </w:num>
  <w:num w:numId="13" w16cid:durableId="1403061631">
    <w:abstractNumId w:val="16"/>
  </w:num>
  <w:num w:numId="14" w16cid:durableId="221717636">
    <w:abstractNumId w:val="8"/>
  </w:num>
  <w:num w:numId="15" w16cid:durableId="431828594">
    <w:abstractNumId w:val="17"/>
  </w:num>
  <w:num w:numId="16" w16cid:durableId="197469261">
    <w:abstractNumId w:val="10"/>
  </w:num>
  <w:num w:numId="17" w16cid:durableId="470829464">
    <w:abstractNumId w:val="18"/>
  </w:num>
  <w:num w:numId="18" w16cid:durableId="421219117">
    <w:abstractNumId w:val="12"/>
  </w:num>
  <w:num w:numId="19" w16cid:durableId="1983532782">
    <w:abstractNumId w:val="5"/>
  </w:num>
  <w:num w:numId="20" w16cid:durableId="428811718">
    <w:abstractNumId w:val="13"/>
  </w:num>
  <w:num w:numId="21" w16cid:durableId="1206672240">
    <w:abstractNumId w:val="6"/>
  </w:num>
  <w:num w:numId="22" w16cid:durableId="1551334720">
    <w:abstractNumId w:val="3"/>
  </w:num>
  <w:num w:numId="23" w16cid:durableId="18606591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C2"/>
    <w:rsid w:val="000004DF"/>
    <w:rsid w:val="00003D3D"/>
    <w:rsid w:val="00003E0F"/>
    <w:rsid w:val="00006109"/>
    <w:rsid w:val="00007F30"/>
    <w:rsid w:val="000107C4"/>
    <w:rsid w:val="000126E0"/>
    <w:rsid w:val="0001329A"/>
    <w:rsid w:val="00013A0D"/>
    <w:rsid w:val="0001677C"/>
    <w:rsid w:val="00021514"/>
    <w:rsid w:val="000217AA"/>
    <w:rsid w:val="000220D2"/>
    <w:rsid w:val="000224F6"/>
    <w:rsid w:val="00023862"/>
    <w:rsid w:val="00023DCC"/>
    <w:rsid w:val="00024E27"/>
    <w:rsid w:val="00027ED2"/>
    <w:rsid w:val="00030346"/>
    <w:rsid w:val="00030436"/>
    <w:rsid w:val="000304F5"/>
    <w:rsid w:val="00031142"/>
    <w:rsid w:val="00031487"/>
    <w:rsid w:val="00031B88"/>
    <w:rsid w:val="00032BB7"/>
    <w:rsid w:val="00033635"/>
    <w:rsid w:val="0003595B"/>
    <w:rsid w:val="00036030"/>
    <w:rsid w:val="00036A68"/>
    <w:rsid w:val="00037356"/>
    <w:rsid w:val="00037429"/>
    <w:rsid w:val="000421AA"/>
    <w:rsid w:val="00042884"/>
    <w:rsid w:val="00043677"/>
    <w:rsid w:val="00043A94"/>
    <w:rsid w:val="00044E37"/>
    <w:rsid w:val="00045CF1"/>
    <w:rsid w:val="00046230"/>
    <w:rsid w:val="00047249"/>
    <w:rsid w:val="00047BBB"/>
    <w:rsid w:val="00047D8A"/>
    <w:rsid w:val="0005062B"/>
    <w:rsid w:val="000522C2"/>
    <w:rsid w:val="00052D57"/>
    <w:rsid w:val="000538DA"/>
    <w:rsid w:val="00054C92"/>
    <w:rsid w:val="00054F1C"/>
    <w:rsid w:val="00055F32"/>
    <w:rsid w:val="00057837"/>
    <w:rsid w:val="0006214A"/>
    <w:rsid w:val="00070D60"/>
    <w:rsid w:val="000716EE"/>
    <w:rsid w:val="00075EAE"/>
    <w:rsid w:val="00076439"/>
    <w:rsid w:val="00076584"/>
    <w:rsid w:val="00076FF9"/>
    <w:rsid w:val="0007706A"/>
    <w:rsid w:val="000778DE"/>
    <w:rsid w:val="00081AE7"/>
    <w:rsid w:val="00082BE0"/>
    <w:rsid w:val="00082CDC"/>
    <w:rsid w:val="00085FDD"/>
    <w:rsid w:val="000914CF"/>
    <w:rsid w:val="00091ACC"/>
    <w:rsid w:val="00091E2A"/>
    <w:rsid w:val="00091F13"/>
    <w:rsid w:val="0009278C"/>
    <w:rsid w:val="00095C28"/>
    <w:rsid w:val="00095E71"/>
    <w:rsid w:val="00097939"/>
    <w:rsid w:val="00097BAA"/>
    <w:rsid w:val="000A1B97"/>
    <w:rsid w:val="000A3E62"/>
    <w:rsid w:val="000A443E"/>
    <w:rsid w:val="000A5CCE"/>
    <w:rsid w:val="000A7BA1"/>
    <w:rsid w:val="000B313D"/>
    <w:rsid w:val="000B3A5F"/>
    <w:rsid w:val="000B5CDC"/>
    <w:rsid w:val="000B6E89"/>
    <w:rsid w:val="000B6E9D"/>
    <w:rsid w:val="000B76A6"/>
    <w:rsid w:val="000C043A"/>
    <w:rsid w:val="000C1CCB"/>
    <w:rsid w:val="000C2BA0"/>
    <w:rsid w:val="000C2C69"/>
    <w:rsid w:val="000C3A16"/>
    <w:rsid w:val="000C4CCD"/>
    <w:rsid w:val="000C52EC"/>
    <w:rsid w:val="000C5954"/>
    <w:rsid w:val="000C66DD"/>
    <w:rsid w:val="000C6B7A"/>
    <w:rsid w:val="000C6C1B"/>
    <w:rsid w:val="000C6D5C"/>
    <w:rsid w:val="000C713B"/>
    <w:rsid w:val="000D1EA0"/>
    <w:rsid w:val="000D35A6"/>
    <w:rsid w:val="000D3C02"/>
    <w:rsid w:val="000D68B0"/>
    <w:rsid w:val="000E00D1"/>
    <w:rsid w:val="000E07E0"/>
    <w:rsid w:val="000E1CAD"/>
    <w:rsid w:val="000E37C0"/>
    <w:rsid w:val="000E7049"/>
    <w:rsid w:val="000E7D10"/>
    <w:rsid w:val="000F03B5"/>
    <w:rsid w:val="000F070D"/>
    <w:rsid w:val="000F120F"/>
    <w:rsid w:val="000F179F"/>
    <w:rsid w:val="000F1A4E"/>
    <w:rsid w:val="000F1DE4"/>
    <w:rsid w:val="00105291"/>
    <w:rsid w:val="001052E7"/>
    <w:rsid w:val="00106A12"/>
    <w:rsid w:val="00111984"/>
    <w:rsid w:val="00111B30"/>
    <w:rsid w:val="001134F4"/>
    <w:rsid w:val="00115CC9"/>
    <w:rsid w:val="00117976"/>
    <w:rsid w:val="00117E12"/>
    <w:rsid w:val="001203F9"/>
    <w:rsid w:val="00122849"/>
    <w:rsid w:val="00122C9A"/>
    <w:rsid w:val="001237F9"/>
    <w:rsid w:val="00125908"/>
    <w:rsid w:val="00126462"/>
    <w:rsid w:val="00126533"/>
    <w:rsid w:val="0012725B"/>
    <w:rsid w:val="0013019C"/>
    <w:rsid w:val="001303F9"/>
    <w:rsid w:val="00130AC2"/>
    <w:rsid w:val="001319C3"/>
    <w:rsid w:val="00133097"/>
    <w:rsid w:val="001335E8"/>
    <w:rsid w:val="001339AF"/>
    <w:rsid w:val="0013449D"/>
    <w:rsid w:val="00134690"/>
    <w:rsid w:val="00136742"/>
    <w:rsid w:val="001374E8"/>
    <w:rsid w:val="0014008C"/>
    <w:rsid w:val="0014498D"/>
    <w:rsid w:val="00144BDF"/>
    <w:rsid w:val="00144F50"/>
    <w:rsid w:val="00145649"/>
    <w:rsid w:val="001462C2"/>
    <w:rsid w:val="00146AC3"/>
    <w:rsid w:val="00151613"/>
    <w:rsid w:val="00153771"/>
    <w:rsid w:val="00153E6B"/>
    <w:rsid w:val="00155F96"/>
    <w:rsid w:val="00156388"/>
    <w:rsid w:val="00156585"/>
    <w:rsid w:val="00157854"/>
    <w:rsid w:val="00157F75"/>
    <w:rsid w:val="00161C78"/>
    <w:rsid w:val="00162455"/>
    <w:rsid w:val="001631A9"/>
    <w:rsid w:val="00163CC3"/>
    <w:rsid w:val="00164055"/>
    <w:rsid w:val="00166047"/>
    <w:rsid w:val="00166101"/>
    <w:rsid w:val="001663DD"/>
    <w:rsid w:val="001677C5"/>
    <w:rsid w:val="001705AB"/>
    <w:rsid w:val="00171DE2"/>
    <w:rsid w:val="00174742"/>
    <w:rsid w:val="00177314"/>
    <w:rsid w:val="00177D4D"/>
    <w:rsid w:val="00177DA6"/>
    <w:rsid w:val="00181BF0"/>
    <w:rsid w:val="00184453"/>
    <w:rsid w:val="00184FB0"/>
    <w:rsid w:val="00187452"/>
    <w:rsid w:val="00192851"/>
    <w:rsid w:val="001929A3"/>
    <w:rsid w:val="001930EA"/>
    <w:rsid w:val="00193E7A"/>
    <w:rsid w:val="0019414E"/>
    <w:rsid w:val="0019431D"/>
    <w:rsid w:val="00194EB8"/>
    <w:rsid w:val="001A13E6"/>
    <w:rsid w:val="001A2733"/>
    <w:rsid w:val="001A3BAB"/>
    <w:rsid w:val="001A3D6B"/>
    <w:rsid w:val="001A458B"/>
    <w:rsid w:val="001A6822"/>
    <w:rsid w:val="001A6A7F"/>
    <w:rsid w:val="001A74C2"/>
    <w:rsid w:val="001A7727"/>
    <w:rsid w:val="001B222D"/>
    <w:rsid w:val="001B2350"/>
    <w:rsid w:val="001B273C"/>
    <w:rsid w:val="001B2D60"/>
    <w:rsid w:val="001B4495"/>
    <w:rsid w:val="001B4E1E"/>
    <w:rsid w:val="001B5479"/>
    <w:rsid w:val="001B6FCD"/>
    <w:rsid w:val="001B7E52"/>
    <w:rsid w:val="001C02DD"/>
    <w:rsid w:val="001C07AF"/>
    <w:rsid w:val="001C1DE0"/>
    <w:rsid w:val="001C4828"/>
    <w:rsid w:val="001C722F"/>
    <w:rsid w:val="001C7FE1"/>
    <w:rsid w:val="001D016A"/>
    <w:rsid w:val="001D11F5"/>
    <w:rsid w:val="001D18E0"/>
    <w:rsid w:val="001D21FE"/>
    <w:rsid w:val="001D2610"/>
    <w:rsid w:val="001D2BE3"/>
    <w:rsid w:val="001D463F"/>
    <w:rsid w:val="001D4BE6"/>
    <w:rsid w:val="001D58E7"/>
    <w:rsid w:val="001E25E2"/>
    <w:rsid w:val="001E4A78"/>
    <w:rsid w:val="001E4F86"/>
    <w:rsid w:val="001E60AD"/>
    <w:rsid w:val="001E6B74"/>
    <w:rsid w:val="001E78D5"/>
    <w:rsid w:val="001F10D9"/>
    <w:rsid w:val="001F1526"/>
    <w:rsid w:val="001F3145"/>
    <w:rsid w:val="001F3833"/>
    <w:rsid w:val="001F49B6"/>
    <w:rsid w:val="001F4E9E"/>
    <w:rsid w:val="001F5EBE"/>
    <w:rsid w:val="00202ABB"/>
    <w:rsid w:val="00202AFF"/>
    <w:rsid w:val="00203B3E"/>
    <w:rsid w:val="00204E52"/>
    <w:rsid w:val="002060CC"/>
    <w:rsid w:val="00206196"/>
    <w:rsid w:val="002061D1"/>
    <w:rsid w:val="002063A1"/>
    <w:rsid w:val="002071BF"/>
    <w:rsid w:val="0020761B"/>
    <w:rsid w:val="002076FC"/>
    <w:rsid w:val="00207A38"/>
    <w:rsid w:val="00207BA6"/>
    <w:rsid w:val="002109A2"/>
    <w:rsid w:val="00211596"/>
    <w:rsid w:val="002120C2"/>
    <w:rsid w:val="002122BB"/>
    <w:rsid w:val="00212CC8"/>
    <w:rsid w:val="00213CEB"/>
    <w:rsid w:val="00215331"/>
    <w:rsid w:val="00216DED"/>
    <w:rsid w:val="00221BA3"/>
    <w:rsid w:val="00222C70"/>
    <w:rsid w:val="00222E47"/>
    <w:rsid w:val="00223154"/>
    <w:rsid w:val="00223E40"/>
    <w:rsid w:val="002257A4"/>
    <w:rsid w:val="00225A16"/>
    <w:rsid w:val="00226440"/>
    <w:rsid w:val="00226FE4"/>
    <w:rsid w:val="0022797E"/>
    <w:rsid w:val="0023022E"/>
    <w:rsid w:val="00232691"/>
    <w:rsid w:val="00235AAF"/>
    <w:rsid w:val="002365AA"/>
    <w:rsid w:val="00236F64"/>
    <w:rsid w:val="002400DE"/>
    <w:rsid w:val="0024075B"/>
    <w:rsid w:val="00240791"/>
    <w:rsid w:val="00240ACB"/>
    <w:rsid w:val="00241EF3"/>
    <w:rsid w:val="00242E30"/>
    <w:rsid w:val="00242F19"/>
    <w:rsid w:val="00243174"/>
    <w:rsid w:val="00244EDA"/>
    <w:rsid w:val="00247D88"/>
    <w:rsid w:val="00251910"/>
    <w:rsid w:val="0025191C"/>
    <w:rsid w:val="00253E26"/>
    <w:rsid w:val="00256673"/>
    <w:rsid w:val="00256C17"/>
    <w:rsid w:val="00256DC5"/>
    <w:rsid w:val="00257327"/>
    <w:rsid w:val="0025746B"/>
    <w:rsid w:val="00261834"/>
    <w:rsid w:val="00261EF2"/>
    <w:rsid w:val="002677A0"/>
    <w:rsid w:val="0027183E"/>
    <w:rsid w:val="00271FAB"/>
    <w:rsid w:val="0027430C"/>
    <w:rsid w:val="002751E6"/>
    <w:rsid w:val="00276CDA"/>
    <w:rsid w:val="00276E79"/>
    <w:rsid w:val="00280DFD"/>
    <w:rsid w:val="0028130B"/>
    <w:rsid w:val="00281559"/>
    <w:rsid w:val="00282B82"/>
    <w:rsid w:val="00282E79"/>
    <w:rsid w:val="00283FD6"/>
    <w:rsid w:val="00286654"/>
    <w:rsid w:val="002873A8"/>
    <w:rsid w:val="0029001A"/>
    <w:rsid w:val="00292065"/>
    <w:rsid w:val="002925C9"/>
    <w:rsid w:val="002974BA"/>
    <w:rsid w:val="002A0056"/>
    <w:rsid w:val="002A44AC"/>
    <w:rsid w:val="002A5D27"/>
    <w:rsid w:val="002A6721"/>
    <w:rsid w:val="002A774E"/>
    <w:rsid w:val="002A7B8E"/>
    <w:rsid w:val="002B01F7"/>
    <w:rsid w:val="002B349F"/>
    <w:rsid w:val="002B5531"/>
    <w:rsid w:val="002B6264"/>
    <w:rsid w:val="002B7306"/>
    <w:rsid w:val="002C0671"/>
    <w:rsid w:val="002C11DE"/>
    <w:rsid w:val="002C1ABD"/>
    <w:rsid w:val="002C292D"/>
    <w:rsid w:val="002C2BD5"/>
    <w:rsid w:val="002C2E03"/>
    <w:rsid w:val="002C3285"/>
    <w:rsid w:val="002C3349"/>
    <w:rsid w:val="002C361A"/>
    <w:rsid w:val="002C3AA0"/>
    <w:rsid w:val="002C48BB"/>
    <w:rsid w:val="002C4EA8"/>
    <w:rsid w:val="002C71EF"/>
    <w:rsid w:val="002D0AE6"/>
    <w:rsid w:val="002D29EE"/>
    <w:rsid w:val="002D3494"/>
    <w:rsid w:val="002D36B3"/>
    <w:rsid w:val="002D511B"/>
    <w:rsid w:val="002D57D0"/>
    <w:rsid w:val="002D61D1"/>
    <w:rsid w:val="002D6E25"/>
    <w:rsid w:val="002E1950"/>
    <w:rsid w:val="002E4559"/>
    <w:rsid w:val="002E597F"/>
    <w:rsid w:val="002E5DF9"/>
    <w:rsid w:val="002E70F9"/>
    <w:rsid w:val="002E724A"/>
    <w:rsid w:val="002E7565"/>
    <w:rsid w:val="002F0BD8"/>
    <w:rsid w:val="002F1A8D"/>
    <w:rsid w:val="002F309A"/>
    <w:rsid w:val="002F5070"/>
    <w:rsid w:val="002F555A"/>
    <w:rsid w:val="002F70E6"/>
    <w:rsid w:val="003036C5"/>
    <w:rsid w:val="00305B4B"/>
    <w:rsid w:val="00305FEE"/>
    <w:rsid w:val="00307BF6"/>
    <w:rsid w:val="00307D81"/>
    <w:rsid w:val="00307D89"/>
    <w:rsid w:val="00311481"/>
    <w:rsid w:val="00313CCF"/>
    <w:rsid w:val="00314BAB"/>
    <w:rsid w:val="003159EE"/>
    <w:rsid w:val="00316E21"/>
    <w:rsid w:val="00316F07"/>
    <w:rsid w:val="003173E7"/>
    <w:rsid w:val="0031746D"/>
    <w:rsid w:val="00317A3B"/>
    <w:rsid w:val="00320B78"/>
    <w:rsid w:val="003217F5"/>
    <w:rsid w:val="003227A9"/>
    <w:rsid w:val="003242F6"/>
    <w:rsid w:val="0032493E"/>
    <w:rsid w:val="00326FAC"/>
    <w:rsid w:val="00327258"/>
    <w:rsid w:val="00330081"/>
    <w:rsid w:val="00330EFB"/>
    <w:rsid w:val="00332375"/>
    <w:rsid w:val="00333933"/>
    <w:rsid w:val="00333CDE"/>
    <w:rsid w:val="00333D18"/>
    <w:rsid w:val="00334D0D"/>
    <w:rsid w:val="003371DB"/>
    <w:rsid w:val="00337593"/>
    <w:rsid w:val="00337E69"/>
    <w:rsid w:val="0034498B"/>
    <w:rsid w:val="00345E71"/>
    <w:rsid w:val="003467CE"/>
    <w:rsid w:val="0035273B"/>
    <w:rsid w:val="003548B5"/>
    <w:rsid w:val="003548C7"/>
    <w:rsid w:val="00356893"/>
    <w:rsid w:val="00356D5B"/>
    <w:rsid w:val="003629DF"/>
    <w:rsid w:val="00365826"/>
    <w:rsid w:val="0036588E"/>
    <w:rsid w:val="003709BB"/>
    <w:rsid w:val="0037306A"/>
    <w:rsid w:val="00375645"/>
    <w:rsid w:val="0038053E"/>
    <w:rsid w:val="00380AD7"/>
    <w:rsid w:val="00381FE4"/>
    <w:rsid w:val="00384389"/>
    <w:rsid w:val="00385CBE"/>
    <w:rsid w:val="003861A1"/>
    <w:rsid w:val="003867B2"/>
    <w:rsid w:val="0039148C"/>
    <w:rsid w:val="00392F9E"/>
    <w:rsid w:val="00393E09"/>
    <w:rsid w:val="00394A8D"/>
    <w:rsid w:val="00395AAC"/>
    <w:rsid w:val="003967F6"/>
    <w:rsid w:val="00396C5E"/>
    <w:rsid w:val="00397D63"/>
    <w:rsid w:val="00397FDE"/>
    <w:rsid w:val="003A01D0"/>
    <w:rsid w:val="003A0947"/>
    <w:rsid w:val="003A37E3"/>
    <w:rsid w:val="003A3F2F"/>
    <w:rsid w:val="003A41ED"/>
    <w:rsid w:val="003A4532"/>
    <w:rsid w:val="003A58C8"/>
    <w:rsid w:val="003A6102"/>
    <w:rsid w:val="003B04E8"/>
    <w:rsid w:val="003B0876"/>
    <w:rsid w:val="003B0B5D"/>
    <w:rsid w:val="003B1D83"/>
    <w:rsid w:val="003B38B4"/>
    <w:rsid w:val="003B70F1"/>
    <w:rsid w:val="003B7786"/>
    <w:rsid w:val="003C0CE5"/>
    <w:rsid w:val="003D0BB7"/>
    <w:rsid w:val="003D15F6"/>
    <w:rsid w:val="003D2468"/>
    <w:rsid w:val="003D29EF"/>
    <w:rsid w:val="003D2A8D"/>
    <w:rsid w:val="003D2AF4"/>
    <w:rsid w:val="003D346E"/>
    <w:rsid w:val="003D4997"/>
    <w:rsid w:val="003D5ABC"/>
    <w:rsid w:val="003D6D65"/>
    <w:rsid w:val="003D7D99"/>
    <w:rsid w:val="003E207D"/>
    <w:rsid w:val="003E3453"/>
    <w:rsid w:val="003E47C3"/>
    <w:rsid w:val="003E4FBE"/>
    <w:rsid w:val="003E520B"/>
    <w:rsid w:val="003E5722"/>
    <w:rsid w:val="003E78ED"/>
    <w:rsid w:val="003F01CD"/>
    <w:rsid w:val="003F12DD"/>
    <w:rsid w:val="003F2289"/>
    <w:rsid w:val="003F329B"/>
    <w:rsid w:val="003F5D19"/>
    <w:rsid w:val="003F6BE2"/>
    <w:rsid w:val="004017A8"/>
    <w:rsid w:val="0040206D"/>
    <w:rsid w:val="004025A5"/>
    <w:rsid w:val="00402C36"/>
    <w:rsid w:val="0040661C"/>
    <w:rsid w:val="004104D3"/>
    <w:rsid w:val="0041055B"/>
    <w:rsid w:val="00411983"/>
    <w:rsid w:val="004137AA"/>
    <w:rsid w:val="0041529F"/>
    <w:rsid w:val="0041566A"/>
    <w:rsid w:val="00415E20"/>
    <w:rsid w:val="004169A9"/>
    <w:rsid w:val="004235F4"/>
    <w:rsid w:val="004242F8"/>
    <w:rsid w:val="004254B9"/>
    <w:rsid w:val="004265FB"/>
    <w:rsid w:val="00427202"/>
    <w:rsid w:val="00427B07"/>
    <w:rsid w:val="0043028F"/>
    <w:rsid w:val="00433DA7"/>
    <w:rsid w:val="00433DE9"/>
    <w:rsid w:val="00434264"/>
    <w:rsid w:val="00434FBF"/>
    <w:rsid w:val="0043609F"/>
    <w:rsid w:val="00436366"/>
    <w:rsid w:val="004364E0"/>
    <w:rsid w:val="00436BDF"/>
    <w:rsid w:val="004371E9"/>
    <w:rsid w:val="004372B9"/>
    <w:rsid w:val="00442BC9"/>
    <w:rsid w:val="00445FA8"/>
    <w:rsid w:val="004466CC"/>
    <w:rsid w:val="004468B0"/>
    <w:rsid w:val="00450363"/>
    <w:rsid w:val="00450F63"/>
    <w:rsid w:val="00453271"/>
    <w:rsid w:val="0045769D"/>
    <w:rsid w:val="00457B4F"/>
    <w:rsid w:val="004614FB"/>
    <w:rsid w:val="0046317E"/>
    <w:rsid w:val="004674CC"/>
    <w:rsid w:val="004700B5"/>
    <w:rsid w:val="004702C5"/>
    <w:rsid w:val="00470F5D"/>
    <w:rsid w:val="004725AF"/>
    <w:rsid w:val="0047454F"/>
    <w:rsid w:val="00474740"/>
    <w:rsid w:val="00475FED"/>
    <w:rsid w:val="0048294E"/>
    <w:rsid w:val="00483969"/>
    <w:rsid w:val="00484FAF"/>
    <w:rsid w:val="004855CA"/>
    <w:rsid w:val="0048583E"/>
    <w:rsid w:val="004868CA"/>
    <w:rsid w:val="004907E1"/>
    <w:rsid w:val="004910CA"/>
    <w:rsid w:val="00491710"/>
    <w:rsid w:val="004923BB"/>
    <w:rsid w:val="00494A25"/>
    <w:rsid w:val="00494DFB"/>
    <w:rsid w:val="0049637A"/>
    <w:rsid w:val="00496639"/>
    <w:rsid w:val="004A013D"/>
    <w:rsid w:val="004A1C6B"/>
    <w:rsid w:val="004A22A9"/>
    <w:rsid w:val="004A2513"/>
    <w:rsid w:val="004A2D1D"/>
    <w:rsid w:val="004A2D25"/>
    <w:rsid w:val="004A3096"/>
    <w:rsid w:val="004A347C"/>
    <w:rsid w:val="004A45FA"/>
    <w:rsid w:val="004A4704"/>
    <w:rsid w:val="004A6AC3"/>
    <w:rsid w:val="004A78E4"/>
    <w:rsid w:val="004B6D07"/>
    <w:rsid w:val="004C0999"/>
    <w:rsid w:val="004C1F32"/>
    <w:rsid w:val="004C2AA7"/>
    <w:rsid w:val="004C3AE1"/>
    <w:rsid w:val="004C422B"/>
    <w:rsid w:val="004C6B0A"/>
    <w:rsid w:val="004C7AB3"/>
    <w:rsid w:val="004D07A8"/>
    <w:rsid w:val="004D1C0D"/>
    <w:rsid w:val="004D3341"/>
    <w:rsid w:val="004D55F9"/>
    <w:rsid w:val="004E03B9"/>
    <w:rsid w:val="004E0E8B"/>
    <w:rsid w:val="004E1B52"/>
    <w:rsid w:val="004E3D6C"/>
    <w:rsid w:val="004E6B57"/>
    <w:rsid w:val="004E71D8"/>
    <w:rsid w:val="004F0398"/>
    <w:rsid w:val="004F3208"/>
    <w:rsid w:val="004F7261"/>
    <w:rsid w:val="00501E7B"/>
    <w:rsid w:val="005047EE"/>
    <w:rsid w:val="00504CEC"/>
    <w:rsid w:val="0051002F"/>
    <w:rsid w:val="00510A6D"/>
    <w:rsid w:val="0051100B"/>
    <w:rsid w:val="00512129"/>
    <w:rsid w:val="0051459D"/>
    <w:rsid w:val="00515146"/>
    <w:rsid w:val="0051589A"/>
    <w:rsid w:val="00521D1D"/>
    <w:rsid w:val="005227F6"/>
    <w:rsid w:val="00522987"/>
    <w:rsid w:val="00522F21"/>
    <w:rsid w:val="005232E3"/>
    <w:rsid w:val="0052375D"/>
    <w:rsid w:val="00523F6A"/>
    <w:rsid w:val="00524215"/>
    <w:rsid w:val="00524505"/>
    <w:rsid w:val="00524674"/>
    <w:rsid w:val="00525448"/>
    <w:rsid w:val="00525AC6"/>
    <w:rsid w:val="0052632B"/>
    <w:rsid w:val="00526912"/>
    <w:rsid w:val="00526E92"/>
    <w:rsid w:val="005279E7"/>
    <w:rsid w:val="00527A0F"/>
    <w:rsid w:val="0053031E"/>
    <w:rsid w:val="00534F76"/>
    <w:rsid w:val="00536511"/>
    <w:rsid w:val="00540171"/>
    <w:rsid w:val="0054027F"/>
    <w:rsid w:val="0054119F"/>
    <w:rsid w:val="005432AB"/>
    <w:rsid w:val="005432C1"/>
    <w:rsid w:val="00545F91"/>
    <w:rsid w:val="005467C2"/>
    <w:rsid w:val="005478F6"/>
    <w:rsid w:val="005501E1"/>
    <w:rsid w:val="005502B0"/>
    <w:rsid w:val="0055050B"/>
    <w:rsid w:val="00551448"/>
    <w:rsid w:val="0055203C"/>
    <w:rsid w:val="0055282C"/>
    <w:rsid w:val="00553E08"/>
    <w:rsid w:val="00554770"/>
    <w:rsid w:val="00555468"/>
    <w:rsid w:val="00555C72"/>
    <w:rsid w:val="00556423"/>
    <w:rsid w:val="00556D92"/>
    <w:rsid w:val="0055700C"/>
    <w:rsid w:val="00561652"/>
    <w:rsid w:val="00561C1E"/>
    <w:rsid w:val="005632CE"/>
    <w:rsid w:val="00563736"/>
    <w:rsid w:val="00563802"/>
    <w:rsid w:val="00564B8B"/>
    <w:rsid w:val="005658E6"/>
    <w:rsid w:val="005671A1"/>
    <w:rsid w:val="005674AB"/>
    <w:rsid w:val="00567A6F"/>
    <w:rsid w:val="005709B0"/>
    <w:rsid w:val="00571A96"/>
    <w:rsid w:val="0057266F"/>
    <w:rsid w:val="0057386A"/>
    <w:rsid w:val="00573B37"/>
    <w:rsid w:val="00573DCF"/>
    <w:rsid w:val="0057483B"/>
    <w:rsid w:val="00574EBB"/>
    <w:rsid w:val="00576856"/>
    <w:rsid w:val="00577384"/>
    <w:rsid w:val="005776AC"/>
    <w:rsid w:val="005805F8"/>
    <w:rsid w:val="005813AF"/>
    <w:rsid w:val="005817CD"/>
    <w:rsid w:val="0058228B"/>
    <w:rsid w:val="0058355E"/>
    <w:rsid w:val="00583B93"/>
    <w:rsid w:val="00586AC7"/>
    <w:rsid w:val="00590A82"/>
    <w:rsid w:val="005944C6"/>
    <w:rsid w:val="0059467A"/>
    <w:rsid w:val="00595766"/>
    <w:rsid w:val="00595A50"/>
    <w:rsid w:val="00595AAC"/>
    <w:rsid w:val="00596A46"/>
    <w:rsid w:val="005A1D5C"/>
    <w:rsid w:val="005A22BE"/>
    <w:rsid w:val="005A363A"/>
    <w:rsid w:val="005A3896"/>
    <w:rsid w:val="005A53D6"/>
    <w:rsid w:val="005A5ED5"/>
    <w:rsid w:val="005A6761"/>
    <w:rsid w:val="005B0536"/>
    <w:rsid w:val="005B0A1A"/>
    <w:rsid w:val="005B0B54"/>
    <w:rsid w:val="005B0B64"/>
    <w:rsid w:val="005B189C"/>
    <w:rsid w:val="005B46F3"/>
    <w:rsid w:val="005B5B7B"/>
    <w:rsid w:val="005B5B83"/>
    <w:rsid w:val="005B668B"/>
    <w:rsid w:val="005C09A8"/>
    <w:rsid w:val="005C1453"/>
    <w:rsid w:val="005C2041"/>
    <w:rsid w:val="005C3B2D"/>
    <w:rsid w:val="005C43F9"/>
    <w:rsid w:val="005C48AC"/>
    <w:rsid w:val="005C4FAE"/>
    <w:rsid w:val="005C56FF"/>
    <w:rsid w:val="005C7563"/>
    <w:rsid w:val="005C772E"/>
    <w:rsid w:val="005C7C12"/>
    <w:rsid w:val="005D114A"/>
    <w:rsid w:val="005D4DB0"/>
    <w:rsid w:val="005E181E"/>
    <w:rsid w:val="005E3677"/>
    <w:rsid w:val="005E4D82"/>
    <w:rsid w:val="005E57D6"/>
    <w:rsid w:val="005E7CA9"/>
    <w:rsid w:val="005F0222"/>
    <w:rsid w:val="005F1971"/>
    <w:rsid w:val="005F2193"/>
    <w:rsid w:val="005F3091"/>
    <w:rsid w:val="005F44B4"/>
    <w:rsid w:val="005F4C29"/>
    <w:rsid w:val="005F6728"/>
    <w:rsid w:val="005F715F"/>
    <w:rsid w:val="00600004"/>
    <w:rsid w:val="006009DD"/>
    <w:rsid w:val="00601729"/>
    <w:rsid w:val="00602AA3"/>
    <w:rsid w:val="00607DC7"/>
    <w:rsid w:val="00610822"/>
    <w:rsid w:val="00611050"/>
    <w:rsid w:val="00611CB3"/>
    <w:rsid w:val="00613E42"/>
    <w:rsid w:val="0061405D"/>
    <w:rsid w:val="006145C7"/>
    <w:rsid w:val="00614B90"/>
    <w:rsid w:val="006157B8"/>
    <w:rsid w:val="00621A4B"/>
    <w:rsid w:val="00621F18"/>
    <w:rsid w:val="00621F79"/>
    <w:rsid w:val="0062277D"/>
    <w:rsid w:val="00622CB1"/>
    <w:rsid w:val="00623383"/>
    <w:rsid w:val="00624875"/>
    <w:rsid w:val="00626978"/>
    <w:rsid w:val="00627D44"/>
    <w:rsid w:val="00630A4D"/>
    <w:rsid w:val="006320BF"/>
    <w:rsid w:val="00633C08"/>
    <w:rsid w:val="006342F0"/>
    <w:rsid w:val="006356C1"/>
    <w:rsid w:val="006358A6"/>
    <w:rsid w:val="00635E08"/>
    <w:rsid w:val="006377AB"/>
    <w:rsid w:val="006404D6"/>
    <w:rsid w:val="00641287"/>
    <w:rsid w:val="0064374F"/>
    <w:rsid w:val="0064429A"/>
    <w:rsid w:val="0064459A"/>
    <w:rsid w:val="00646FC7"/>
    <w:rsid w:val="00647BCF"/>
    <w:rsid w:val="00654DC7"/>
    <w:rsid w:val="0065571F"/>
    <w:rsid w:val="00655D29"/>
    <w:rsid w:val="00655D6D"/>
    <w:rsid w:val="00657B21"/>
    <w:rsid w:val="00657FB3"/>
    <w:rsid w:val="0066162F"/>
    <w:rsid w:val="006616CF"/>
    <w:rsid w:val="00661F4F"/>
    <w:rsid w:val="006629D8"/>
    <w:rsid w:val="00663A38"/>
    <w:rsid w:val="00666381"/>
    <w:rsid w:val="00667FE9"/>
    <w:rsid w:val="0067066C"/>
    <w:rsid w:val="0067164E"/>
    <w:rsid w:val="00671A1C"/>
    <w:rsid w:val="00672282"/>
    <w:rsid w:val="006723DD"/>
    <w:rsid w:val="00672A66"/>
    <w:rsid w:val="00672AA0"/>
    <w:rsid w:val="0067341B"/>
    <w:rsid w:val="00676FD4"/>
    <w:rsid w:val="00680CB3"/>
    <w:rsid w:val="006819AB"/>
    <w:rsid w:val="006833DF"/>
    <w:rsid w:val="00683C12"/>
    <w:rsid w:val="00685130"/>
    <w:rsid w:val="00685999"/>
    <w:rsid w:val="00687BC1"/>
    <w:rsid w:val="006901FF"/>
    <w:rsid w:val="00690903"/>
    <w:rsid w:val="00690D4B"/>
    <w:rsid w:val="006918E5"/>
    <w:rsid w:val="006932DA"/>
    <w:rsid w:val="00693D27"/>
    <w:rsid w:val="006947D2"/>
    <w:rsid w:val="00694A95"/>
    <w:rsid w:val="0069513E"/>
    <w:rsid w:val="0069593D"/>
    <w:rsid w:val="0069697F"/>
    <w:rsid w:val="006979A7"/>
    <w:rsid w:val="006A15D3"/>
    <w:rsid w:val="006A1B64"/>
    <w:rsid w:val="006A1CD0"/>
    <w:rsid w:val="006A2598"/>
    <w:rsid w:val="006A3B2A"/>
    <w:rsid w:val="006B11DF"/>
    <w:rsid w:val="006B57A8"/>
    <w:rsid w:val="006B6D53"/>
    <w:rsid w:val="006B6F43"/>
    <w:rsid w:val="006C0853"/>
    <w:rsid w:val="006C5A15"/>
    <w:rsid w:val="006C61BA"/>
    <w:rsid w:val="006D12A4"/>
    <w:rsid w:val="006D26C6"/>
    <w:rsid w:val="006D32CF"/>
    <w:rsid w:val="006D4326"/>
    <w:rsid w:val="006D4441"/>
    <w:rsid w:val="006D45E5"/>
    <w:rsid w:val="006D51C9"/>
    <w:rsid w:val="006D53D2"/>
    <w:rsid w:val="006D57AF"/>
    <w:rsid w:val="006D71A0"/>
    <w:rsid w:val="006E3AC2"/>
    <w:rsid w:val="006E7309"/>
    <w:rsid w:val="006F2568"/>
    <w:rsid w:val="006F379A"/>
    <w:rsid w:val="006F539A"/>
    <w:rsid w:val="00701ED0"/>
    <w:rsid w:val="00702144"/>
    <w:rsid w:val="00703059"/>
    <w:rsid w:val="0070539E"/>
    <w:rsid w:val="00706195"/>
    <w:rsid w:val="00707D8F"/>
    <w:rsid w:val="00710C07"/>
    <w:rsid w:val="00711D2C"/>
    <w:rsid w:val="00711D7C"/>
    <w:rsid w:val="007129FD"/>
    <w:rsid w:val="007133A9"/>
    <w:rsid w:val="007133AE"/>
    <w:rsid w:val="00713758"/>
    <w:rsid w:val="00713D97"/>
    <w:rsid w:val="007145B8"/>
    <w:rsid w:val="0071554B"/>
    <w:rsid w:val="007168CF"/>
    <w:rsid w:val="00717246"/>
    <w:rsid w:val="00717309"/>
    <w:rsid w:val="007201D7"/>
    <w:rsid w:val="007233FF"/>
    <w:rsid w:val="00724071"/>
    <w:rsid w:val="007241D7"/>
    <w:rsid w:val="007248BF"/>
    <w:rsid w:val="00725F72"/>
    <w:rsid w:val="0072624F"/>
    <w:rsid w:val="00726EE9"/>
    <w:rsid w:val="007271D7"/>
    <w:rsid w:val="00727D05"/>
    <w:rsid w:val="00732141"/>
    <w:rsid w:val="007333D2"/>
    <w:rsid w:val="007334B5"/>
    <w:rsid w:val="007359A3"/>
    <w:rsid w:val="00736D12"/>
    <w:rsid w:val="0073709D"/>
    <w:rsid w:val="00746944"/>
    <w:rsid w:val="007531F1"/>
    <w:rsid w:val="00753B95"/>
    <w:rsid w:val="00753C67"/>
    <w:rsid w:val="00754698"/>
    <w:rsid w:val="0075470C"/>
    <w:rsid w:val="007548D9"/>
    <w:rsid w:val="007553D6"/>
    <w:rsid w:val="00756666"/>
    <w:rsid w:val="007571F5"/>
    <w:rsid w:val="007577C4"/>
    <w:rsid w:val="007577FE"/>
    <w:rsid w:val="007604CA"/>
    <w:rsid w:val="00760951"/>
    <w:rsid w:val="00763B64"/>
    <w:rsid w:val="00772F9B"/>
    <w:rsid w:val="0077366F"/>
    <w:rsid w:val="00775292"/>
    <w:rsid w:val="007802E7"/>
    <w:rsid w:val="00780376"/>
    <w:rsid w:val="00780845"/>
    <w:rsid w:val="00780E50"/>
    <w:rsid w:val="00784635"/>
    <w:rsid w:val="00785489"/>
    <w:rsid w:val="007863FC"/>
    <w:rsid w:val="00787A4D"/>
    <w:rsid w:val="007905F6"/>
    <w:rsid w:val="007911D2"/>
    <w:rsid w:val="00792B39"/>
    <w:rsid w:val="00792D31"/>
    <w:rsid w:val="00793BD0"/>
    <w:rsid w:val="0079470E"/>
    <w:rsid w:val="007962C5"/>
    <w:rsid w:val="00796545"/>
    <w:rsid w:val="0079794A"/>
    <w:rsid w:val="00797951"/>
    <w:rsid w:val="007A0502"/>
    <w:rsid w:val="007A23AA"/>
    <w:rsid w:val="007A3627"/>
    <w:rsid w:val="007A3A41"/>
    <w:rsid w:val="007A4170"/>
    <w:rsid w:val="007A7287"/>
    <w:rsid w:val="007A7C8A"/>
    <w:rsid w:val="007A7DAC"/>
    <w:rsid w:val="007B2558"/>
    <w:rsid w:val="007B2AC9"/>
    <w:rsid w:val="007B2C0A"/>
    <w:rsid w:val="007B5690"/>
    <w:rsid w:val="007B7DE9"/>
    <w:rsid w:val="007C03AD"/>
    <w:rsid w:val="007C1114"/>
    <w:rsid w:val="007C1629"/>
    <w:rsid w:val="007C1D0E"/>
    <w:rsid w:val="007C2C68"/>
    <w:rsid w:val="007C2F9D"/>
    <w:rsid w:val="007C3F4B"/>
    <w:rsid w:val="007D0C12"/>
    <w:rsid w:val="007D0DE0"/>
    <w:rsid w:val="007D156A"/>
    <w:rsid w:val="007D2516"/>
    <w:rsid w:val="007D36AF"/>
    <w:rsid w:val="007D4A96"/>
    <w:rsid w:val="007D51ED"/>
    <w:rsid w:val="007E2794"/>
    <w:rsid w:val="007E2C90"/>
    <w:rsid w:val="007E39A9"/>
    <w:rsid w:val="007E4340"/>
    <w:rsid w:val="007E478B"/>
    <w:rsid w:val="007F02DE"/>
    <w:rsid w:val="007F10EA"/>
    <w:rsid w:val="007F1972"/>
    <w:rsid w:val="007F21F7"/>
    <w:rsid w:val="007F2A11"/>
    <w:rsid w:val="007F3B16"/>
    <w:rsid w:val="007F4ED2"/>
    <w:rsid w:val="007F4F1C"/>
    <w:rsid w:val="007F64A5"/>
    <w:rsid w:val="007F721B"/>
    <w:rsid w:val="007F79DA"/>
    <w:rsid w:val="007F7A29"/>
    <w:rsid w:val="007F7D87"/>
    <w:rsid w:val="00800469"/>
    <w:rsid w:val="008006F3"/>
    <w:rsid w:val="00803390"/>
    <w:rsid w:val="00803A92"/>
    <w:rsid w:val="008041AE"/>
    <w:rsid w:val="00804AC3"/>
    <w:rsid w:val="00806FB6"/>
    <w:rsid w:val="00813496"/>
    <w:rsid w:val="008162FB"/>
    <w:rsid w:val="00817A87"/>
    <w:rsid w:val="00817F2E"/>
    <w:rsid w:val="00817FB7"/>
    <w:rsid w:val="0082171A"/>
    <w:rsid w:val="0082289B"/>
    <w:rsid w:val="00822D1A"/>
    <w:rsid w:val="008239F3"/>
    <w:rsid w:val="008254C3"/>
    <w:rsid w:val="008257F8"/>
    <w:rsid w:val="00826506"/>
    <w:rsid w:val="00827034"/>
    <w:rsid w:val="00827D9A"/>
    <w:rsid w:val="0083040E"/>
    <w:rsid w:val="00831382"/>
    <w:rsid w:val="008315C1"/>
    <w:rsid w:val="008328AA"/>
    <w:rsid w:val="00834932"/>
    <w:rsid w:val="00836694"/>
    <w:rsid w:val="00837C3B"/>
    <w:rsid w:val="0084096F"/>
    <w:rsid w:val="00840F5A"/>
    <w:rsid w:val="008423A2"/>
    <w:rsid w:val="00844FE5"/>
    <w:rsid w:val="0084570A"/>
    <w:rsid w:val="00845B27"/>
    <w:rsid w:val="00846753"/>
    <w:rsid w:val="0084780C"/>
    <w:rsid w:val="00847ED2"/>
    <w:rsid w:val="008505EF"/>
    <w:rsid w:val="0085086D"/>
    <w:rsid w:val="008559EC"/>
    <w:rsid w:val="00855E0D"/>
    <w:rsid w:val="008566C2"/>
    <w:rsid w:val="0085793C"/>
    <w:rsid w:val="00857BB2"/>
    <w:rsid w:val="00860573"/>
    <w:rsid w:val="008606B4"/>
    <w:rsid w:val="008612A6"/>
    <w:rsid w:val="008621B0"/>
    <w:rsid w:val="008628F5"/>
    <w:rsid w:val="0086359C"/>
    <w:rsid w:val="00863D8F"/>
    <w:rsid w:val="008658AB"/>
    <w:rsid w:val="00865D86"/>
    <w:rsid w:val="00866033"/>
    <w:rsid w:val="008664F7"/>
    <w:rsid w:val="00866FFC"/>
    <w:rsid w:val="008763B8"/>
    <w:rsid w:val="00876F5C"/>
    <w:rsid w:val="00880629"/>
    <w:rsid w:val="008816E1"/>
    <w:rsid w:val="00881778"/>
    <w:rsid w:val="0088333C"/>
    <w:rsid w:val="008836A1"/>
    <w:rsid w:val="008911AA"/>
    <w:rsid w:val="0089146C"/>
    <w:rsid w:val="00891E29"/>
    <w:rsid w:val="00892E61"/>
    <w:rsid w:val="00893A33"/>
    <w:rsid w:val="008959C2"/>
    <w:rsid w:val="008968C1"/>
    <w:rsid w:val="00897CF9"/>
    <w:rsid w:val="008A271D"/>
    <w:rsid w:val="008A575C"/>
    <w:rsid w:val="008A69BD"/>
    <w:rsid w:val="008A7317"/>
    <w:rsid w:val="008A7459"/>
    <w:rsid w:val="008B2AB5"/>
    <w:rsid w:val="008C0AB7"/>
    <w:rsid w:val="008C3EC2"/>
    <w:rsid w:val="008C4EE7"/>
    <w:rsid w:val="008C4FE2"/>
    <w:rsid w:val="008C5C9D"/>
    <w:rsid w:val="008C6127"/>
    <w:rsid w:val="008C694C"/>
    <w:rsid w:val="008C6C57"/>
    <w:rsid w:val="008C70BB"/>
    <w:rsid w:val="008C71C7"/>
    <w:rsid w:val="008C7256"/>
    <w:rsid w:val="008C77DC"/>
    <w:rsid w:val="008D1A45"/>
    <w:rsid w:val="008D1C67"/>
    <w:rsid w:val="008D2768"/>
    <w:rsid w:val="008D2C1F"/>
    <w:rsid w:val="008D4C16"/>
    <w:rsid w:val="008D652C"/>
    <w:rsid w:val="008D682C"/>
    <w:rsid w:val="008E448F"/>
    <w:rsid w:val="008F002E"/>
    <w:rsid w:val="008F03C7"/>
    <w:rsid w:val="008F16F9"/>
    <w:rsid w:val="008F1DA0"/>
    <w:rsid w:val="008F215D"/>
    <w:rsid w:val="008F47C6"/>
    <w:rsid w:val="008F4BB2"/>
    <w:rsid w:val="008F67B5"/>
    <w:rsid w:val="008F6C83"/>
    <w:rsid w:val="008F706B"/>
    <w:rsid w:val="008F74A5"/>
    <w:rsid w:val="008F7998"/>
    <w:rsid w:val="009029E4"/>
    <w:rsid w:val="009039A9"/>
    <w:rsid w:val="00903D35"/>
    <w:rsid w:val="00904ABB"/>
    <w:rsid w:val="009074BA"/>
    <w:rsid w:val="00907DBC"/>
    <w:rsid w:val="0091463D"/>
    <w:rsid w:val="009163D9"/>
    <w:rsid w:val="00917034"/>
    <w:rsid w:val="009170C9"/>
    <w:rsid w:val="009222A2"/>
    <w:rsid w:val="00924051"/>
    <w:rsid w:val="0092511E"/>
    <w:rsid w:val="00925BF4"/>
    <w:rsid w:val="0092606D"/>
    <w:rsid w:val="0092709E"/>
    <w:rsid w:val="00932331"/>
    <w:rsid w:val="00932D61"/>
    <w:rsid w:val="009336A7"/>
    <w:rsid w:val="00933918"/>
    <w:rsid w:val="009352D5"/>
    <w:rsid w:val="00936AB3"/>
    <w:rsid w:val="00937693"/>
    <w:rsid w:val="0094026F"/>
    <w:rsid w:val="00941227"/>
    <w:rsid w:val="00941320"/>
    <w:rsid w:val="0094312B"/>
    <w:rsid w:val="00945C6D"/>
    <w:rsid w:val="00946496"/>
    <w:rsid w:val="00947B2F"/>
    <w:rsid w:val="009525FE"/>
    <w:rsid w:val="00953BC7"/>
    <w:rsid w:val="00954FA6"/>
    <w:rsid w:val="00956A2C"/>
    <w:rsid w:val="00956C2A"/>
    <w:rsid w:val="00957E76"/>
    <w:rsid w:val="009612B5"/>
    <w:rsid w:val="00962C9B"/>
    <w:rsid w:val="00963236"/>
    <w:rsid w:val="009647E9"/>
    <w:rsid w:val="00966F0A"/>
    <w:rsid w:val="009670F8"/>
    <w:rsid w:val="009671C2"/>
    <w:rsid w:val="009705CE"/>
    <w:rsid w:val="00972D0B"/>
    <w:rsid w:val="00972F6B"/>
    <w:rsid w:val="00973DA6"/>
    <w:rsid w:val="009756F4"/>
    <w:rsid w:val="009757AA"/>
    <w:rsid w:val="00976A34"/>
    <w:rsid w:val="00976AAA"/>
    <w:rsid w:val="00980126"/>
    <w:rsid w:val="00982DB2"/>
    <w:rsid w:val="00982E17"/>
    <w:rsid w:val="00984D36"/>
    <w:rsid w:val="00986427"/>
    <w:rsid w:val="009870F6"/>
    <w:rsid w:val="00987A20"/>
    <w:rsid w:val="00990CAD"/>
    <w:rsid w:val="0099197F"/>
    <w:rsid w:val="00992353"/>
    <w:rsid w:val="009931C2"/>
    <w:rsid w:val="00993FEF"/>
    <w:rsid w:val="00994429"/>
    <w:rsid w:val="009A03F2"/>
    <w:rsid w:val="009A11F4"/>
    <w:rsid w:val="009A13FA"/>
    <w:rsid w:val="009A154B"/>
    <w:rsid w:val="009A157E"/>
    <w:rsid w:val="009A1660"/>
    <w:rsid w:val="009A1B1C"/>
    <w:rsid w:val="009A1F62"/>
    <w:rsid w:val="009A22ED"/>
    <w:rsid w:val="009A3761"/>
    <w:rsid w:val="009A5E51"/>
    <w:rsid w:val="009A6B6A"/>
    <w:rsid w:val="009A7378"/>
    <w:rsid w:val="009B0293"/>
    <w:rsid w:val="009B0D7D"/>
    <w:rsid w:val="009B391E"/>
    <w:rsid w:val="009B4EE0"/>
    <w:rsid w:val="009B6CDB"/>
    <w:rsid w:val="009C022A"/>
    <w:rsid w:val="009C029C"/>
    <w:rsid w:val="009C0435"/>
    <w:rsid w:val="009C138B"/>
    <w:rsid w:val="009C20E6"/>
    <w:rsid w:val="009C2413"/>
    <w:rsid w:val="009C2BA9"/>
    <w:rsid w:val="009C4A4B"/>
    <w:rsid w:val="009C4DF4"/>
    <w:rsid w:val="009C5EDC"/>
    <w:rsid w:val="009D093A"/>
    <w:rsid w:val="009D2167"/>
    <w:rsid w:val="009D2517"/>
    <w:rsid w:val="009D2586"/>
    <w:rsid w:val="009D53BF"/>
    <w:rsid w:val="009D6509"/>
    <w:rsid w:val="009D668A"/>
    <w:rsid w:val="009D6800"/>
    <w:rsid w:val="009D72C7"/>
    <w:rsid w:val="009E4861"/>
    <w:rsid w:val="009E4BC6"/>
    <w:rsid w:val="009E53E6"/>
    <w:rsid w:val="009E6EDE"/>
    <w:rsid w:val="009F0E7C"/>
    <w:rsid w:val="009F117D"/>
    <w:rsid w:val="009F1808"/>
    <w:rsid w:val="009F1D8A"/>
    <w:rsid w:val="009F1EBB"/>
    <w:rsid w:val="009F2762"/>
    <w:rsid w:val="009F4895"/>
    <w:rsid w:val="009F4C1D"/>
    <w:rsid w:val="009F5022"/>
    <w:rsid w:val="009F5218"/>
    <w:rsid w:val="009F6563"/>
    <w:rsid w:val="009F7063"/>
    <w:rsid w:val="009F72D9"/>
    <w:rsid w:val="00A016B2"/>
    <w:rsid w:val="00A01866"/>
    <w:rsid w:val="00A0458A"/>
    <w:rsid w:val="00A04CBE"/>
    <w:rsid w:val="00A06AA2"/>
    <w:rsid w:val="00A06EE8"/>
    <w:rsid w:val="00A10094"/>
    <w:rsid w:val="00A124BB"/>
    <w:rsid w:val="00A1365A"/>
    <w:rsid w:val="00A14041"/>
    <w:rsid w:val="00A14F20"/>
    <w:rsid w:val="00A15B31"/>
    <w:rsid w:val="00A16591"/>
    <w:rsid w:val="00A1698A"/>
    <w:rsid w:val="00A20591"/>
    <w:rsid w:val="00A21CF9"/>
    <w:rsid w:val="00A21DEA"/>
    <w:rsid w:val="00A2288F"/>
    <w:rsid w:val="00A24153"/>
    <w:rsid w:val="00A245B2"/>
    <w:rsid w:val="00A26595"/>
    <w:rsid w:val="00A26BD3"/>
    <w:rsid w:val="00A276FA"/>
    <w:rsid w:val="00A27A05"/>
    <w:rsid w:val="00A31CAB"/>
    <w:rsid w:val="00A32928"/>
    <w:rsid w:val="00A32CE7"/>
    <w:rsid w:val="00A334C0"/>
    <w:rsid w:val="00A34227"/>
    <w:rsid w:val="00A3498A"/>
    <w:rsid w:val="00A34FC8"/>
    <w:rsid w:val="00A370C0"/>
    <w:rsid w:val="00A37853"/>
    <w:rsid w:val="00A400AF"/>
    <w:rsid w:val="00A4035B"/>
    <w:rsid w:val="00A41585"/>
    <w:rsid w:val="00A41892"/>
    <w:rsid w:val="00A42ED9"/>
    <w:rsid w:val="00A441EE"/>
    <w:rsid w:val="00A44887"/>
    <w:rsid w:val="00A44CE4"/>
    <w:rsid w:val="00A46521"/>
    <w:rsid w:val="00A46FA6"/>
    <w:rsid w:val="00A479C7"/>
    <w:rsid w:val="00A47BC8"/>
    <w:rsid w:val="00A5004A"/>
    <w:rsid w:val="00A5005C"/>
    <w:rsid w:val="00A50D0F"/>
    <w:rsid w:val="00A50D95"/>
    <w:rsid w:val="00A53AB3"/>
    <w:rsid w:val="00A53B8C"/>
    <w:rsid w:val="00A564FF"/>
    <w:rsid w:val="00A630EC"/>
    <w:rsid w:val="00A63E28"/>
    <w:rsid w:val="00A64500"/>
    <w:rsid w:val="00A657C5"/>
    <w:rsid w:val="00A66146"/>
    <w:rsid w:val="00A668A4"/>
    <w:rsid w:val="00A67222"/>
    <w:rsid w:val="00A67787"/>
    <w:rsid w:val="00A677C2"/>
    <w:rsid w:val="00A705D8"/>
    <w:rsid w:val="00A709B4"/>
    <w:rsid w:val="00A722B3"/>
    <w:rsid w:val="00A72545"/>
    <w:rsid w:val="00A7368E"/>
    <w:rsid w:val="00A73B93"/>
    <w:rsid w:val="00A741E5"/>
    <w:rsid w:val="00A7444C"/>
    <w:rsid w:val="00A751E3"/>
    <w:rsid w:val="00A752A0"/>
    <w:rsid w:val="00A75DDD"/>
    <w:rsid w:val="00A76834"/>
    <w:rsid w:val="00A81042"/>
    <w:rsid w:val="00A81960"/>
    <w:rsid w:val="00A81C0B"/>
    <w:rsid w:val="00A83466"/>
    <w:rsid w:val="00A84004"/>
    <w:rsid w:val="00A857EE"/>
    <w:rsid w:val="00A85EEF"/>
    <w:rsid w:val="00A87401"/>
    <w:rsid w:val="00A90B31"/>
    <w:rsid w:val="00A9192F"/>
    <w:rsid w:val="00A932D9"/>
    <w:rsid w:val="00A954F1"/>
    <w:rsid w:val="00A9551E"/>
    <w:rsid w:val="00A95E68"/>
    <w:rsid w:val="00A96565"/>
    <w:rsid w:val="00A97339"/>
    <w:rsid w:val="00A97681"/>
    <w:rsid w:val="00A97754"/>
    <w:rsid w:val="00A97B37"/>
    <w:rsid w:val="00AB0ABE"/>
    <w:rsid w:val="00AB1A93"/>
    <w:rsid w:val="00AB23FA"/>
    <w:rsid w:val="00AB288B"/>
    <w:rsid w:val="00AB3AE0"/>
    <w:rsid w:val="00AB4C45"/>
    <w:rsid w:val="00AB4EE3"/>
    <w:rsid w:val="00AB7046"/>
    <w:rsid w:val="00AB720D"/>
    <w:rsid w:val="00AC05B4"/>
    <w:rsid w:val="00AC0FB8"/>
    <w:rsid w:val="00AC13CD"/>
    <w:rsid w:val="00AC1473"/>
    <w:rsid w:val="00AC420A"/>
    <w:rsid w:val="00AC5C1C"/>
    <w:rsid w:val="00AC5C62"/>
    <w:rsid w:val="00AC6215"/>
    <w:rsid w:val="00AD1641"/>
    <w:rsid w:val="00AD2028"/>
    <w:rsid w:val="00AD2179"/>
    <w:rsid w:val="00AD234A"/>
    <w:rsid w:val="00AD261F"/>
    <w:rsid w:val="00AD2BBA"/>
    <w:rsid w:val="00AD3110"/>
    <w:rsid w:val="00AD40FF"/>
    <w:rsid w:val="00AD411A"/>
    <w:rsid w:val="00AD4CFA"/>
    <w:rsid w:val="00AD5A90"/>
    <w:rsid w:val="00AD6A99"/>
    <w:rsid w:val="00AD6C43"/>
    <w:rsid w:val="00AD714F"/>
    <w:rsid w:val="00AD74B4"/>
    <w:rsid w:val="00AD765E"/>
    <w:rsid w:val="00AD7E03"/>
    <w:rsid w:val="00AE09FB"/>
    <w:rsid w:val="00AE0B70"/>
    <w:rsid w:val="00AE2113"/>
    <w:rsid w:val="00AE212F"/>
    <w:rsid w:val="00AE297E"/>
    <w:rsid w:val="00AE3F57"/>
    <w:rsid w:val="00AE4D5B"/>
    <w:rsid w:val="00AF28C4"/>
    <w:rsid w:val="00AF2E44"/>
    <w:rsid w:val="00AF4BAF"/>
    <w:rsid w:val="00AF71A5"/>
    <w:rsid w:val="00B03302"/>
    <w:rsid w:val="00B03BA9"/>
    <w:rsid w:val="00B042B5"/>
    <w:rsid w:val="00B04337"/>
    <w:rsid w:val="00B068D7"/>
    <w:rsid w:val="00B071E0"/>
    <w:rsid w:val="00B07E3B"/>
    <w:rsid w:val="00B1241E"/>
    <w:rsid w:val="00B16D64"/>
    <w:rsid w:val="00B20D68"/>
    <w:rsid w:val="00B22E70"/>
    <w:rsid w:val="00B23CA0"/>
    <w:rsid w:val="00B27C5D"/>
    <w:rsid w:val="00B306EB"/>
    <w:rsid w:val="00B30F6D"/>
    <w:rsid w:val="00B33732"/>
    <w:rsid w:val="00B3395B"/>
    <w:rsid w:val="00B352C1"/>
    <w:rsid w:val="00B35C56"/>
    <w:rsid w:val="00B365EF"/>
    <w:rsid w:val="00B37329"/>
    <w:rsid w:val="00B4145A"/>
    <w:rsid w:val="00B41B9F"/>
    <w:rsid w:val="00B46009"/>
    <w:rsid w:val="00B46E40"/>
    <w:rsid w:val="00B471B4"/>
    <w:rsid w:val="00B54F05"/>
    <w:rsid w:val="00B54F14"/>
    <w:rsid w:val="00B5561B"/>
    <w:rsid w:val="00B56CE7"/>
    <w:rsid w:val="00B57A56"/>
    <w:rsid w:val="00B60125"/>
    <w:rsid w:val="00B60980"/>
    <w:rsid w:val="00B61466"/>
    <w:rsid w:val="00B62321"/>
    <w:rsid w:val="00B64981"/>
    <w:rsid w:val="00B64FEA"/>
    <w:rsid w:val="00B66419"/>
    <w:rsid w:val="00B66960"/>
    <w:rsid w:val="00B7063D"/>
    <w:rsid w:val="00B71454"/>
    <w:rsid w:val="00B71AC2"/>
    <w:rsid w:val="00B7405B"/>
    <w:rsid w:val="00B76016"/>
    <w:rsid w:val="00B76AFA"/>
    <w:rsid w:val="00B76D1D"/>
    <w:rsid w:val="00B77E75"/>
    <w:rsid w:val="00B81B00"/>
    <w:rsid w:val="00B834E0"/>
    <w:rsid w:val="00B836B4"/>
    <w:rsid w:val="00B8636C"/>
    <w:rsid w:val="00B8724F"/>
    <w:rsid w:val="00B87E7B"/>
    <w:rsid w:val="00B90668"/>
    <w:rsid w:val="00B90988"/>
    <w:rsid w:val="00B91939"/>
    <w:rsid w:val="00B92185"/>
    <w:rsid w:val="00B92F30"/>
    <w:rsid w:val="00B93088"/>
    <w:rsid w:val="00B941F4"/>
    <w:rsid w:val="00B948D7"/>
    <w:rsid w:val="00B9533A"/>
    <w:rsid w:val="00B966D9"/>
    <w:rsid w:val="00BA1E66"/>
    <w:rsid w:val="00BA254D"/>
    <w:rsid w:val="00BA323C"/>
    <w:rsid w:val="00BA3E33"/>
    <w:rsid w:val="00BA3E66"/>
    <w:rsid w:val="00BA4231"/>
    <w:rsid w:val="00BA60C8"/>
    <w:rsid w:val="00BA65DA"/>
    <w:rsid w:val="00BB1B59"/>
    <w:rsid w:val="00BB2659"/>
    <w:rsid w:val="00BB294C"/>
    <w:rsid w:val="00BB5C2F"/>
    <w:rsid w:val="00BB642C"/>
    <w:rsid w:val="00BB7EDA"/>
    <w:rsid w:val="00BC14A1"/>
    <w:rsid w:val="00BC576E"/>
    <w:rsid w:val="00BD04E3"/>
    <w:rsid w:val="00BD2452"/>
    <w:rsid w:val="00BD3862"/>
    <w:rsid w:val="00BD4165"/>
    <w:rsid w:val="00BE05CB"/>
    <w:rsid w:val="00BE18A9"/>
    <w:rsid w:val="00BE3B58"/>
    <w:rsid w:val="00BE459D"/>
    <w:rsid w:val="00BE5E7C"/>
    <w:rsid w:val="00BE6FA5"/>
    <w:rsid w:val="00BE706B"/>
    <w:rsid w:val="00BE7846"/>
    <w:rsid w:val="00BF029F"/>
    <w:rsid w:val="00BF0448"/>
    <w:rsid w:val="00BF1249"/>
    <w:rsid w:val="00BF2698"/>
    <w:rsid w:val="00BF26E2"/>
    <w:rsid w:val="00BF42F2"/>
    <w:rsid w:val="00BF6A3D"/>
    <w:rsid w:val="00BF7A0A"/>
    <w:rsid w:val="00C00779"/>
    <w:rsid w:val="00C01AD9"/>
    <w:rsid w:val="00C0384F"/>
    <w:rsid w:val="00C038FD"/>
    <w:rsid w:val="00C06A30"/>
    <w:rsid w:val="00C06CA8"/>
    <w:rsid w:val="00C07820"/>
    <w:rsid w:val="00C1167D"/>
    <w:rsid w:val="00C15079"/>
    <w:rsid w:val="00C15FFD"/>
    <w:rsid w:val="00C16C44"/>
    <w:rsid w:val="00C176A6"/>
    <w:rsid w:val="00C2005F"/>
    <w:rsid w:val="00C20095"/>
    <w:rsid w:val="00C2079E"/>
    <w:rsid w:val="00C20B3F"/>
    <w:rsid w:val="00C2206E"/>
    <w:rsid w:val="00C23E06"/>
    <w:rsid w:val="00C2416B"/>
    <w:rsid w:val="00C2640E"/>
    <w:rsid w:val="00C268F2"/>
    <w:rsid w:val="00C3000C"/>
    <w:rsid w:val="00C30D80"/>
    <w:rsid w:val="00C325E7"/>
    <w:rsid w:val="00C32CBA"/>
    <w:rsid w:val="00C32FB2"/>
    <w:rsid w:val="00C35DC6"/>
    <w:rsid w:val="00C37328"/>
    <w:rsid w:val="00C4145F"/>
    <w:rsid w:val="00C42029"/>
    <w:rsid w:val="00C4206D"/>
    <w:rsid w:val="00C427AB"/>
    <w:rsid w:val="00C44BF0"/>
    <w:rsid w:val="00C466AA"/>
    <w:rsid w:val="00C47CF9"/>
    <w:rsid w:val="00C47D2A"/>
    <w:rsid w:val="00C520A6"/>
    <w:rsid w:val="00C52AD8"/>
    <w:rsid w:val="00C546C2"/>
    <w:rsid w:val="00C54902"/>
    <w:rsid w:val="00C574D5"/>
    <w:rsid w:val="00C61540"/>
    <w:rsid w:val="00C62BFE"/>
    <w:rsid w:val="00C6355C"/>
    <w:rsid w:val="00C6529A"/>
    <w:rsid w:val="00C66D5C"/>
    <w:rsid w:val="00C67880"/>
    <w:rsid w:val="00C7064E"/>
    <w:rsid w:val="00C71B03"/>
    <w:rsid w:val="00C72278"/>
    <w:rsid w:val="00C73AFC"/>
    <w:rsid w:val="00C73FD1"/>
    <w:rsid w:val="00C744B3"/>
    <w:rsid w:val="00C74B5D"/>
    <w:rsid w:val="00C75022"/>
    <w:rsid w:val="00C7518D"/>
    <w:rsid w:val="00C77033"/>
    <w:rsid w:val="00C77834"/>
    <w:rsid w:val="00C77EEC"/>
    <w:rsid w:val="00C80256"/>
    <w:rsid w:val="00C8366E"/>
    <w:rsid w:val="00C8369D"/>
    <w:rsid w:val="00C8379A"/>
    <w:rsid w:val="00C84820"/>
    <w:rsid w:val="00C84DE1"/>
    <w:rsid w:val="00C85A94"/>
    <w:rsid w:val="00C91194"/>
    <w:rsid w:val="00C91705"/>
    <w:rsid w:val="00C92316"/>
    <w:rsid w:val="00C92D75"/>
    <w:rsid w:val="00C94CA0"/>
    <w:rsid w:val="00C94DF8"/>
    <w:rsid w:val="00C97545"/>
    <w:rsid w:val="00C97B33"/>
    <w:rsid w:val="00CA00A9"/>
    <w:rsid w:val="00CA0226"/>
    <w:rsid w:val="00CA1843"/>
    <w:rsid w:val="00CA3707"/>
    <w:rsid w:val="00CA3752"/>
    <w:rsid w:val="00CA377D"/>
    <w:rsid w:val="00CA581C"/>
    <w:rsid w:val="00CA69E5"/>
    <w:rsid w:val="00CA7CA2"/>
    <w:rsid w:val="00CB00C2"/>
    <w:rsid w:val="00CB0970"/>
    <w:rsid w:val="00CB1A90"/>
    <w:rsid w:val="00CB217B"/>
    <w:rsid w:val="00CB4D3F"/>
    <w:rsid w:val="00CB72B0"/>
    <w:rsid w:val="00CB7499"/>
    <w:rsid w:val="00CB7834"/>
    <w:rsid w:val="00CC04CA"/>
    <w:rsid w:val="00CC09C4"/>
    <w:rsid w:val="00CC4287"/>
    <w:rsid w:val="00CC54E2"/>
    <w:rsid w:val="00CC658C"/>
    <w:rsid w:val="00CD00BA"/>
    <w:rsid w:val="00CD0BD7"/>
    <w:rsid w:val="00CD37B4"/>
    <w:rsid w:val="00CD6EFC"/>
    <w:rsid w:val="00CD783D"/>
    <w:rsid w:val="00CE07F0"/>
    <w:rsid w:val="00CE3709"/>
    <w:rsid w:val="00CE3AEA"/>
    <w:rsid w:val="00CE42F6"/>
    <w:rsid w:val="00CE65A0"/>
    <w:rsid w:val="00CE7A6F"/>
    <w:rsid w:val="00CF0596"/>
    <w:rsid w:val="00CF072A"/>
    <w:rsid w:val="00CF0D29"/>
    <w:rsid w:val="00CF21E3"/>
    <w:rsid w:val="00CF3380"/>
    <w:rsid w:val="00CF373D"/>
    <w:rsid w:val="00CF5858"/>
    <w:rsid w:val="00CF673F"/>
    <w:rsid w:val="00D01845"/>
    <w:rsid w:val="00D03914"/>
    <w:rsid w:val="00D05497"/>
    <w:rsid w:val="00D05686"/>
    <w:rsid w:val="00D056FB"/>
    <w:rsid w:val="00D0623D"/>
    <w:rsid w:val="00D06E5D"/>
    <w:rsid w:val="00D1065D"/>
    <w:rsid w:val="00D10816"/>
    <w:rsid w:val="00D10F57"/>
    <w:rsid w:val="00D12159"/>
    <w:rsid w:val="00D134C9"/>
    <w:rsid w:val="00D14FB1"/>
    <w:rsid w:val="00D15B54"/>
    <w:rsid w:val="00D163BB"/>
    <w:rsid w:val="00D16989"/>
    <w:rsid w:val="00D1746E"/>
    <w:rsid w:val="00D20024"/>
    <w:rsid w:val="00D21FE1"/>
    <w:rsid w:val="00D27403"/>
    <w:rsid w:val="00D2796F"/>
    <w:rsid w:val="00D27DB3"/>
    <w:rsid w:val="00D30233"/>
    <w:rsid w:val="00D303D2"/>
    <w:rsid w:val="00D30553"/>
    <w:rsid w:val="00D31AC9"/>
    <w:rsid w:val="00D330AF"/>
    <w:rsid w:val="00D36DEF"/>
    <w:rsid w:val="00D37743"/>
    <w:rsid w:val="00D4235C"/>
    <w:rsid w:val="00D42FA6"/>
    <w:rsid w:val="00D4411C"/>
    <w:rsid w:val="00D442D0"/>
    <w:rsid w:val="00D44F41"/>
    <w:rsid w:val="00D45267"/>
    <w:rsid w:val="00D4567F"/>
    <w:rsid w:val="00D45DAD"/>
    <w:rsid w:val="00D463EC"/>
    <w:rsid w:val="00D51F78"/>
    <w:rsid w:val="00D53BF9"/>
    <w:rsid w:val="00D56032"/>
    <w:rsid w:val="00D5751A"/>
    <w:rsid w:val="00D655DB"/>
    <w:rsid w:val="00D675AD"/>
    <w:rsid w:val="00D701D6"/>
    <w:rsid w:val="00D72265"/>
    <w:rsid w:val="00D75464"/>
    <w:rsid w:val="00D75956"/>
    <w:rsid w:val="00D80E11"/>
    <w:rsid w:val="00D81322"/>
    <w:rsid w:val="00D81F7E"/>
    <w:rsid w:val="00D82AA0"/>
    <w:rsid w:val="00D840A3"/>
    <w:rsid w:val="00D84F71"/>
    <w:rsid w:val="00D85E98"/>
    <w:rsid w:val="00D901C5"/>
    <w:rsid w:val="00D902D2"/>
    <w:rsid w:val="00D90D19"/>
    <w:rsid w:val="00D9157B"/>
    <w:rsid w:val="00D9329E"/>
    <w:rsid w:val="00D93AEF"/>
    <w:rsid w:val="00D95833"/>
    <w:rsid w:val="00D95A0C"/>
    <w:rsid w:val="00D963F0"/>
    <w:rsid w:val="00D967EE"/>
    <w:rsid w:val="00DA0BB6"/>
    <w:rsid w:val="00DA379A"/>
    <w:rsid w:val="00DA3FF5"/>
    <w:rsid w:val="00DA4922"/>
    <w:rsid w:val="00DA5701"/>
    <w:rsid w:val="00DA5BA6"/>
    <w:rsid w:val="00DB1650"/>
    <w:rsid w:val="00DB1963"/>
    <w:rsid w:val="00DB2EEF"/>
    <w:rsid w:val="00DB40E4"/>
    <w:rsid w:val="00DB52CA"/>
    <w:rsid w:val="00DB5BC8"/>
    <w:rsid w:val="00DB5F95"/>
    <w:rsid w:val="00DB6DA0"/>
    <w:rsid w:val="00DC271E"/>
    <w:rsid w:val="00DC2FA6"/>
    <w:rsid w:val="00DC555D"/>
    <w:rsid w:val="00DD2C99"/>
    <w:rsid w:val="00DD6861"/>
    <w:rsid w:val="00DD6B7E"/>
    <w:rsid w:val="00DD7D1D"/>
    <w:rsid w:val="00DE028B"/>
    <w:rsid w:val="00DE07CE"/>
    <w:rsid w:val="00DE25F9"/>
    <w:rsid w:val="00DE462B"/>
    <w:rsid w:val="00DF3385"/>
    <w:rsid w:val="00DF59C6"/>
    <w:rsid w:val="00DF7370"/>
    <w:rsid w:val="00DF78F9"/>
    <w:rsid w:val="00E00537"/>
    <w:rsid w:val="00E022E4"/>
    <w:rsid w:val="00E03771"/>
    <w:rsid w:val="00E0491D"/>
    <w:rsid w:val="00E054D1"/>
    <w:rsid w:val="00E06A0C"/>
    <w:rsid w:val="00E11F01"/>
    <w:rsid w:val="00E12743"/>
    <w:rsid w:val="00E12F17"/>
    <w:rsid w:val="00E146B7"/>
    <w:rsid w:val="00E14FAA"/>
    <w:rsid w:val="00E15433"/>
    <w:rsid w:val="00E1639E"/>
    <w:rsid w:val="00E16A62"/>
    <w:rsid w:val="00E16D29"/>
    <w:rsid w:val="00E17A89"/>
    <w:rsid w:val="00E2041E"/>
    <w:rsid w:val="00E26240"/>
    <w:rsid w:val="00E26D3C"/>
    <w:rsid w:val="00E26DA4"/>
    <w:rsid w:val="00E30556"/>
    <w:rsid w:val="00E33103"/>
    <w:rsid w:val="00E33792"/>
    <w:rsid w:val="00E3509A"/>
    <w:rsid w:val="00E3514F"/>
    <w:rsid w:val="00E35698"/>
    <w:rsid w:val="00E37423"/>
    <w:rsid w:val="00E37C3F"/>
    <w:rsid w:val="00E44908"/>
    <w:rsid w:val="00E47B92"/>
    <w:rsid w:val="00E502ED"/>
    <w:rsid w:val="00E52F4D"/>
    <w:rsid w:val="00E5322A"/>
    <w:rsid w:val="00E55B1E"/>
    <w:rsid w:val="00E60752"/>
    <w:rsid w:val="00E62287"/>
    <w:rsid w:val="00E6255E"/>
    <w:rsid w:val="00E63457"/>
    <w:rsid w:val="00E64987"/>
    <w:rsid w:val="00E6711C"/>
    <w:rsid w:val="00E67AB1"/>
    <w:rsid w:val="00E7070D"/>
    <w:rsid w:val="00E707E4"/>
    <w:rsid w:val="00E7282A"/>
    <w:rsid w:val="00E732AB"/>
    <w:rsid w:val="00E733B7"/>
    <w:rsid w:val="00E755DD"/>
    <w:rsid w:val="00E762C1"/>
    <w:rsid w:val="00E762C6"/>
    <w:rsid w:val="00E77110"/>
    <w:rsid w:val="00E77341"/>
    <w:rsid w:val="00E77C19"/>
    <w:rsid w:val="00E8067A"/>
    <w:rsid w:val="00E80825"/>
    <w:rsid w:val="00E812F3"/>
    <w:rsid w:val="00E8410E"/>
    <w:rsid w:val="00E858AB"/>
    <w:rsid w:val="00E871D3"/>
    <w:rsid w:val="00E904CD"/>
    <w:rsid w:val="00E91BD5"/>
    <w:rsid w:val="00E91F6D"/>
    <w:rsid w:val="00E93419"/>
    <w:rsid w:val="00E937EA"/>
    <w:rsid w:val="00E94D15"/>
    <w:rsid w:val="00E957FB"/>
    <w:rsid w:val="00E958D3"/>
    <w:rsid w:val="00E96290"/>
    <w:rsid w:val="00E96F70"/>
    <w:rsid w:val="00E97BC4"/>
    <w:rsid w:val="00E97D74"/>
    <w:rsid w:val="00EA488D"/>
    <w:rsid w:val="00EA4FF4"/>
    <w:rsid w:val="00EA580F"/>
    <w:rsid w:val="00EA6772"/>
    <w:rsid w:val="00EB16A4"/>
    <w:rsid w:val="00EB40AD"/>
    <w:rsid w:val="00EB53E2"/>
    <w:rsid w:val="00EB5C38"/>
    <w:rsid w:val="00EB6D51"/>
    <w:rsid w:val="00EB73D6"/>
    <w:rsid w:val="00EC0A55"/>
    <w:rsid w:val="00EC0F61"/>
    <w:rsid w:val="00EC19E6"/>
    <w:rsid w:val="00EC2DDC"/>
    <w:rsid w:val="00EC3033"/>
    <w:rsid w:val="00EC4E6A"/>
    <w:rsid w:val="00EC6B6F"/>
    <w:rsid w:val="00EC7C02"/>
    <w:rsid w:val="00ED1433"/>
    <w:rsid w:val="00ED1DA7"/>
    <w:rsid w:val="00ED2139"/>
    <w:rsid w:val="00ED33BF"/>
    <w:rsid w:val="00ED5CB3"/>
    <w:rsid w:val="00EE000C"/>
    <w:rsid w:val="00EE0798"/>
    <w:rsid w:val="00EE0CFA"/>
    <w:rsid w:val="00EE1ECE"/>
    <w:rsid w:val="00EE2F65"/>
    <w:rsid w:val="00EE67D4"/>
    <w:rsid w:val="00EF00BF"/>
    <w:rsid w:val="00EF1678"/>
    <w:rsid w:val="00EF26E0"/>
    <w:rsid w:val="00EF3180"/>
    <w:rsid w:val="00EF4F87"/>
    <w:rsid w:val="00F007D1"/>
    <w:rsid w:val="00F01748"/>
    <w:rsid w:val="00F026D5"/>
    <w:rsid w:val="00F02943"/>
    <w:rsid w:val="00F03C3D"/>
    <w:rsid w:val="00F03E04"/>
    <w:rsid w:val="00F059DE"/>
    <w:rsid w:val="00F05D8C"/>
    <w:rsid w:val="00F06086"/>
    <w:rsid w:val="00F06B7F"/>
    <w:rsid w:val="00F07256"/>
    <w:rsid w:val="00F07C6E"/>
    <w:rsid w:val="00F110EA"/>
    <w:rsid w:val="00F12BF9"/>
    <w:rsid w:val="00F13467"/>
    <w:rsid w:val="00F1347F"/>
    <w:rsid w:val="00F13594"/>
    <w:rsid w:val="00F138AF"/>
    <w:rsid w:val="00F14824"/>
    <w:rsid w:val="00F15515"/>
    <w:rsid w:val="00F16F27"/>
    <w:rsid w:val="00F17070"/>
    <w:rsid w:val="00F17A92"/>
    <w:rsid w:val="00F23EA2"/>
    <w:rsid w:val="00F2594F"/>
    <w:rsid w:val="00F25A38"/>
    <w:rsid w:val="00F26317"/>
    <w:rsid w:val="00F313F6"/>
    <w:rsid w:val="00F3166D"/>
    <w:rsid w:val="00F336E2"/>
    <w:rsid w:val="00F3426C"/>
    <w:rsid w:val="00F349F8"/>
    <w:rsid w:val="00F36C84"/>
    <w:rsid w:val="00F3760B"/>
    <w:rsid w:val="00F4030C"/>
    <w:rsid w:val="00F41EBE"/>
    <w:rsid w:val="00F4220E"/>
    <w:rsid w:val="00F42274"/>
    <w:rsid w:val="00F42335"/>
    <w:rsid w:val="00F4336E"/>
    <w:rsid w:val="00F43860"/>
    <w:rsid w:val="00F46546"/>
    <w:rsid w:val="00F4786B"/>
    <w:rsid w:val="00F50474"/>
    <w:rsid w:val="00F51A9F"/>
    <w:rsid w:val="00F52742"/>
    <w:rsid w:val="00F542EB"/>
    <w:rsid w:val="00F54B6D"/>
    <w:rsid w:val="00F54E64"/>
    <w:rsid w:val="00F55DB9"/>
    <w:rsid w:val="00F569EB"/>
    <w:rsid w:val="00F61879"/>
    <w:rsid w:val="00F61C32"/>
    <w:rsid w:val="00F62250"/>
    <w:rsid w:val="00F62C6A"/>
    <w:rsid w:val="00F632CC"/>
    <w:rsid w:val="00F6337F"/>
    <w:rsid w:val="00F663BF"/>
    <w:rsid w:val="00F66F64"/>
    <w:rsid w:val="00F67508"/>
    <w:rsid w:val="00F67FEF"/>
    <w:rsid w:val="00F70487"/>
    <w:rsid w:val="00F71CFC"/>
    <w:rsid w:val="00F73667"/>
    <w:rsid w:val="00F753E5"/>
    <w:rsid w:val="00F7692C"/>
    <w:rsid w:val="00F77572"/>
    <w:rsid w:val="00F8021C"/>
    <w:rsid w:val="00F8096A"/>
    <w:rsid w:val="00F82CEA"/>
    <w:rsid w:val="00F84549"/>
    <w:rsid w:val="00F84C23"/>
    <w:rsid w:val="00F85969"/>
    <w:rsid w:val="00F859D6"/>
    <w:rsid w:val="00F86A13"/>
    <w:rsid w:val="00F86E4B"/>
    <w:rsid w:val="00F90991"/>
    <w:rsid w:val="00F9106B"/>
    <w:rsid w:val="00F91A7E"/>
    <w:rsid w:val="00F91F36"/>
    <w:rsid w:val="00F92AA5"/>
    <w:rsid w:val="00F93336"/>
    <w:rsid w:val="00F946A5"/>
    <w:rsid w:val="00F9501A"/>
    <w:rsid w:val="00F951EF"/>
    <w:rsid w:val="00F968ED"/>
    <w:rsid w:val="00FA1B76"/>
    <w:rsid w:val="00FA373C"/>
    <w:rsid w:val="00FA38EF"/>
    <w:rsid w:val="00FA3C0E"/>
    <w:rsid w:val="00FA5165"/>
    <w:rsid w:val="00FA5BF8"/>
    <w:rsid w:val="00FB0E70"/>
    <w:rsid w:val="00FB0EE4"/>
    <w:rsid w:val="00FB0F59"/>
    <w:rsid w:val="00FB24F6"/>
    <w:rsid w:val="00FB3696"/>
    <w:rsid w:val="00FB4825"/>
    <w:rsid w:val="00FB5410"/>
    <w:rsid w:val="00FB6183"/>
    <w:rsid w:val="00FB680F"/>
    <w:rsid w:val="00FB6F29"/>
    <w:rsid w:val="00FB7C34"/>
    <w:rsid w:val="00FB7C5D"/>
    <w:rsid w:val="00FB7CE4"/>
    <w:rsid w:val="00FC0E16"/>
    <w:rsid w:val="00FC28E1"/>
    <w:rsid w:val="00FC3155"/>
    <w:rsid w:val="00FC3E67"/>
    <w:rsid w:val="00FC53F0"/>
    <w:rsid w:val="00FC5F48"/>
    <w:rsid w:val="00FC6A9D"/>
    <w:rsid w:val="00FC6AC5"/>
    <w:rsid w:val="00FD0427"/>
    <w:rsid w:val="00FD21C9"/>
    <w:rsid w:val="00FD25DC"/>
    <w:rsid w:val="00FD33F8"/>
    <w:rsid w:val="00FD5CF4"/>
    <w:rsid w:val="00FE037B"/>
    <w:rsid w:val="00FE6251"/>
    <w:rsid w:val="00FE63A7"/>
    <w:rsid w:val="00FE78E9"/>
    <w:rsid w:val="00FF0342"/>
    <w:rsid w:val="00FF1083"/>
    <w:rsid w:val="00FF1857"/>
    <w:rsid w:val="00FF248E"/>
    <w:rsid w:val="00FF27B5"/>
    <w:rsid w:val="00FF2D74"/>
    <w:rsid w:val="071E2865"/>
    <w:rsid w:val="0A69FE12"/>
    <w:rsid w:val="109F0907"/>
    <w:rsid w:val="1724B528"/>
    <w:rsid w:val="1940F24A"/>
    <w:rsid w:val="19C3BDC5"/>
    <w:rsid w:val="1CDD5444"/>
    <w:rsid w:val="1F0160B3"/>
    <w:rsid w:val="1F6077B8"/>
    <w:rsid w:val="2630CC85"/>
    <w:rsid w:val="3A43C402"/>
    <w:rsid w:val="3A76CB2F"/>
    <w:rsid w:val="3ADBFD7F"/>
    <w:rsid w:val="3DA6BCD8"/>
    <w:rsid w:val="413216A6"/>
    <w:rsid w:val="5215690E"/>
    <w:rsid w:val="54E86879"/>
    <w:rsid w:val="554F99A9"/>
    <w:rsid w:val="5E70E31E"/>
    <w:rsid w:val="5F368525"/>
    <w:rsid w:val="68B320F3"/>
    <w:rsid w:val="699BFD47"/>
    <w:rsid w:val="709C4206"/>
    <w:rsid w:val="796017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4C104"/>
  <w15:chartTrackingRefBased/>
  <w15:docId w15:val="{911B2F1A-5680-4CBB-99E4-34F1A25E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2C2"/>
    <w:rPr>
      <w:kern w:val="0"/>
    </w:rPr>
  </w:style>
  <w:style w:type="paragraph" w:styleId="Heading1">
    <w:name w:val="heading 1"/>
    <w:basedOn w:val="Normal"/>
    <w:next w:val="Normal"/>
    <w:link w:val="Heading1Char"/>
    <w:uiPriority w:val="9"/>
    <w:qFormat/>
    <w:rsid w:val="00CA00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00A9"/>
    <w:pPr>
      <w:keepNext/>
      <w:keepLines/>
      <w:spacing w:before="240" w:after="120" w:line="240" w:lineRule="auto"/>
      <w:jc w:val="center"/>
      <w:outlineLvl w:val="1"/>
    </w:pPr>
    <w:rPr>
      <w:rFonts w:ascii="Calibri" w:eastAsiaTheme="majorEastAsia" w:hAnsi="Calibri" w:cstheme="majorBidi"/>
      <w:b/>
      <w:bCs/>
      <w:sz w:val="28"/>
      <w:szCs w:val="26"/>
    </w:rPr>
  </w:style>
  <w:style w:type="paragraph" w:styleId="Heading3">
    <w:name w:val="heading 3"/>
    <w:basedOn w:val="HeadingBase"/>
    <w:next w:val="Normal"/>
    <w:link w:val="Heading3Char"/>
    <w:qFormat/>
    <w:rsid w:val="00CA00A9"/>
    <w:pPr>
      <w:spacing w:before="320" w:after="0" w:line="276" w:lineRule="auto"/>
      <w:outlineLvl w:val="2"/>
    </w:pPr>
    <w:rPr>
      <w:b/>
      <w:bCs w:val="0"/>
      <w:color w:val="ED7D31" w:themeColor="accent2"/>
      <w:sz w:val="28"/>
      <w:szCs w:val="26"/>
    </w:rPr>
  </w:style>
  <w:style w:type="paragraph" w:styleId="Heading4">
    <w:name w:val="heading 4"/>
    <w:basedOn w:val="HeadingBase"/>
    <w:next w:val="Normal"/>
    <w:link w:val="Heading4Char"/>
    <w:qFormat/>
    <w:rsid w:val="00CA00A9"/>
    <w:pPr>
      <w:spacing w:before="280" w:after="0" w:line="276" w:lineRule="auto"/>
      <w:outlineLvl w:val="3"/>
    </w:pPr>
    <w:rPr>
      <w:rFonts w:ascii="Calibri Light" w:hAnsi="Calibri Light"/>
      <w:bCs w:val="0"/>
      <w:color w:val="ED7D31" w:themeColor="accent2"/>
      <w:sz w:val="24"/>
      <w:szCs w:val="26"/>
    </w:rPr>
  </w:style>
  <w:style w:type="paragraph" w:styleId="Heading5">
    <w:name w:val="heading 5"/>
    <w:basedOn w:val="HeadingBase"/>
    <w:next w:val="Normal"/>
    <w:link w:val="Heading5Char"/>
    <w:rsid w:val="00CA00A9"/>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CA00A9"/>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Numbered1">
    <w:name w:val="Outline Numbered 1"/>
    <w:basedOn w:val="Normal"/>
    <w:link w:val="OutlineNumbered1Char"/>
    <w:rsid w:val="001462C2"/>
    <w:pPr>
      <w:numPr>
        <w:numId w:val="1"/>
      </w:numPr>
    </w:pPr>
  </w:style>
  <w:style w:type="character" w:customStyle="1" w:styleId="OutlineNumbered1Char">
    <w:name w:val="Outline Numbered 1 Char"/>
    <w:basedOn w:val="DefaultParagraphFont"/>
    <w:link w:val="OutlineNumbered1"/>
    <w:rsid w:val="001462C2"/>
    <w:rPr>
      <w:kern w:val="0"/>
    </w:rPr>
  </w:style>
  <w:style w:type="paragraph" w:customStyle="1" w:styleId="OutlineNumbered2">
    <w:name w:val="Outline Numbered 2"/>
    <w:basedOn w:val="Normal"/>
    <w:link w:val="OutlineNumbered2Char"/>
    <w:rsid w:val="001462C2"/>
    <w:pPr>
      <w:numPr>
        <w:ilvl w:val="1"/>
        <w:numId w:val="1"/>
      </w:numPr>
    </w:pPr>
    <w:rPr>
      <w:b/>
      <w:bCs/>
    </w:rPr>
  </w:style>
  <w:style w:type="paragraph" w:customStyle="1" w:styleId="OutlineNumbered3">
    <w:name w:val="Outline Numbered 3"/>
    <w:basedOn w:val="Normal"/>
    <w:link w:val="OutlineNumbered3Char"/>
    <w:rsid w:val="001462C2"/>
    <w:pPr>
      <w:numPr>
        <w:ilvl w:val="2"/>
        <w:numId w:val="1"/>
      </w:numPr>
    </w:pPr>
    <w:rPr>
      <w:b/>
      <w:bCs/>
    </w:rPr>
  </w:style>
  <w:style w:type="character" w:customStyle="1" w:styleId="normaltextrun">
    <w:name w:val="normaltextrun"/>
    <w:basedOn w:val="DefaultParagraphFont"/>
    <w:rsid w:val="001462C2"/>
  </w:style>
  <w:style w:type="paragraph" w:customStyle="1" w:styleId="paragraph">
    <w:name w:val="paragraph"/>
    <w:basedOn w:val="Normal"/>
    <w:rsid w:val="001462C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146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2C2"/>
    <w:rPr>
      <w:kern w:val="0"/>
    </w:rPr>
  </w:style>
  <w:style w:type="paragraph" w:styleId="Footer">
    <w:name w:val="footer"/>
    <w:basedOn w:val="Normal"/>
    <w:link w:val="FooterChar"/>
    <w:uiPriority w:val="99"/>
    <w:unhideWhenUsed/>
    <w:rsid w:val="00146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2C2"/>
    <w:rPr>
      <w:kern w:val="0"/>
    </w:rPr>
  </w:style>
  <w:style w:type="table" w:styleId="TableGrid">
    <w:name w:val="Table Grid"/>
    <w:basedOn w:val="TableNormal"/>
    <w:uiPriority w:val="39"/>
    <w:rsid w:val="00484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7D87"/>
    <w:pPr>
      <w:ind w:left="720"/>
      <w:contextualSpacing/>
    </w:pPr>
  </w:style>
  <w:style w:type="character" w:styleId="Hyperlink">
    <w:name w:val="Hyperlink"/>
    <w:basedOn w:val="DefaultParagraphFont"/>
    <w:uiPriority w:val="99"/>
    <w:unhideWhenUsed/>
    <w:rsid w:val="00A722B3"/>
    <w:rPr>
      <w:color w:val="0000FF"/>
      <w:u w:val="single"/>
    </w:rPr>
  </w:style>
  <w:style w:type="character" w:customStyle="1" w:styleId="Heading1Char">
    <w:name w:val="Heading 1 Char"/>
    <w:basedOn w:val="DefaultParagraphFont"/>
    <w:link w:val="Heading1"/>
    <w:uiPriority w:val="9"/>
    <w:rsid w:val="00CA00A9"/>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rsid w:val="00CA00A9"/>
    <w:rPr>
      <w:rFonts w:ascii="Calibri" w:eastAsiaTheme="majorEastAsia" w:hAnsi="Calibri" w:cstheme="majorBidi"/>
      <w:b/>
      <w:bCs/>
      <w:kern w:val="0"/>
      <w:sz w:val="28"/>
      <w:szCs w:val="26"/>
    </w:rPr>
  </w:style>
  <w:style w:type="character" w:customStyle="1" w:styleId="Heading3Char">
    <w:name w:val="Heading 3 Char"/>
    <w:basedOn w:val="DefaultParagraphFont"/>
    <w:link w:val="Heading3"/>
    <w:rsid w:val="00CA00A9"/>
    <w:rPr>
      <w:rFonts w:ascii="Calibri" w:eastAsia="Times New Roman" w:hAnsi="Calibri" w:cs="Arial"/>
      <w:b/>
      <w:color w:val="ED7D31" w:themeColor="accent2"/>
      <w:kern w:val="32"/>
      <w:sz w:val="28"/>
      <w:szCs w:val="26"/>
      <w:lang w:eastAsia="en-AU"/>
    </w:rPr>
  </w:style>
  <w:style w:type="character" w:customStyle="1" w:styleId="Heading4Char">
    <w:name w:val="Heading 4 Char"/>
    <w:basedOn w:val="DefaultParagraphFont"/>
    <w:link w:val="Heading4"/>
    <w:rsid w:val="00CA00A9"/>
    <w:rPr>
      <w:rFonts w:ascii="Calibri Light" w:eastAsia="Times New Roman" w:hAnsi="Calibri Light" w:cs="Arial"/>
      <w:color w:val="ED7D31" w:themeColor="accent2"/>
      <w:kern w:val="32"/>
      <w:sz w:val="24"/>
      <w:szCs w:val="26"/>
      <w:lang w:eastAsia="en-AU"/>
    </w:rPr>
  </w:style>
  <w:style w:type="character" w:customStyle="1" w:styleId="Heading5Char">
    <w:name w:val="Heading 5 Char"/>
    <w:basedOn w:val="DefaultParagraphFont"/>
    <w:link w:val="Heading5"/>
    <w:rsid w:val="00CA00A9"/>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CA00A9"/>
    <w:rPr>
      <w:rFonts w:ascii="Calibri Light" w:eastAsia="Times New Roman" w:hAnsi="Calibri Light" w:cs="Arial"/>
      <w:color w:val="000000" w:themeColor="text1"/>
      <w:kern w:val="32"/>
      <w:lang w:eastAsia="en-AU"/>
    </w:rPr>
  </w:style>
  <w:style w:type="character" w:styleId="CommentReference">
    <w:name w:val="annotation reference"/>
    <w:basedOn w:val="DefaultParagraphFont"/>
    <w:uiPriority w:val="99"/>
    <w:semiHidden/>
    <w:unhideWhenUsed/>
    <w:rsid w:val="00CA00A9"/>
    <w:rPr>
      <w:sz w:val="16"/>
      <w:szCs w:val="16"/>
    </w:rPr>
  </w:style>
  <w:style w:type="paragraph" w:styleId="CommentText">
    <w:name w:val="annotation text"/>
    <w:basedOn w:val="Normal"/>
    <w:link w:val="CommentTextChar"/>
    <w:uiPriority w:val="99"/>
    <w:unhideWhenUsed/>
    <w:rsid w:val="00CA00A9"/>
    <w:pPr>
      <w:spacing w:line="240" w:lineRule="auto"/>
    </w:pPr>
    <w:rPr>
      <w:sz w:val="20"/>
      <w:szCs w:val="20"/>
    </w:rPr>
  </w:style>
  <w:style w:type="character" w:customStyle="1" w:styleId="CommentTextChar">
    <w:name w:val="Comment Text Char"/>
    <w:basedOn w:val="DefaultParagraphFont"/>
    <w:link w:val="CommentText"/>
    <w:uiPriority w:val="99"/>
    <w:rsid w:val="00CA00A9"/>
    <w:rPr>
      <w:kern w:val="0"/>
      <w:sz w:val="20"/>
      <w:szCs w:val="20"/>
    </w:rPr>
  </w:style>
  <w:style w:type="paragraph" w:styleId="CommentSubject">
    <w:name w:val="annotation subject"/>
    <w:basedOn w:val="CommentText"/>
    <w:next w:val="CommentText"/>
    <w:link w:val="CommentSubjectChar"/>
    <w:uiPriority w:val="99"/>
    <w:semiHidden/>
    <w:unhideWhenUsed/>
    <w:rsid w:val="00CA00A9"/>
    <w:rPr>
      <w:b/>
      <w:bCs/>
    </w:rPr>
  </w:style>
  <w:style w:type="character" w:customStyle="1" w:styleId="CommentSubjectChar">
    <w:name w:val="Comment Subject Char"/>
    <w:basedOn w:val="CommentTextChar"/>
    <w:link w:val="CommentSubject"/>
    <w:uiPriority w:val="99"/>
    <w:semiHidden/>
    <w:rsid w:val="00CA00A9"/>
    <w:rPr>
      <w:b/>
      <w:bCs/>
      <w:kern w:val="0"/>
      <w:sz w:val="20"/>
      <w:szCs w:val="20"/>
    </w:rPr>
  </w:style>
  <w:style w:type="character" w:customStyle="1" w:styleId="OutlineNumbered2Char">
    <w:name w:val="Outline Numbered 2 Char"/>
    <w:basedOn w:val="DefaultParagraphFont"/>
    <w:link w:val="OutlineNumbered2"/>
    <w:rsid w:val="00CA00A9"/>
    <w:rPr>
      <w:b/>
      <w:bCs/>
      <w:kern w:val="0"/>
    </w:rPr>
  </w:style>
  <w:style w:type="character" w:customStyle="1" w:styleId="OutlineNumbered3Char">
    <w:name w:val="Outline Numbered 3 Char"/>
    <w:basedOn w:val="DefaultParagraphFont"/>
    <w:link w:val="OutlineNumbered3"/>
    <w:rsid w:val="00CA00A9"/>
    <w:rPr>
      <w:b/>
      <w:bCs/>
      <w:kern w:val="0"/>
    </w:rPr>
  </w:style>
  <w:style w:type="paragraph" w:styleId="Revision">
    <w:name w:val="Revision"/>
    <w:hidden/>
    <w:uiPriority w:val="99"/>
    <w:semiHidden/>
    <w:rsid w:val="00CA00A9"/>
    <w:pPr>
      <w:spacing w:after="0" w:line="240" w:lineRule="auto"/>
    </w:pPr>
    <w:rPr>
      <w:kern w:val="0"/>
    </w:rPr>
  </w:style>
  <w:style w:type="character" w:styleId="FollowedHyperlink">
    <w:name w:val="FollowedHyperlink"/>
    <w:basedOn w:val="DefaultParagraphFont"/>
    <w:uiPriority w:val="99"/>
    <w:semiHidden/>
    <w:unhideWhenUsed/>
    <w:rsid w:val="00CA00A9"/>
    <w:rPr>
      <w:color w:val="954F72" w:themeColor="followedHyperlink"/>
      <w:u w:val="single"/>
    </w:rPr>
  </w:style>
  <w:style w:type="character" w:styleId="UnresolvedMention">
    <w:name w:val="Unresolved Mention"/>
    <w:basedOn w:val="DefaultParagraphFont"/>
    <w:uiPriority w:val="99"/>
    <w:semiHidden/>
    <w:unhideWhenUsed/>
    <w:rsid w:val="00CA00A9"/>
    <w:rPr>
      <w:color w:val="605E5C"/>
      <w:shd w:val="clear" w:color="auto" w:fill="E1DFDD"/>
    </w:rPr>
  </w:style>
  <w:style w:type="paragraph" w:customStyle="1" w:styleId="Bullet">
    <w:name w:val="Bullet"/>
    <w:basedOn w:val="Normal"/>
    <w:link w:val="BulletChar"/>
    <w:qFormat/>
    <w:rsid w:val="00CA00A9"/>
    <w:pPr>
      <w:numPr>
        <w:numId w:val="3"/>
      </w:numPr>
      <w:spacing w:after="0" w:line="240" w:lineRule="auto"/>
    </w:pPr>
  </w:style>
  <w:style w:type="character" w:customStyle="1" w:styleId="BulletChar">
    <w:name w:val="Bullet Char"/>
    <w:basedOn w:val="DefaultParagraphFont"/>
    <w:link w:val="Bullet"/>
    <w:rsid w:val="00CA00A9"/>
    <w:rPr>
      <w:kern w:val="0"/>
    </w:rPr>
  </w:style>
  <w:style w:type="paragraph" w:customStyle="1" w:styleId="Dash">
    <w:name w:val="Dash"/>
    <w:basedOn w:val="Normal"/>
    <w:link w:val="DashChar"/>
    <w:qFormat/>
    <w:rsid w:val="00CA00A9"/>
    <w:pPr>
      <w:numPr>
        <w:ilvl w:val="1"/>
        <w:numId w:val="3"/>
      </w:numPr>
      <w:spacing w:after="0" w:line="240" w:lineRule="auto"/>
    </w:pPr>
  </w:style>
  <w:style w:type="character" w:customStyle="1" w:styleId="DashChar">
    <w:name w:val="Dash Char"/>
    <w:basedOn w:val="DefaultParagraphFont"/>
    <w:link w:val="Dash"/>
    <w:rsid w:val="00CA00A9"/>
    <w:rPr>
      <w:kern w:val="0"/>
    </w:rPr>
  </w:style>
  <w:style w:type="paragraph" w:customStyle="1" w:styleId="DoubleDot">
    <w:name w:val="Double Dot"/>
    <w:basedOn w:val="Normal"/>
    <w:link w:val="DoubleDotChar"/>
    <w:qFormat/>
    <w:rsid w:val="00CA00A9"/>
    <w:pPr>
      <w:numPr>
        <w:ilvl w:val="2"/>
        <w:numId w:val="3"/>
      </w:numPr>
      <w:spacing w:after="0" w:line="240" w:lineRule="auto"/>
    </w:pPr>
  </w:style>
  <w:style w:type="character" w:customStyle="1" w:styleId="DoubleDotChar">
    <w:name w:val="Double Dot Char"/>
    <w:basedOn w:val="DefaultParagraphFont"/>
    <w:link w:val="DoubleDot"/>
    <w:rsid w:val="00CA00A9"/>
    <w:rPr>
      <w:kern w:val="0"/>
    </w:rPr>
  </w:style>
  <w:style w:type="character" w:customStyle="1" w:styleId="cf01">
    <w:name w:val="cf01"/>
    <w:basedOn w:val="DefaultParagraphFont"/>
    <w:rsid w:val="00CA00A9"/>
    <w:rPr>
      <w:rFonts w:ascii="Segoe UI" w:hAnsi="Segoe UI" w:cs="Segoe UI" w:hint="default"/>
      <w:sz w:val="26"/>
      <w:szCs w:val="26"/>
    </w:rPr>
  </w:style>
  <w:style w:type="character" w:customStyle="1" w:styleId="eop">
    <w:name w:val="eop"/>
    <w:basedOn w:val="DefaultParagraphFont"/>
    <w:rsid w:val="00CA00A9"/>
  </w:style>
  <w:style w:type="paragraph" w:customStyle="1" w:styleId="ChartGraphic">
    <w:name w:val="Chart Graphic"/>
    <w:basedOn w:val="Normal"/>
    <w:next w:val="Normal"/>
    <w:rsid w:val="00CA00A9"/>
    <w:pPr>
      <w:keepNext/>
      <w:spacing w:after="0" w:line="240" w:lineRule="auto"/>
      <w:jc w:val="center"/>
    </w:pPr>
    <w:rPr>
      <w:rFonts w:ascii="Calibri Light" w:eastAsia="Times New Roman" w:hAnsi="Calibri Light" w:cs="Times New Roman"/>
      <w:color w:val="004A7F"/>
      <w:sz w:val="20"/>
      <w:szCs w:val="20"/>
      <w:lang w:eastAsia="en-AU"/>
    </w:rPr>
  </w:style>
  <w:style w:type="paragraph" w:customStyle="1" w:styleId="AlphaParagraph">
    <w:name w:val="Alpha Paragraph"/>
    <w:basedOn w:val="Normal"/>
    <w:qFormat/>
    <w:rsid w:val="00CA00A9"/>
    <w:pPr>
      <w:numPr>
        <w:ilvl w:val="1"/>
        <w:numId w:val="11"/>
      </w:numPr>
      <w:spacing w:after="120" w:line="240" w:lineRule="auto"/>
    </w:pPr>
    <w:rPr>
      <w:rFonts w:ascii="Calibri Light" w:eastAsia="Times New Roman" w:hAnsi="Calibri Light" w:cs="Times New Roman"/>
      <w:szCs w:val="20"/>
      <w:lang w:eastAsia="en-AU"/>
    </w:rPr>
  </w:style>
  <w:style w:type="paragraph" w:customStyle="1" w:styleId="BoxHeading">
    <w:name w:val="Box Heading"/>
    <w:basedOn w:val="Normal"/>
    <w:next w:val="Normal"/>
    <w:rsid w:val="00CA00A9"/>
    <w:pPr>
      <w:keepNext/>
      <w:spacing w:before="240" w:after="120" w:line="240" w:lineRule="auto"/>
    </w:pPr>
    <w:rPr>
      <w:rFonts w:ascii="Calibri Light" w:eastAsia="Times New Roman" w:hAnsi="Calibri Light" w:cs="Times New Roman"/>
      <w:b/>
      <w:color w:val="4472C4" w:themeColor="accent1"/>
      <w:sz w:val="26"/>
      <w:szCs w:val="26"/>
      <w:lang w:eastAsia="en-AU"/>
    </w:rPr>
  </w:style>
  <w:style w:type="paragraph" w:customStyle="1" w:styleId="BoxText">
    <w:name w:val="Box Text"/>
    <w:basedOn w:val="Normal"/>
    <w:link w:val="BoxTextChar"/>
    <w:rsid w:val="00CA00A9"/>
    <w:pPr>
      <w:spacing w:before="120" w:after="120" w:line="240" w:lineRule="auto"/>
    </w:pPr>
    <w:rPr>
      <w:rFonts w:ascii="Calibri Light" w:eastAsia="Times New Roman" w:hAnsi="Calibri Light" w:cs="Times New Roman"/>
      <w:szCs w:val="20"/>
      <w:lang w:eastAsia="en-AU"/>
    </w:rPr>
  </w:style>
  <w:style w:type="paragraph" w:customStyle="1" w:styleId="ChartandTableFootnoteAlpha">
    <w:name w:val="Chart and Table Footnote Alpha"/>
    <w:rsid w:val="00CA00A9"/>
    <w:pPr>
      <w:numPr>
        <w:numId w:val="9"/>
      </w:numPr>
      <w:tabs>
        <w:tab w:val="num" w:pos="284"/>
      </w:tabs>
      <w:spacing w:after="0" w:line="240" w:lineRule="auto"/>
      <w:ind w:left="284" w:hanging="284"/>
      <w:jc w:val="both"/>
    </w:pPr>
    <w:rPr>
      <w:rFonts w:ascii="Calibri" w:eastAsia="Times New Roman" w:hAnsi="Calibri" w:cs="Times New Roman"/>
      <w:color w:val="000000"/>
      <w:kern w:val="0"/>
      <w:sz w:val="18"/>
      <w:szCs w:val="16"/>
      <w:lang w:eastAsia="en-AU"/>
    </w:rPr>
  </w:style>
  <w:style w:type="paragraph" w:customStyle="1" w:styleId="ChartMainHeading">
    <w:name w:val="Chart Main Heading"/>
    <w:basedOn w:val="TableMainHeading"/>
    <w:next w:val="ChartGraphic"/>
    <w:rsid w:val="00CA00A9"/>
    <w:pPr>
      <w:jc w:val="center"/>
    </w:pPr>
  </w:style>
  <w:style w:type="paragraph" w:customStyle="1" w:styleId="ChartorTableNote">
    <w:name w:val="Chart or Table Note"/>
    <w:next w:val="Normal"/>
    <w:rsid w:val="00CA00A9"/>
    <w:pPr>
      <w:spacing w:after="0" w:line="240" w:lineRule="auto"/>
      <w:jc w:val="both"/>
    </w:pPr>
    <w:rPr>
      <w:rFonts w:ascii="Calibri" w:eastAsia="Times New Roman" w:hAnsi="Calibri" w:cs="Times New Roman"/>
      <w:color w:val="000000"/>
      <w:kern w:val="0"/>
      <w:sz w:val="18"/>
      <w:szCs w:val="20"/>
      <w:lang w:eastAsia="en-AU"/>
    </w:rPr>
  </w:style>
  <w:style w:type="paragraph" w:customStyle="1" w:styleId="ChartSecondHeading">
    <w:name w:val="Chart Second Heading"/>
    <w:basedOn w:val="TableSecondHeading"/>
    <w:next w:val="ChartGraphic"/>
    <w:rsid w:val="00CA00A9"/>
    <w:pPr>
      <w:jc w:val="center"/>
    </w:pPr>
    <w:rPr>
      <w:b w:val="0"/>
      <w:bCs/>
    </w:rPr>
  </w:style>
  <w:style w:type="paragraph" w:customStyle="1" w:styleId="ReportDate">
    <w:name w:val="Report Date"/>
    <w:basedOn w:val="Normal"/>
    <w:link w:val="ReportDateChar"/>
    <w:rsid w:val="00CA00A9"/>
    <w:pPr>
      <w:keepNext/>
      <w:spacing w:after="360" w:line="240" w:lineRule="auto"/>
    </w:pPr>
    <w:rPr>
      <w:rFonts w:ascii="Calibri Light" w:eastAsia="Times New Roman" w:hAnsi="Calibri Light" w:cs="Times New Roman"/>
      <w:color w:val="A5A5A5" w:themeColor="accent3"/>
      <w:sz w:val="32"/>
      <w:szCs w:val="20"/>
      <w:lang w:eastAsia="en-AU"/>
    </w:rPr>
  </w:style>
  <w:style w:type="paragraph" w:customStyle="1" w:styleId="TableMainHeading">
    <w:name w:val="Table Main Heading"/>
    <w:basedOn w:val="Heading3"/>
    <w:next w:val="Normal"/>
    <w:rsid w:val="00CA00A9"/>
    <w:pPr>
      <w:spacing w:before="120"/>
    </w:pPr>
    <w:rPr>
      <w:b w:val="0"/>
      <w:sz w:val="26"/>
    </w:rPr>
  </w:style>
  <w:style w:type="paragraph" w:customStyle="1" w:styleId="FooterEven">
    <w:name w:val="Footer Even"/>
    <w:basedOn w:val="Footer"/>
    <w:rsid w:val="00CA00A9"/>
    <w:pPr>
      <w:keepNext/>
      <w:tabs>
        <w:tab w:val="clear" w:pos="4513"/>
        <w:tab w:val="clear" w:pos="9026"/>
        <w:tab w:val="right" w:pos="9072"/>
      </w:tabs>
    </w:pPr>
    <w:rPr>
      <w:rFonts w:ascii="Calibri Light" w:eastAsia="Times New Roman" w:hAnsi="Calibri Light" w:cs="Times New Roman"/>
      <w:noProof/>
      <w:color w:val="4472C4" w:themeColor="accent1"/>
      <w:sz w:val="20"/>
      <w:szCs w:val="20"/>
      <w:lang w:eastAsia="en-AU"/>
    </w:rPr>
  </w:style>
  <w:style w:type="paragraph" w:customStyle="1" w:styleId="FooterOdd">
    <w:name w:val="Footer Odd"/>
    <w:basedOn w:val="Footer"/>
    <w:rsid w:val="00CA00A9"/>
    <w:pPr>
      <w:keepNext/>
      <w:tabs>
        <w:tab w:val="clear" w:pos="4513"/>
        <w:tab w:val="clear" w:pos="9026"/>
        <w:tab w:val="right" w:pos="9072"/>
      </w:tabs>
      <w:jc w:val="right"/>
    </w:pPr>
    <w:rPr>
      <w:rFonts w:ascii="Calibri Light" w:eastAsia="Times New Roman" w:hAnsi="Calibri Light" w:cs="Times New Roman"/>
      <w:color w:val="4472C4" w:themeColor="accent1"/>
      <w:sz w:val="20"/>
      <w:szCs w:val="20"/>
      <w:lang w:eastAsia="en-AU"/>
    </w:rPr>
  </w:style>
  <w:style w:type="paragraph" w:customStyle="1" w:styleId="SingleParagraph">
    <w:name w:val="Single Paragraph"/>
    <w:basedOn w:val="Normal"/>
    <w:link w:val="SingleParagraphChar"/>
    <w:rsid w:val="00CA00A9"/>
    <w:pPr>
      <w:spacing w:after="0" w:line="240" w:lineRule="auto"/>
    </w:pPr>
    <w:rPr>
      <w:rFonts w:ascii="Calibri Light" w:eastAsia="Times New Roman" w:hAnsi="Calibri Light" w:cs="Times New Roman"/>
      <w:szCs w:val="20"/>
      <w:lang w:eastAsia="en-AU"/>
    </w:rPr>
  </w:style>
  <w:style w:type="paragraph" w:customStyle="1" w:styleId="TableSecondHeading">
    <w:name w:val="Table Second Heading"/>
    <w:basedOn w:val="Normal"/>
    <w:next w:val="Normal"/>
    <w:rsid w:val="00CA00A9"/>
    <w:pPr>
      <w:keepNext/>
      <w:spacing w:after="20" w:line="240" w:lineRule="auto"/>
    </w:pPr>
    <w:rPr>
      <w:rFonts w:ascii="Calibri Light" w:eastAsia="Times New Roman" w:hAnsi="Calibri Light" w:cs="Times New Roman"/>
      <w:b/>
      <w:color w:val="004A7F"/>
      <w:szCs w:val="20"/>
      <w:lang w:eastAsia="en-AU"/>
    </w:rPr>
  </w:style>
  <w:style w:type="paragraph" w:customStyle="1" w:styleId="TableColumnHeadingCentred">
    <w:name w:val="Table Column Heading Centred"/>
    <w:basedOn w:val="TableTextLeft"/>
    <w:rsid w:val="00CA00A9"/>
    <w:pPr>
      <w:jc w:val="center"/>
    </w:pPr>
    <w:rPr>
      <w:b/>
      <w:color w:val="4472C4" w:themeColor="accent1"/>
      <w:sz w:val="20"/>
    </w:rPr>
  </w:style>
  <w:style w:type="paragraph" w:customStyle="1" w:styleId="TableColumnHeadingLeft">
    <w:name w:val="Table Column Heading Left"/>
    <w:basedOn w:val="TableTextLeft"/>
    <w:rsid w:val="00CA00A9"/>
    <w:rPr>
      <w:b/>
      <w:color w:val="4472C4" w:themeColor="accent1"/>
      <w:sz w:val="20"/>
    </w:rPr>
  </w:style>
  <w:style w:type="paragraph" w:customStyle="1" w:styleId="TableColumnHeadingRight">
    <w:name w:val="Table Column Heading Right"/>
    <w:basedOn w:val="TableTextLeft"/>
    <w:rsid w:val="00CA00A9"/>
    <w:pPr>
      <w:jc w:val="right"/>
    </w:pPr>
    <w:rPr>
      <w:b/>
      <w:color w:val="4472C4" w:themeColor="accent1"/>
      <w:sz w:val="20"/>
    </w:rPr>
  </w:style>
  <w:style w:type="paragraph" w:customStyle="1" w:styleId="TableTextCentered">
    <w:name w:val="Table Text Centered"/>
    <w:basedOn w:val="TableTextRight"/>
    <w:rsid w:val="00CA00A9"/>
    <w:pPr>
      <w:jc w:val="center"/>
    </w:pPr>
  </w:style>
  <w:style w:type="paragraph" w:customStyle="1" w:styleId="TableTextLeft">
    <w:name w:val="Table Text Left"/>
    <w:basedOn w:val="TableTextRight"/>
    <w:rsid w:val="00CA00A9"/>
    <w:pPr>
      <w:jc w:val="left"/>
    </w:pPr>
  </w:style>
  <w:style w:type="paragraph" w:customStyle="1" w:styleId="TableTextRight">
    <w:name w:val="Table Text Right"/>
    <w:basedOn w:val="Normal"/>
    <w:rsid w:val="00CA00A9"/>
    <w:pPr>
      <w:spacing w:before="40" w:after="40" w:line="240" w:lineRule="auto"/>
      <w:jc w:val="right"/>
    </w:pPr>
    <w:rPr>
      <w:rFonts w:ascii="Calibri Light" w:eastAsia="Times New Roman" w:hAnsi="Calibri Light" w:cs="Times New Roman"/>
      <w:color w:val="000000"/>
      <w:sz w:val="18"/>
      <w:szCs w:val="20"/>
      <w:lang w:eastAsia="en-AU"/>
    </w:rPr>
  </w:style>
  <w:style w:type="paragraph" w:styleId="TOC1">
    <w:name w:val="toc 1"/>
    <w:basedOn w:val="Normal"/>
    <w:next w:val="Normal"/>
    <w:uiPriority w:val="39"/>
    <w:rsid w:val="00CA00A9"/>
    <w:pPr>
      <w:keepNext/>
      <w:tabs>
        <w:tab w:val="right" w:leader="dot" w:pos="9072"/>
      </w:tabs>
      <w:spacing w:before="180" w:after="0" w:line="240" w:lineRule="auto"/>
      <w:ind w:right="-2"/>
    </w:pPr>
    <w:rPr>
      <w:rFonts w:ascii="Calibri Light" w:eastAsia="Times New Roman" w:hAnsi="Calibri Light" w:cs="Times New Roman"/>
      <w:b/>
      <w:noProof/>
      <w:color w:val="4472C4" w:themeColor="accent1"/>
      <w:lang w:eastAsia="en-AU"/>
    </w:rPr>
  </w:style>
  <w:style w:type="paragraph" w:styleId="TOC2">
    <w:name w:val="toc 2"/>
    <w:basedOn w:val="Normal"/>
    <w:next w:val="Normal"/>
    <w:uiPriority w:val="39"/>
    <w:rsid w:val="00CA00A9"/>
    <w:pPr>
      <w:keepNext/>
      <w:tabs>
        <w:tab w:val="right" w:leader="dot" w:pos="9072"/>
      </w:tabs>
      <w:spacing w:before="40" w:after="20" w:line="240" w:lineRule="auto"/>
      <w:ind w:right="-2"/>
    </w:pPr>
    <w:rPr>
      <w:rFonts w:ascii="Calibri Light" w:eastAsia="Times New Roman" w:hAnsi="Calibri Light" w:cs="Times New Roman"/>
      <w:noProof/>
      <w:color w:val="A5A5A5" w:themeColor="accent3"/>
      <w:szCs w:val="20"/>
      <w:lang w:eastAsia="en-AU"/>
    </w:rPr>
  </w:style>
  <w:style w:type="paragraph" w:styleId="TOC3">
    <w:name w:val="toc 3"/>
    <w:basedOn w:val="Normal"/>
    <w:next w:val="Normal"/>
    <w:uiPriority w:val="39"/>
    <w:rsid w:val="00CA00A9"/>
    <w:pPr>
      <w:tabs>
        <w:tab w:val="right" w:leader="dot" w:pos="9072"/>
      </w:tabs>
      <w:spacing w:before="20" w:after="0" w:line="240" w:lineRule="auto"/>
      <w:ind w:left="284" w:right="-2"/>
    </w:pPr>
    <w:rPr>
      <w:rFonts w:ascii="Calibri Light" w:eastAsia="Times New Roman" w:hAnsi="Calibri Light" w:cs="Calibri"/>
      <w:noProof/>
      <w:szCs w:val="20"/>
      <w:lang w:eastAsia="en-AU"/>
    </w:rPr>
  </w:style>
  <w:style w:type="numbering" w:customStyle="1" w:styleId="OutlineList">
    <w:name w:val="OutlineList"/>
    <w:uiPriority w:val="99"/>
    <w:rsid w:val="00CA00A9"/>
    <w:pPr>
      <w:numPr>
        <w:numId w:val="8"/>
      </w:numPr>
    </w:pPr>
  </w:style>
  <w:style w:type="numbering" w:customStyle="1" w:styleId="BulletedList">
    <w:name w:val="Bulleted List"/>
    <w:uiPriority w:val="99"/>
    <w:rsid w:val="00CA00A9"/>
    <w:pPr>
      <w:numPr>
        <w:numId w:val="5"/>
      </w:numPr>
    </w:pPr>
  </w:style>
  <w:style w:type="numbering" w:customStyle="1" w:styleId="BoxBulletedList">
    <w:name w:val="Box Bulleted List"/>
    <w:uiPriority w:val="99"/>
    <w:rsid w:val="00CA00A9"/>
    <w:pPr>
      <w:numPr>
        <w:numId w:val="6"/>
      </w:numPr>
    </w:pPr>
  </w:style>
  <w:style w:type="numbering" w:customStyle="1" w:styleId="OneLevelList">
    <w:name w:val="OneLevelList"/>
    <w:uiPriority w:val="99"/>
    <w:rsid w:val="00CA00A9"/>
    <w:pPr>
      <w:numPr>
        <w:numId w:val="7"/>
      </w:numPr>
    </w:pPr>
  </w:style>
  <w:style w:type="numbering" w:customStyle="1" w:styleId="ChartandTableFootnoteAlphaList">
    <w:name w:val="ChartandTableFootnoteAlphaList"/>
    <w:uiPriority w:val="99"/>
    <w:rsid w:val="00CA00A9"/>
    <w:pPr>
      <w:numPr>
        <w:numId w:val="16"/>
      </w:numPr>
    </w:pPr>
  </w:style>
  <w:style w:type="paragraph" w:customStyle="1" w:styleId="Heading1Numbered">
    <w:name w:val="Heading 1 Numbered"/>
    <w:basedOn w:val="Heading1"/>
    <w:next w:val="Normal"/>
    <w:rsid w:val="00CA00A9"/>
    <w:pPr>
      <w:keepLines w:val="0"/>
      <w:numPr>
        <w:numId w:val="10"/>
      </w:numPr>
      <w:spacing w:before="600" w:after="120" w:line="460" w:lineRule="exact"/>
    </w:pPr>
    <w:rPr>
      <w:rFonts w:ascii="Calibri" w:eastAsia="Times New Roman" w:hAnsi="Calibri" w:cs="Arial"/>
      <w:b/>
      <w:color w:val="A5A5A5" w:themeColor="accent3"/>
      <w:kern w:val="32"/>
      <w:sz w:val="44"/>
      <w:szCs w:val="36"/>
      <w:lang w:eastAsia="en-AU"/>
    </w:rPr>
  </w:style>
  <w:style w:type="character" w:customStyle="1" w:styleId="SingleParagraphChar">
    <w:name w:val="Single Paragraph Char"/>
    <w:basedOn w:val="DefaultParagraphFont"/>
    <w:link w:val="SingleParagraph"/>
    <w:rsid w:val="00CA00A9"/>
    <w:rPr>
      <w:rFonts w:ascii="Calibri Light" w:eastAsia="Times New Roman" w:hAnsi="Calibri Light" w:cs="Times New Roman"/>
      <w:kern w:val="0"/>
      <w:szCs w:val="20"/>
      <w:lang w:eastAsia="en-AU"/>
    </w:rPr>
  </w:style>
  <w:style w:type="paragraph" w:customStyle="1" w:styleId="Heading2Numbered">
    <w:name w:val="Heading 2 Numbered"/>
    <w:basedOn w:val="Heading2"/>
    <w:next w:val="Normal"/>
    <w:rsid w:val="00CA00A9"/>
    <w:pPr>
      <w:keepLines w:val="0"/>
      <w:numPr>
        <w:ilvl w:val="1"/>
        <w:numId w:val="10"/>
      </w:numPr>
      <w:spacing w:before="360" w:line="460" w:lineRule="exact"/>
      <w:ind w:left="284" w:hanging="284"/>
      <w:jc w:val="left"/>
    </w:pPr>
    <w:rPr>
      <w:rFonts w:eastAsia="Times New Roman" w:cs="Arial"/>
      <w:b w:val="0"/>
      <w:bCs w:val="0"/>
      <w:iCs/>
      <w:color w:val="4472C4" w:themeColor="accent1"/>
      <w:kern w:val="32"/>
      <w:sz w:val="36"/>
      <w:szCs w:val="28"/>
      <w:lang w:eastAsia="en-AU"/>
    </w:rPr>
  </w:style>
  <w:style w:type="paragraph" w:customStyle="1" w:styleId="Heading3Numbered">
    <w:name w:val="Heading 3 Numbered"/>
    <w:basedOn w:val="Heading3"/>
    <w:rsid w:val="00CA00A9"/>
    <w:pPr>
      <w:numPr>
        <w:ilvl w:val="2"/>
        <w:numId w:val="10"/>
      </w:numPr>
      <w:ind w:left="284" w:hanging="284"/>
    </w:pPr>
  </w:style>
  <w:style w:type="paragraph" w:styleId="Title">
    <w:name w:val="Title"/>
    <w:basedOn w:val="Normal"/>
    <w:next w:val="Normal"/>
    <w:link w:val="TitleChar"/>
    <w:uiPriority w:val="10"/>
    <w:rsid w:val="00CA00A9"/>
    <w:pPr>
      <w:spacing w:after="300" w:line="240" w:lineRule="auto"/>
      <w:contextualSpacing/>
    </w:pPr>
    <w:rPr>
      <w:rFonts w:ascii="Calibri Light" w:eastAsiaTheme="majorEastAsia" w:hAnsi="Calibri Light" w:cstheme="majorBidi"/>
      <w:b/>
      <w:color w:val="4472C4" w:themeColor="accent1"/>
      <w:spacing w:val="5"/>
      <w:kern w:val="28"/>
      <w:sz w:val="72"/>
      <w:szCs w:val="52"/>
      <w:lang w:eastAsia="en-AU"/>
    </w:rPr>
  </w:style>
  <w:style w:type="character" w:customStyle="1" w:styleId="TitleChar">
    <w:name w:val="Title Char"/>
    <w:basedOn w:val="DefaultParagraphFont"/>
    <w:link w:val="Title"/>
    <w:uiPriority w:val="10"/>
    <w:rsid w:val="00CA00A9"/>
    <w:rPr>
      <w:rFonts w:ascii="Calibri Light" w:eastAsiaTheme="majorEastAsia" w:hAnsi="Calibri Light" w:cstheme="majorBidi"/>
      <w:b/>
      <w:color w:val="4472C4" w:themeColor="accent1"/>
      <w:spacing w:val="5"/>
      <w:kern w:val="28"/>
      <w:sz w:val="72"/>
      <w:szCs w:val="52"/>
      <w:lang w:eastAsia="en-AU"/>
    </w:rPr>
  </w:style>
  <w:style w:type="paragraph" w:styleId="Subtitle">
    <w:name w:val="Subtitle"/>
    <w:basedOn w:val="Normal"/>
    <w:next w:val="Normal"/>
    <w:link w:val="SubtitleChar"/>
    <w:uiPriority w:val="11"/>
    <w:rsid w:val="00CA00A9"/>
    <w:pPr>
      <w:numPr>
        <w:ilvl w:val="1"/>
      </w:numPr>
      <w:spacing w:before="120" w:after="120" w:line="240" w:lineRule="auto"/>
    </w:pPr>
    <w:rPr>
      <w:rFonts w:ascii="Calibri Light" w:eastAsiaTheme="majorEastAsia" w:hAnsi="Calibri Light" w:cstheme="majorBidi"/>
      <w:iCs/>
      <w:color w:val="EEEEEE"/>
      <w:sz w:val="44"/>
      <w:szCs w:val="44"/>
      <w:lang w:eastAsia="en-AU"/>
    </w:rPr>
  </w:style>
  <w:style w:type="character" w:customStyle="1" w:styleId="SubtitleChar">
    <w:name w:val="Subtitle Char"/>
    <w:basedOn w:val="DefaultParagraphFont"/>
    <w:link w:val="Subtitle"/>
    <w:uiPriority w:val="11"/>
    <w:rsid w:val="00CA00A9"/>
    <w:rPr>
      <w:rFonts w:ascii="Calibri Light" w:eastAsiaTheme="majorEastAsia" w:hAnsi="Calibri Light" w:cstheme="majorBidi"/>
      <w:iCs/>
      <w:color w:val="EEEEEE"/>
      <w:kern w:val="0"/>
      <w:sz w:val="44"/>
      <w:szCs w:val="44"/>
      <w:lang w:eastAsia="en-AU"/>
    </w:rPr>
  </w:style>
  <w:style w:type="character" w:styleId="SubtleEmphasis">
    <w:name w:val="Subtle Emphasis"/>
    <w:basedOn w:val="DefaultParagraphFont"/>
    <w:uiPriority w:val="19"/>
    <w:rsid w:val="00CA00A9"/>
    <w:rPr>
      <w:i/>
      <w:iCs/>
      <w:color w:val="808080" w:themeColor="text1" w:themeTint="7F"/>
    </w:rPr>
  </w:style>
  <w:style w:type="character" w:styleId="PlaceholderText">
    <w:name w:val="Placeholder Text"/>
    <w:basedOn w:val="DefaultParagraphFont"/>
    <w:uiPriority w:val="99"/>
    <w:semiHidden/>
    <w:rsid w:val="00CA00A9"/>
    <w:rPr>
      <w:color w:val="808080"/>
    </w:rPr>
  </w:style>
  <w:style w:type="paragraph" w:customStyle="1" w:styleId="AppendixHeading">
    <w:name w:val="Appendix Heading"/>
    <w:basedOn w:val="Heading1"/>
    <w:next w:val="Normal"/>
    <w:rsid w:val="00CA00A9"/>
    <w:pPr>
      <w:keepLines w:val="0"/>
      <w:spacing w:before="600" w:after="120" w:line="460" w:lineRule="exact"/>
    </w:pPr>
    <w:rPr>
      <w:rFonts w:ascii="Calibri" w:eastAsia="Times New Roman" w:hAnsi="Calibri" w:cs="Arial"/>
      <w:b/>
      <w:color w:val="A5A5A5" w:themeColor="accent3"/>
      <w:kern w:val="32"/>
      <w:sz w:val="44"/>
      <w:szCs w:val="36"/>
      <w:lang w:eastAsia="en-AU"/>
    </w:rPr>
  </w:style>
  <w:style w:type="paragraph" w:customStyle="1" w:styleId="HeadingBase">
    <w:name w:val="Heading Base"/>
    <w:rsid w:val="00CA00A9"/>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CA00A9"/>
    <w:rPr>
      <w:rFonts w:ascii="Calibri Light" w:eastAsia="Times New Roman" w:hAnsi="Calibri Light" w:cs="Times New Roman"/>
      <w:color w:val="A5A5A5" w:themeColor="accent3"/>
      <w:kern w:val="0"/>
      <w:sz w:val="32"/>
      <w:szCs w:val="20"/>
      <w:lang w:eastAsia="en-AU"/>
    </w:rPr>
  </w:style>
  <w:style w:type="paragraph" w:customStyle="1" w:styleId="NotesHeading">
    <w:name w:val="Notes Heading"/>
    <w:basedOn w:val="Normal"/>
    <w:rsid w:val="00CA00A9"/>
    <w:pPr>
      <w:keepNext/>
      <w:spacing w:before="240" w:after="360" w:line="240" w:lineRule="auto"/>
      <w:jc w:val="center"/>
    </w:pPr>
    <w:rPr>
      <w:rFonts w:ascii="Century Gothic" w:eastAsia="Times New Roman" w:hAnsi="Century Gothic" w:cs="Times New Roman"/>
      <w:smallCaps/>
      <w:color w:val="44546A" w:themeColor="text2"/>
      <w:sz w:val="36"/>
      <w:szCs w:val="36"/>
      <w:lang w:eastAsia="en-AU"/>
    </w:rPr>
  </w:style>
  <w:style w:type="paragraph" w:customStyle="1" w:styleId="TableTextIndented">
    <w:name w:val="Table Text Indented"/>
    <w:basedOn w:val="TableTextLeft"/>
    <w:rsid w:val="00CA00A9"/>
    <w:pPr>
      <w:ind w:left="284"/>
    </w:pPr>
  </w:style>
  <w:style w:type="paragraph" w:customStyle="1" w:styleId="TableHeadingContinued">
    <w:name w:val="Table Heading Continued"/>
    <w:basedOn w:val="TableMainHeading"/>
    <w:next w:val="TableGraphic"/>
    <w:rsid w:val="00CA00A9"/>
  </w:style>
  <w:style w:type="paragraph" w:customStyle="1" w:styleId="TableGraphic">
    <w:name w:val="Table Graphic"/>
    <w:basedOn w:val="HeadingBase"/>
    <w:next w:val="Normal"/>
    <w:rsid w:val="00CA00A9"/>
    <w:pPr>
      <w:spacing w:after="0"/>
    </w:pPr>
  </w:style>
  <w:style w:type="paragraph" w:customStyle="1" w:styleId="HeaderEven">
    <w:name w:val="Header Even"/>
    <w:basedOn w:val="Header"/>
    <w:qFormat/>
    <w:rsid w:val="00CA00A9"/>
    <w:pPr>
      <w:keepNext/>
      <w:tabs>
        <w:tab w:val="clear" w:pos="4513"/>
        <w:tab w:val="clear" w:pos="9026"/>
      </w:tabs>
    </w:pPr>
    <w:rPr>
      <w:rFonts w:ascii="Calibri Light" w:eastAsia="Times New Roman" w:hAnsi="Calibri Light" w:cs="Times New Roman"/>
      <w:color w:val="002C47"/>
      <w:sz w:val="20"/>
      <w:szCs w:val="20"/>
      <w:lang w:eastAsia="en-AU"/>
    </w:rPr>
  </w:style>
  <w:style w:type="paragraph" w:customStyle="1" w:styleId="HeaderOdd">
    <w:name w:val="Header Odd"/>
    <w:basedOn w:val="Header"/>
    <w:qFormat/>
    <w:rsid w:val="00CA00A9"/>
    <w:pPr>
      <w:keepNext/>
      <w:tabs>
        <w:tab w:val="clear" w:pos="4513"/>
        <w:tab w:val="clear" w:pos="9026"/>
      </w:tabs>
      <w:jc w:val="right"/>
    </w:pPr>
    <w:rPr>
      <w:rFonts w:ascii="Calibri Light" w:eastAsia="Times New Roman" w:hAnsi="Calibri Light" w:cs="Times New Roman"/>
      <w:color w:val="002C47"/>
      <w:sz w:val="20"/>
      <w:szCs w:val="20"/>
      <w:lang w:eastAsia="en-AU"/>
    </w:rPr>
  </w:style>
  <w:style w:type="paragraph" w:styleId="FootnoteText">
    <w:name w:val="footnote text"/>
    <w:basedOn w:val="Normal"/>
    <w:link w:val="FootnoteTextChar"/>
    <w:uiPriority w:val="99"/>
    <w:rsid w:val="00CA00A9"/>
    <w:pPr>
      <w:spacing w:after="0" w:line="240" w:lineRule="auto"/>
      <w:ind w:left="397" w:hanging="397"/>
    </w:pPr>
    <w:rPr>
      <w:rFonts w:ascii="Calibri Light" w:eastAsia="Times New Roman" w:hAnsi="Calibri Light" w:cs="Times New Roman"/>
      <w:sz w:val="20"/>
      <w:szCs w:val="20"/>
      <w:lang w:eastAsia="en-AU"/>
    </w:rPr>
  </w:style>
  <w:style w:type="character" w:customStyle="1" w:styleId="FootnoteTextChar">
    <w:name w:val="Footnote Text Char"/>
    <w:basedOn w:val="DefaultParagraphFont"/>
    <w:link w:val="FootnoteText"/>
    <w:uiPriority w:val="99"/>
    <w:rsid w:val="00CA00A9"/>
    <w:rPr>
      <w:rFonts w:ascii="Calibri Light" w:eastAsia="Times New Roman" w:hAnsi="Calibri Light" w:cs="Times New Roman"/>
      <w:kern w:val="0"/>
      <w:sz w:val="20"/>
      <w:szCs w:val="20"/>
      <w:lang w:eastAsia="en-AU"/>
    </w:rPr>
  </w:style>
  <w:style w:type="character" w:styleId="FootnoteReference">
    <w:name w:val="footnote reference"/>
    <w:basedOn w:val="DefaultParagraphFont"/>
    <w:uiPriority w:val="99"/>
    <w:rsid w:val="00CA00A9"/>
    <w:rPr>
      <w:sz w:val="18"/>
    </w:rPr>
  </w:style>
  <w:style w:type="paragraph" w:styleId="BalloonText">
    <w:name w:val="Balloon Text"/>
    <w:basedOn w:val="Normal"/>
    <w:link w:val="BalloonTextChar"/>
    <w:uiPriority w:val="99"/>
    <w:semiHidden/>
    <w:unhideWhenUsed/>
    <w:rsid w:val="00CA00A9"/>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CA00A9"/>
    <w:rPr>
      <w:rFonts w:ascii="Tahoma" w:eastAsia="Times New Roman" w:hAnsi="Tahoma" w:cs="Tahoma"/>
      <w:kern w:val="0"/>
      <w:sz w:val="16"/>
      <w:szCs w:val="16"/>
      <w:lang w:eastAsia="en-AU"/>
    </w:rPr>
  </w:style>
  <w:style w:type="character" w:customStyle="1" w:styleId="BoxTextChar">
    <w:name w:val="Box Text Char"/>
    <w:basedOn w:val="DefaultParagraphFont"/>
    <w:link w:val="BoxText"/>
    <w:locked/>
    <w:rsid w:val="00CA00A9"/>
    <w:rPr>
      <w:rFonts w:ascii="Calibri Light" w:eastAsia="Times New Roman" w:hAnsi="Calibri Light" w:cs="Times New Roman"/>
      <w:kern w:val="0"/>
      <w:szCs w:val="20"/>
      <w:lang w:eastAsia="en-AU"/>
    </w:rPr>
  </w:style>
  <w:style w:type="paragraph" w:customStyle="1" w:styleId="Boxbullet">
    <w:name w:val="Box bullet"/>
    <w:basedOn w:val="Bullet"/>
    <w:rsid w:val="00CA00A9"/>
    <w:pPr>
      <w:numPr>
        <w:numId w:val="12"/>
      </w:numPr>
      <w:tabs>
        <w:tab w:val="clear" w:pos="283"/>
        <w:tab w:val="num" w:pos="284"/>
        <w:tab w:val="num" w:pos="520"/>
        <w:tab w:val="left" w:pos="720"/>
      </w:tabs>
      <w:spacing w:before="60" w:after="120" w:line="276" w:lineRule="auto"/>
    </w:pPr>
    <w:rPr>
      <w:rFonts w:ascii="Calibri Light" w:eastAsia="Times New Roman" w:hAnsi="Calibri Light" w:cs="Times New Roman"/>
      <w:color w:val="0D0D0D" w:themeColor="text1" w:themeTint="F2"/>
      <w:szCs w:val="20"/>
      <w:lang w:eastAsia="en-AU"/>
    </w:rPr>
  </w:style>
  <w:style w:type="paragraph" w:customStyle="1" w:styleId="Boxdash">
    <w:name w:val="Box dash"/>
    <w:basedOn w:val="Dash"/>
    <w:rsid w:val="00CA00A9"/>
    <w:pPr>
      <w:numPr>
        <w:numId w:val="12"/>
      </w:numPr>
      <w:tabs>
        <w:tab w:val="clear" w:pos="567"/>
        <w:tab w:val="num" w:pos="1040"/>
      </w:tabs>
      <w:spacing w:before="60" w:line="276" w:lineRule="auto"/>
    </w:pPr>
    <w:rPr>
      <w:rFonts w:ascii="Calibri Light" w:hAnsi="Calibri Light" w:cs="Times New Roman"/>
      <w:color w:val="0D0D0D" w:themeColor="text1" w:themeTint="F2"/>
      <w:szCs w:val="20"/>
    </w:rPr>
  </w:style>
  <w:style w:type="paragraph" w:customStyle="1" w:styleId="Boxdoubledot">
    <w:name w:val="Box double dot"/>
    <w:basedOn w:val="DoubleDot"/>
    <w:rsid w:val="00CA00A9"/>
    <w:pPr>
      <w:numPr>
        <w:numId w:val="12"/>
      </w:numPr>
      <w:tabs>
        <w:tab w:val="clear" w:pos="851"/>
        <w:tab w:val="left" w:pos="567"/>
        <w:tab w:val="num" w:pos="1560"/>
      </w:tabs>
      <w:spacing w:before="60" w:line="276" w:lineRule="auto"/>
    </w:pPr>
    <w:rPr>
      <w:rFonts w:ascii="Calibri Light" w:hAnsi="Calibri Light" w:cs="Times New Roman"/>
      <w:color w:val="0D0D0D" w:themeColor="text1" w:themeTint="F2"/>
      <w:szCs w:val="20"/>
    </w:rPr>
  </w:style>
  <w:style w:type="paragraph" w:customStyle="1" w:styleId="Instructions">
    <w:name w:val="Instructions"/>
    <w:basedOn w:val="Normal"/>
    <w:uiPriority w:val="1"/>
    <w:qFormat/>
    <w:rsid w:val="00CA00A9"/>
    <w:pPr>
      <w:shd w:val="clear" w:color="auto" w:fill="FFFF00"/>
      <w:spacing w:before="120" w:after="120" w:line="240" w:lineRule="auto"/>
      <w:ind w:left="170" w:hanging="170"/>
    </w:pPr>
    <w:rPr>
      <w:rFonts w:eastAsia="Times New Roman" w:cs="Times New Roman"/>
      <w:sz w:val="20"/>
      <w:szCs w:val="24"/>
      <w:lang w:eastAsia="en-AU"/>
    </w:rPr>
  </w:style>
  <w:style w:type="paragraph" w:customStyle="1" w:styleId="SecurityClassificationHeader">
    <w:name w:val="Security Classification Header"/>
    <w:link w:val="SecurityClassificationHeaderChar"/>
    <w:rsid w:val="00CA00A9"/>
    <w:pPr>
      <w:spacing w:before="360" w:after="60"/>
      <w:jc w:val="center"/>
    </w:pPr>
    <w:rPr>
      <w:rFonts w:ascii="Calibri" w:eastAsia="Times New Roman" w:hAnsi="Calibri" w:cs="Calibri"/>
      <w:b/>
      <w:color w:val="FF0000"/>
      <w:kern w:val="0"/>
      <w:sz w:val="24"/>
      <w:szCs w:val="20"/>
      <w:lang w:eastAsia="en-AU"/>
    </w:rPr>
  </w:style>
  <w:style w:type="character" w:customStyle="1" w:styleId="SecurityClassificationHeaderChar">
    <w:name w:val="Security Classification Header Char"/>
    <w:basedOn w:val="HeaderChar"/>
    <w:link w:val="SecurityClassificationHeader"/>
    <w:rsid w:val="00CA00A9"/>
    <w:rPr>
      <w:rFonts w:ascii="Calibri" w:eastAsia="Times New Roman" w:hAnsi="Calibri" w:cs="Calibri"/>
      <w:b/>
      <w:color w:val="FF0000"/>
      <w:kern w:val="0"/>
      <w:sz w:val="24"/>
      <w:szCs w:val="20"/>
      <w:lang w:eastAsia="en-AU"/>
    </w:rPr>
  </w:style>
  <w:style w:type="paragraph" w:customStyle="1" w:styleId="SecurityClassificationFooter">
    <w:name w:val="Security Classification Footer"/>
    <w:link w:val="SecurityClassificationFooterChar"/>
    <w:rsid w:val="00CA00A9"/>
    <w:pPr>
      <w:spacing w:before="360" w:after="60"/>
      <w:jc w:val="center"/>
    </w:pPr>
    <w:rPr>
      <w:rFonts w:ascii="Calibri" w:eastAsia="Times New Roman" w:hAnsi="Calibri" w:cs="Calibri"/>
      <w:b/>
      <w:color w:val="FF0000"/>
      <w:kern w:val="0"/>
      <w:sz w:val="24"/>
      <w:szCs w:val="20"/>
      <w:lang w:eastAsia="en-AU"/>
    </w:rPr>
  </w:style>
  <w:style w:type="character" w:customStyle="1" w:styleId="SecurityClassificationFooterChar">
    <w:name w:val="Security Classification Footer Char"/>
    <w:basedOn w:val="HeaderChar"/>
    <w:link w:val="SecurityClassificationFooter"/>
    <w:rsid w:val="00CA00A9"/>
    <w:rPr>
      <w:rFonts w:ascii="Calibri" w:eastAsia="Times New Roman" w:hAnsi="Calibri" w:cs="Calibri"/>
      <w:b/>
      <w:color w:val="FF0000"/>
      <w:kern w:val="0"/>
      <w:sz w:val="24"/>
      <w:szCs w:val="20"/>
      <w:lang w:eastAsia="en-AU"/>
    </w:rPr>
  </w:style>
  <w:style w:type="paragraph" w:customStyle="1" w:styleId="DLMSecurityHeader">
    <w:name w:val="DLM Security Header"/>
    <w:link w:val="DLMSecurityHeaderChar"/>
    <w:rsid w:val="00CA00A9"/>
    <w:pPr>
      <w:spacing w:before="60" w:after="240"/>
      <w:jc w:val="center"/>
    </w:pPr>
    <w:rPr>
      <w:rFonts w:ascii="Calibri" w:eastAsia="Times New Roman" w:hAnsi="Calibri" w:cs="Calibri"/>
      <w:b/>
      <w:color w:val="FF0000"/>
      <w:kern w:val="0"/>
      <w:sz w:val="24"/>
      <w:szCs w:val="20"/>
      <w:lang w:eastAsia="en-AU"/>
    </w:rPr>
  </w:style>
  <w:style w:type="character" w:customStyle="1" w:styleId="DLMSecurityHeaderChar">
    <w:name w:val="DLM Security Header Char"/>
    <w:basedOn w:val="HeaderChar"/>
    <w:link w:val="DLMSecurityHeader"/>
    <w:rsid w:val="00CA00A9"/>
    <w:rPr>
      <w:rFonts w:ascii="Calibri" w:eastAsia="Times New Roman" w:hAnsi="Calibri" w:cs="Calibri"/>
      <w:b/>
      <w:color w:val="FF0000"/>
      <w:kern w:val="0"/>
      <w:sz w:val="24"/>
      <w:szCs w:val="20"/>
      <w:lang w:eastAsia="en-AU"/>
    </w:rPr>
  </w:style>
  <w:style w:type="paragraph" w:customStyle="1" w:styleId="DLMSecurityFooter">
    <w:name w:val="DLM Security Footer"/>
    <w:link w:val="DLMSecurityFooterChar"/>
    <w:rsid w:val="00CA00A9"/>
    <w:pPr>
      <w:spacing w:before="240" w:after="60"/>
      <w:jc w:val="center"/>
    </w:pPr>
    <w:rPr>
      <w:rFonts w:ascii="Calibri" w:eastAsia="Times New Roman" w:hAnsi="Calibri" w:cs="Calibri"/>
      <w:b/>
      <w:color w:val="FF0000"/>
      <w:kern w:val="0"/>
      <w:sz w:val="24"/>
      <w:szCs w:val="20"/>
      <w:lang w:eastAsia="en-AU"/>
    </w:rPr>
  </w:style>
  <w:style w:type="character" w:customStyle="1" w:styleId="DLMSecurityFooterChar">
    <w:name w:val="DLM Security Footer Char"/>
    <w:basedOn w:val="HeaderChar"/>
    <w:link w:val="DLMSecurityFooter"/>
    <w:rsid w:val="00CA00A9"/>
    <w:rPr>
      <w:rFonts w:ascii="Calibri" w:eastAsia="Times New Roman" w:hAnsi="Calibri" w:cs="Calibri"/>
      <w:b/>
      <w:color w:val="FF0000"/>
      <w:kern w:val="0"/>
      <w:sz w:val="24"/>
      <w:szCs w:val="20"/>
      <w:lang w:eastAsia="en-AU"/>
    </w:rPr>
  </w:style>
  <w:style w:type="table" w:styleId="TableGridLight">
    <w:name w:val="Grid Table Light"/>
    <w:basedOn w:val="TableNormal"/>
    <w:uiPriority w:val="40"/>
    <w:rsid w:val="00CA00A9"/>
    <w:pPr>
      <w:spacing w:after="0" w:line="240" w:lineRule="auto"/>
    </w:pPr>
    <w:rPr>
      <w:kern w:val="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CA00A9"/>
    <w:pPr>
      <w:spacing w:after="0" w:line="240" w:lineRule="auto"/>
    </w:pPr>
    <w:rPr>
      <w:kern w:val="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CA00A9"/>
    <w:pPr>
      <w:spacing w:after="0" w:line="240" w:lineRule="auto"/>
    </w:pPr>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A00A9"/>
    <w:pPr>
      <w:spacing w:after="0" w:line="240" w:lineRule="auto"/>
    </w:pPr>
    <w:rPr>
      <w:kern w:val="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CA00A9"/>
    <w:pPr>
      <w:spacing w:after="0" w:line="240" w:lineRule="auto"/>
    </w:pPr>
    <w:rPr>
      <w:kern w:val="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A00A9"/>
    <w:pPr>
      <w:spacing w:after="0" w:line="240" w:lineRule="auto"/>
    </w:pPr>
    <w:rPr>
      <w:kern w:val="0"/>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A00A9"/>
    <w:pPr>
      <w:spacing w:after="0" w:line="240" w:lineRule="auto"/>
    </w:pPr>
    <w:rPr>
      <w:kern w:val="0"/>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A00A9"/>
    <w:pPr>
      <w:spacing w:after="0" w:line="240" w:lineRule="auto"/>
    </w:pPr>
    <w:rPr>
      <w:kern w:val="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A00A9"/>
    <w:pPr>
      <w:spacing w:after="0" w:line="240" w:lineRule="auto"/>
    </w:pPr>
    <w:rPr>
      <w:kern w:val="0"/>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A00A9"/>
    <w:pPr>
      <w:spacing w:after="0" w:line="240" w:lineRule="auto"/>
    </w:pPr>
    <w:rPr>
      <w:kern w:val="0"/>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A00A9"/>
    <w:pPr>
      <w:spacing w:after="0" w:line="240" w:lineRule="auto"/>
    </w:pPr>
    <w:rPr>
      <w:kern w:val="0"/>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CA00A9"/>
    <w:pPr>
      <w:spacing w:after="0" w:line="240" w:lineRule="auto"/>
    </w:pPr>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4">
    <w:name w:val="Grid Table 5 Dark Accent 4"/>
    <w:basedOn w:val="TableNormal"/>
    <w:uiPriority w:val="50"/>
    <w:rsid w:val="00CA00A9"/>
    <w:pPr>
      <w:spacing w:after="0" w:line="240" w:lineRule="auto"/>
    </w:pPr>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3">
    <w:name w:val="Grid Table 5 Dark Accent 3"/>
    <w:basedOn w:val="TableNormal"/>
    <w:uiPriority w:val="50"/>
    <w:rsid w:val="00CA00A9"/>
    <w:pPr>
      <w:spacing w:after="0" w:line="240" w:lineRule="auto"/>
    </w:pPr>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5">
    <w:name w:val="Grid Table 4 Accent 5"/>
    <w:basedOn w:val="TableNormal"/>
    <w:uiPriority w:val="49"/>
    <w:rsid w:val="00CA00A9"/>
    <w:pPr>
      <w:spacing w:after="0" w:line="240" w:lineRule="auto"/>
    </w:pPr>
    <w:rPr>
      <w:kern w:val="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4">
    <w:name w:val="Grid Table 4 Accent 4"/>
    <w:basedOn w:val="TableNormal"/>
    <w:uiPriority w:val="49"/>
    <w:rsid w:val="00CA00A9"/>
    <w:pPr>
      <w:spacing w:after="0" w:line="240" w:lineRule="auto"/>
    </w:pPr>
    <w:rPr>
      <w:kern w:val="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3">
    <w:name w:val="Grid Table 4 Accent 3"/>
    <w:basedOn w:val="TableNormal"/>
    <w:uiPriority w:val="49"/>
    <w:rsid w:val="00CA00A9"/>
    <w:pPr>
      <w:spacing w:after="0" w:line="240" w:lineRule="auto"/>
    </w:pPr>
    <w:rPr>
      <w:kern w:val="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2">
    <w:name w:val="Grid Table 4 Accent 2"/>
    <w:basedOn w:val="TableNormal"/>
    <w:uiPriority w:val="49"/>
    <w:rsid w:val="00CA00A9"/>
    <w:pPr>
      <w:spacing w:after="0" w:line="240" w:lineRule="auto"/>
    </w:pPr>
    <w:rPr>
      <w:kern w:val="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CA00A9"/>
    <w:pPr>
      <w:spacing w:after="0" w:line="240" w:lineRule="auto"/>
    </w:pPr>
    <w:rPr>
      <w:kern w:val="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CA00A9"/>
    <w:pPr>
      <w:spacing w:after="0" w:line="240" w:lineRule="auto"/>
    </w:pPr>
    <w:rPr>
      <w:kern w:val="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6">
    <w:name w:val="Grid Table 5 Dark Accent 6"/>
    <w:basedOn w:val="TableNormal"/>
    <w:uiPriority w:val="50"/>
    <w:rsid w:val="00CA00A9"/>
    <w:pPr>
      <w:spacing w:after="0" w:line="240" w:lineRule="auto"/>
    </w:pPr>
    <w:rPr>
      <w:kern w:val="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5">
    <w:name w:val="Grid Table 6 Colorful Accent 5"/>
    <w:basedOn w:val="TableNormal"/>
    <w:uiPriority w:val="51"/>
    <w:rsid w:val="00CA00A9"/>
    <w:pPr>
      <w:spacing w:after="0" w:line="240" w:lineRule="auto"/>
    </w:pPr>
    <w:rPr>
      <w:color w:val="2E74B5" w:themeColor="accent5" w:themeShade="BF"/>
      <w:kern w:val="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7Colorful-Accent5">
    <w:name w:val="Grid Table 7 Colorful Accent 5"/>
    <w:basedOn w:val="TableNormal"/>
    <w:uiPriority w:val="52"/>
    <w:rsid w:val="00CA00A9"/>
    <w:pPr>
      <w:spacing w:after="0" w:line="240" w:lineRule="auto"/>
    </w:pPr>
    <w:rPr>
      <w:color w:val="2E74B5" w:themeColor="accent5" w:themeShade="BF"/>
      <w:kern w:val="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3">
    <w:name w:val="Grid Table 7 Colorful Accent 3"/>
    <w:basedOn w:val="TableNormal"/>
    <w:uiPriority w:val="52"/>
    <w:rsid w:val="00CA00A9"/>
    <w:pPr>
      <w:spacing w:after="0" w:line="240" w:lineRule="auto"/>
    </w:pPr>
    <w:rPr>
      <w:color w:val="7B7B7B" w:themeColor="accent3" w:themeShade="BF"/>
      <w:kern w:val="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stTable4-Accent5">
    <w:name w:val="List Table 4 Accent 5"/>
    <w:basedOn w:val="TableNormal"/>
    <w:uiPriority w:val="49"/>
    <w:rsid w:val="00CA00A9"/>
    <w:pPr>
      <w:spacing w:after="0" w:line="240" w:lineRule="auto"/>
    </w:pPr>
    <w:rPr>
      <w:kern w:val="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CA00A9"/>
    <w:pPr>
      <w:spacing w:after="0" w:line="240" w:lineRule="auto"/>
    </w:pPr>
    <w:rPr>
      <w:kern w:val="0"/>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NormalWeb">
    <w:name w:val="Normal (Web)"/>
    <w:basedOn w:val="Normal"/>
    <w:uiPriority w:val="99"/>
    <w:unhideWhenUsed/>
    <w:rsid w:val="00CA00A9"/>
    <w:pPr>
      <w:spacing w:before="120" w:after="120"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semiHidden/>
    <w:unhideWhenUsed/>
    <w:rsid w:val="00CA00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00A9"/>
    <w:rPr>
      <w:kern w:val="0"/>
      <w:sz w:val="20"/>
      <w:szCs w:val="20"/>
    </w:rPr>
  </w:style>
  <w:style w:type="character" w:styleId="EndnoteReference">
    <w:name w:val="endnote reference"/>
    <w:basedOn w:val="DefaultParagraphFont"/>
    <w:uiPriority w:val="99"/>
    <w:semiHidden/>
    <w:unhideWhenUsed/>
    <w:rsid w:val="00CA00A9"/>
    <w:rPr>
      <w:vertAlign w:val="superscript"/>
    </w:rPr>
  </w:style>
  <w:style w:type="character" w:styleId="Mention">
    <w:name w:val="Mention"/>
    <w:basedOn w:val="DefaultParagraphFont"/>
    <w:uiPriority w:val="99"/>
    <w:unhideWhenUsed/>
    <w:rsid w:val="00C652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hyperlink" Target="mailto:media@treasury.gov.au" TargetMode="External"/><Relationship Id="rId26" Type="http://schemas.openxmlformats.org/officeDocument/2006/relationships/header" Target="header3.xml"/><Relationship Id="rId39" Type="http://schemas.openxmlformats.org/officeDocument/2006/relationships/image" Target="media/image5.png"/><Relationship Id="rId21" Type="http://schemas.openxmlformats.org/officeDocument/2006/relationships/header" Target="header1.xml"/><Relationship Id="rId34" Type="http://schemas.openxmlformats.org/officeDocument/2006/relationships/hyperlink" Target="https://ausncp.gov.au/complaints/submit-complaint"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ausncp.gov.au"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s://mneguidelines.oecd.org/mneguidelines/" TargetMode="External"/><Relationship Id="rId37" Type="http://schemas.openxmlformats.org/officeDocument/2006/relationships/hyperlink" Target="https://www.oecd.org/investment/due-diligence-guidance-for-responsible-business-conduct.htm"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hyperlink" Target="https://ausncp.gov.au/" TargetMode="External"/><Relationship Id="rId10" Type="http://schemas.openxmlformats.org/officeDocument/2006/relationships/footnotes" Target="footnotes.xml"/><Relationship Id="rId19" Type="http://schemas.openxmlformats.org/officeDocument/2006/relationships/hyperlink" Target="mailto:secretariat@ausncp.gov.au" TargetMode="External"/><Relationship Id="rId31" Type="http://schemas.openxmlformats.org/officeDocument/2006/relationships/hyperlink" Target="https://doi.org/10.1787/81f92357-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legalcode"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yperlink" Target="https://www.oaic.gov.au/freedom-of-information/freedom-of-information-guidance-for-government-agencies/guidance-on-handling-a-freedom-of-information-request/legal-definitions-and-questions/exemptions-and-conditional-exemptions-under-the-freedom-of-information-act-1982"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pmc.gov.au/government/commonwealth-coat-arms" TargetMode="External"/><Relationship Id="rId25" Type="http://schemas.openxmlformats.org/officeDocument/2006/relationships/footer" Target="footer3.xml"/><Relationship Id="rId33" Type="http://schemas.openxmlformats.org/officeDocument/2006/relationships/hyperlink" Target="https://mneguidelines.oecd.org/duediligence/" TargetMode="External"/><Relationship Id="rId38" Type="http://schemas.openxmlformats.org/officeDocument/2006/relationships/hyperlink" Target="https://mneguidelines.oecd.org/mneguidelines/"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ausncp.gov.au/" TargetMode="External"/><Relationship Id="rId3" Type="http://schemas.openxmlformats.org/officeDocument/2006/relationships/hyperlink" Target="https://mneguidelines.oecd.org/mneguidelines/" TargetMode="External"/><Relationship Id="rId7" Type="http://schemas.openxmlformats.org/officeDocument/2006/relationships/hyperlink" Target="https://doi.org/10.1787/81f92357-en" TargetMode="External"/><Relationship Id="rId2" Type="http://schemas.openxmlformats.org/officeDocument/2006/relationships/hyperlink" Target="https://legalinstruments.oecd.org/en/instruments/OECD-LEGAL-0144" TargetMode="External"/><Relationship Id="rId1" Type="http://schemas.openxmlformats.org/officeDocument/2006/relationships/hyperlink" Target="https://doi.org/10.1787/81f92357-en" TargetMode="External"/><Relationship Id="rId6" Type="http://schemas.openxmlformats.org/officeDocument/2006/relationships/hyperlink" Target="https://doi.org/10.1787/81f92357-en" TargetMode="External"/><Relationship Id="rId5" Type="http://schemas.openxmlformats.org/officeDocument/2006/relationships/hyperlink" Target="https://ausncp.gov.au/complaints/submit-complaint" TargetMode="External"/><Relationship Id="rId10" Type="http://schemas.openxmlformats.org/officeDocument/2006/relationships/hyperlink" Target="https://ausncp.gov.au/responsible-business-conduct/governance-and-advisory-board" TargetMode="External"/><Relationship Id="rId4" Type="http://schemas.openxmlformats.org/officeDocument/2006/relationships/hyperlink" Target="https://www.oecd.org/investment/due-diligence-guidance-for-responsible-business-conduct.htm" TargetMode="External"/><Relationship Id="rId9" Type="http://schemas.openxmlformats.org/officeDocument/2006/relationships/hyperlink" Target="https://www.oaic.gov.au/freedom-of-information/freedom-of-information-guidance-for-government-agencies/guidance-on-handling-a-freedom-of-information-request/legal-definitions-and-questions/exemptions-and-conditional-exemptions-under-the-freedom-of-information-act-1982"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e4fe7dcdd1c0411bbf19a4de3665191f>
    <kfc39f3e4e2747ae990d3c8bb74a5a64 xmlns="fe39d773-a83d-4623-ae74-f25711a76616">
      <Terms xmlns="http://schemas.microsoft.com/office/infopath/2007/PartnerControls"/>
    </kfc39f3e4e2747ae990d3c8bb74a5a64>
    <_dlc_DocId xmlns="fe39d773-a83d-4623-ae74-f25711a76616" xsi:nil="true"/>
    <_dlc_DocIdUrl xmlns="fe39d773-a83d-4623-ae74-f25711a76616">
      <Url xsi:nil="true"/>
      <Description xsi:nil="true"/>
    </_dlc_DocIdUrl>
    <AdminType xmlns="5e327f0d-874f-46fc-a884-06fb696d5027" xsi:nil="true"/>
    <TaxCatchAllLabel xmlns="5e327f0d-874f-46fc-a884-06fb696d5027"/>
    <ge25bdd0d6464e36b066695d9e81d63d xmlns="fe39d773-a83d-4623-ae74-f25711a76616">
      <Terms xmlns="http://schemas.microsoft.com/office/infopath/2007/PartnerControls"/>
    </ge25bdd0d6464e36b066695d9e81d63d>
    <Folder xmlns="5e327f0d-874f-46fc-a884-06fb696d5027" xsi:nil="true"/>
    <TaxCatchAll xmlns="5e327f0d-874f-46fc-a884-06fb696d5027"/>
    <_dlc_DocIdPersistId xmlns="fe39d773-a83d-4623-ae74-f25711a76616" xsi:nil="true"/>
    <lcf76f155ced4ddcb4097134ff3c332f xmlns="8a40832b-7428-409c-ba12-51351536d0bb">
      <Terms xmlns="http://schemas.microsoft.com/office/infopath/2007/PartnerControls"/>
    </lcf76f155ced4ddcb4097134ff3c332f>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Economy</TermName>
          <TermId xmlns="http://schemas.microsoft.com/office/infopath/2007/PartnerControls">7a4a2744-a3bd-4e68-a6bf-4196b2d69a24</TermId>
        </TermInfo>
      </Terms>
    </a48f371a4a874164b16a8c4aab488f5c>
    <Sensitivity xmlns="5e327f0d-874f-46fc-a884-06fb696d5027" xsi:nil="true"/>
    <gfba5f33532c49208d2320ce38cc3c2b xmlns="fe39d773-a83d-4623-ae74-f25711a76616">
      <Terms xmlns="http://schemas.microsoft.com/office/infopath/2007/PartnerControls"/>
    </gfba5f33532c49208d2320ce38cc3c2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F0C5BFC395F13428669E7AAF9A38D8F" ma:contentTypeVersion="24" ma:contentTypeDescription="Create a new document." ma:contentTypeScope="" ma:versionID="36daf884c4e4a974b69c448f5b5ab1cb">
  <xsd:schema xmlns:xsd="http://www.w3.org/2001/XMLSchema" xmlns:xs="http://www.w3.org/2001/XMLSchema" xmlns:p="http://schemas.microsoft.com/office/2006/metadata/properties" xmlns:ns1="5e327f0d-874f-46fc-a884-06fb696d5027" xmlns:ns3="fe39d773-a83d-4623-ae74-f25711a76616" xmlns:ns4="8a40832b-7428-409c-ba12-51351536d0bb" targetNamespace="http://schemas.microsoft.com/office/2006/metadata/properties" ma:root="true" ma:fieldsID="bfa89568c37f9ebaacfab18cdb41a7bf" ns1:_="" ns3:_="" ns4:_="">
    <xsd:import namespace="5e327f0d-874f-46fc-a884-06fb696d5027"/>
    <xsd:import namespace="fe39d773-a83d-4623-ae74-f25711a76616"/>
    <xsd:import namespace="8a40832b-7428-409c-ba12-51351536d0bb"/>
    <xsd:element name="properties">
      <xsd:complexType>
        <xsd:sequence>
          <xsd:element name="documentManagement">
            <xsd:complexType>
              <xsd:all>
                <xsd:element ref="ns1:Folder" minOccurs="0"/>
                <xsd:element ref="ns3:_dlc_DocIdUrl" minOccurs="0"/>
                <xsd:element ref="ns1:AdminType" minOccurs="0"/>
                <xsd:element ref="ns1:Sensitivity" minOccurs="0"/>
                <xsd:element ref="ns1:TaxCatchAll" minOccurs="0"/>
                <xsd:element ref="ns1: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3:_dlc_DocId" minOccurs="0"/>
                <xsd:element ref="ns3:_dlc_DocIdPersistId" minOccurs="0"/>
                <xsd:element ref="ns4:MediaServiceMetadata" minOccurs="0"/>
                <xsd:element ref="ns4:MediaServiceFastMetadata" minOccurs="0"/>
                <xsd:element ref="ns3:a48f371a4a874164b16a8c4aab488f5c" minOccurs="0"/>
                <xsd:element ref="ns4:lcf76f155ced4ddcb4097134ff3c332f" minOccurs="0"/>
                <xsd:element ref="ns4:MediaServiceObjectDetectorVersion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27f0d-874f-46fc-a884-06fb696d5027" elementFormDefault="qualified">
    <xsd:import namespace="http://schemas.microsoft.com/office/2006/documentManagement/types"/>
    <xsd:import namespace="http://schemas.microsoft.com/office/infopath/2007/PartnerControls"/>
    <xsd:element name="Folder" ma:index="0" nillable="true" ma:displayName="Folder" ma:format="Dropdown" ma:internalName="Folder">
      <xsd:simpleType>
        <xsd:restriction base="dms:Text">
          <xsd:maxLength value="255"/>
        </xsd:restriction>
      </xsd:simpleType>
    </xsd:element>
    <xsd:element name="AdminType" ma:index="9" nillable="true" ma:displayName="Admin Type" ma:format="Dropdown" ma:internalName="AdminType" ma:readOnly="false">
      <xsd:simpleType>
        <xsd:restriction base="dms:Choice">
          <xsd:enumeration value="Website"/>
          <xsd:enumeration value="Templates"/>
          <xsd:enumeration value="Legal and Governance"/>
          <xsd:enumeration value="Promotion"/>
        </xsd:restriction>
      </xsd:simpleType>
    </xsd:element>
    <xsd:element name="Sensitivity" ma:index="10" nillable="true" ma:displayName="Sensitivity" ma:format="Dropdown" ma:internalName="Sensitivity" ma:readOnly="false">
      <xsd:simpleType>
        <xsd:union memberTypes="dms:Text">
          <xsd:simpleType>
            <xsd:restriction base="dms:Choice">
              <xsd:enumeration value="Confidential"/>
            </xsd:restriction>
          </xsd:simpleType>
        </xsd:union>
      </xsd:simpleType>
    </xsd:element>
    <xsd:element name="TaxCatchAll" ma:index="12" nillable="true" ma:displayName="Taxonomy Catch All Column" ma:hidden="true" ma:list="{b15d198c-1233-4a9a-a3b5-7988149213b3}" ma:internalName="TaxCatchAll" ma:readOnly="false" ma:showField="CatchAllData" ma:web="5e327f0d-874f-46fc-a884-06fb696d502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15d198c-1233-4a9a-a3b5-7988149213b3}" ma:internalName="TaxCatchAllLabel" ma:readOnly="false" ma:showField="CatchAllDataLabel" ma:web="5e327f0d-874f-46fc-a884-06fb696d50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Url" ma:index="8"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b66ed48d-3c88-4aaf-97bf-7d7ca4669fba"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6f3d60f6-c718-465c-9400-e9ea1773e6e7"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d4432c8-6dae-4a25-a42c-d88b521c3364"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24" nillable="true" ma:displayName="Persist ID" ma:description="Keep ID on add." ma:hidden="true" ma:internalName="_dlc_DocIdPersistId" ma:readOnly="false">
      <xsd:simpleType>
        <xsd:restriction base="dms:Boolean"/>
      </xsd:simpleType>
    </xsd:element>
    <xsd:element name="a48f371a4a874164b16a8c4aab488f5c" ma:index="27" ma:taxonomy="true" ma:internalName="a48f371a4a874164b16a8c4aab488f5c" ma:taxonomyFieldName="eTheme" ma:displayName="Theme" ma:readOnly="false" ma:default="1;#Economy|7a4a2744-a3bd-4e68-a6bf-4196b2d69a24"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40832b-7428-409c-ba12-51351536d0b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D9F2B-6E53-400E-B468-4EF63C2CA1E5}">
  <ds:schemaRefs>
    <ds:schemaRef ds:uri="fe39d773-a83d-4623-ae74-f25711a76616"/>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purl.org/dc/terms/"/>
    <ds:schemaRef ds:uri="8a40832b-7428-409c-ba12-51351536d0bb"/>
    <ds:schemaRef ds:uri="http://schemas.microsoft.com/office/infopath/2007/PartnerControls"/>
    <ds:schemaRef ds:uri="http://schemas.openxmlformats.org/package/2006/metadata/core-properties"/>
    <ds:schemaRef ds:uri="5e327f0d-874f-46fc-a884-06fb696d5027"/>
  </ds:schemaRefs>
</ds:datastoreItem>
</file>

<file path=customXml/itemProps2.xml><?xml version="1.0" encoding="utf-8"?>
<ds:datastoreItem xmlns:ds="http://schemas.openxmlformats.org/officeDocument/2006/customXml" ds:itemID="{AD63E603-C8E7-4734-A966-1B1907A90B77}">
  <ds:schemaRefs>
    <ds:schemaRef ds:uri="http://schemas.microsoft.com/sharepoint/v3/contenttype/forms"/>
  </ds:schemaRefs>
</ds:datastoreItem>
</file>

<file path=customXml/itemProps3.xml><?xml version="1.0" encoding="utf-8"?>
<ds:datastoreItem xmlns:ds="http://schemas.openxmlformats.org/officeDocument/2006/customXml" ds:itemID="{AAD492C8-828B-4FEA-8270-438B91358B1D}">
  <ds:schemaRefs>
    <ds:schemaRef ds:uri="http://schemas.microsoft.com/sharepoint/events"/>
  </ds:schemaRefs>
</ds:datastoreItem>
</file>

<file path=customXml/itemProps4.xml><?xml version="1.0" encoding="utf-8"?>
<ds:datastoreItem xmlns:ds="http://schemas.openxmlformats.org/officeDocument/2006/customXml" ds:itemID="{2EE695FC-D62B-47B4-8ED8-04DD903C7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27f0d-874f-46fc-a884-06fb696d5027"/>
    <ds:schemaRef ds:uri="fe39d773-a83d-4623-ae74-f25711a76616"/>
    <ds:schemaRef ds:uri="8a40832b-7428-409c-ba12-51351536d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7BB89C-08DB-491C-BD5D-A0312DF0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7312</Words>
  <Characters>41555</Characters>
  <Application>Microsoft Office Word</Application>
  <DocSecurity>2</DocSecurity>
  <Lines>865</Lines>
  <Paragraphs>384</Paragraphs>
  <ScaleCrop>false</ScaleCrop>
  <HeadingPairs>
    <vt:vector size="2" baseType="variant">
      <vt:variant>
        <vt:lpstr>Title</vt:lpstr>
      </vt:variant>
      <vt:variant>
        <vt:i4>1</vt:i4>
      </vt:variant>
    </vt:vector>
  </HeadingPairs>
  <TitlesOfParts>
    <vt:vector size="1" baseType="lpstr">
      <vt:lpstr>AusNCP complaint procedures</vt:lpstr>
    </vt:vector>
  </TitlesOfParts>
  <Company>The Treasury</Company>
  <LinksUpToDate>false</LinksUpToDate>
  <CharactersWithSpaces>48671</CharactersWithSpaces>
  <SharedDoc>false</SharedDoc>
  <HLinks>
    <vt:vector size="408" baseType="variant">
      <vt:variant>
        <vt:i4>5701726</vt:i4>
      </vt:variant>
      <vt:variant>
        <vt:i4>284</vt:i4>
      </vt:variant>
      <vt:variant>
        <vt:i4>0</vt:i4>
      </vt:variant>
      <vt:variant>
        <vt:i4>5</vt:i4>
      </vt:variant>
      <vt:variant>
        <vt:lpwstr>https://mneguidelines.oecd.org/mneguidelines/</vt:lpwstr>
      </vt:variant>
      <vt:variant>
        <vt:lpwstr/>
      </vt:variant>
      <vt:variant>
        <vt:i4>7667818</vt:i4>
      </vt:variant>
      <vt:variant>
        <vt:i4>281</vt:i4>
      </vt:variant>
      <vt:variant>
        <vt:i4>0</vt:i4>
      </vt:variant>
      <vt:variant>
        <vt:i4>5</vt:i4>
      </vt:variant>
      <vt:variant>
        <vt:lpwstr>https://www.oecd.org/investment/due-diligence-guidance-for-responsible-business-conduct.htm</vt:lpwstr>
      </vt:variant>
      <vt:variant>
        <vt:lpwstr/>
      </vt:variant>
      <vt:variant>
        <vt:i4>2424875</vt:i4>
      </vt:variant>
      <vt:variant>
        <vt:i4>278</vt:i4>
      </vt:variant>
      <vt:variant>
        <vt:i4>0</vt:i4>
      </vt:variant>
      <vt:variant>
        <vt:i4>5</vt:i4>
      </vt:variant>
      <vt:variant>
        <vt:lpwstr>https://ausncp.gov.au/</vt:lpwstr>
      </vt:variant>
      <vt:variant>
        <vt:lpwstr/>
      </vt:variant>
      <vt:variant>
        <vt:i4>7995448</vt:i4>
      </vt:variant>
      <vt:variant>
        <vt:i4>269</vt:i4>
      </vt:variant>
      <vt:variant>
        <vt:i4>0</vt:i4>
      </vt:variant>
      <vt:variant>
        <vt:i4>5</vt:i4>
      </vt:variant>
      <vt:variant>
        <vt:lpwstr>https://www.oaic.gov.au/freedom-of-information/freedom-of-information-guidance-for-government-agencies/guidance-on-handling-a-freedom-of-information-request/legal-definitions-and-questions/exemptions-and-conditional-exemptions-under-the-freedom-of-information-act-1982</vt:lpwstr>
      </vt:variant>
      <vt:variant>
        <vt:lpwstr/>
      </vt:variant>
      <vt:variant>
        <vt:i4>6815864</vt:i4>
      </vt:variant>
      <vt:variant>
        <vt:i4>266</vt:i4>
      </vt:variant>
      <vt:variant>
        <vt:i4>0</vt:i4>
      </vt:variant>
      <vt:variant>
        <vt:i4>5</vt:i4>
      </vt:variant>
      <vt:variant>
        <vt:lpwstr/>
      </vt:variant>
      <vt:variant>
        <vt:lpwstr>conduct</vt:lpwstr>
      </vt:variant>
      <vt:variant>
        <vt:i4>7602277</vt:i4>
      </vt:variant>
      <vt:variant>
        <vt:i4>260</vt:i4>
      </vt:variant>
      <vt:variant>
        <vt:i4>0</vt:i4>
      </vt:variant>
      <vt:variant>
        <vt:i4>5</vt:i4>
      </vt:variant>
      <vt:variant>
        <vt:lpwstr/>
      </vt:variant>
      <vt:variant>
        <vt:lpwstr>follow</vt:lpwstr>
      </vt:variant>
      <vt:variant>
        <vt:i4>65548</vt:i4>
      </vt:variant>
      <vt:variant>
        <vt:i4>257</vt:i4>
      </vt:variant>
      <vt:variant>
        <vt:i4>0</vt:i4>
      </vt:variant>
      <vt:variant>
        <vt:i4>5</vt:i4>
      </vt:variant>
      <vt:variant>
        <vt:lpwstr/>
      </vt:variant>
      <vt:variant>
        <vt:lpwstr>OECDR</vt:lpwstr>
      </vt:variant>
      <vt:variant>
        <vt:i4>8257662</vt:i4>
      </vt:variant>
      <vt:variant>
        <vt:i4>236</vt:i4>
      </vt:variant>
      <vt:variant>
        <vt:i4>0</vt:i4>
      </vt:variant>
      <vt:variant>
        <vt:i4>5</vt:i4>
      </vt:variant>
      <vt:variant>
        <vt:lpwstr/>
      </vt:variant>
      <vt:variant>
        <vt:lpwstr>discussion</vt:lpwstr>
      </vt:variant>
      <vt:variant>
        <vt:i4>65546</vt:i4>
      </vt:variant>
      <vt:variant>
        <vt:i4>233</vt:i4>
      </vt:variant>
      <vt:variant>
        <vt:i4>0</vt:i4>
      </vt:variant>
      <vt:variant>
        <vt:i4>5</vt:i4>
      </vt:variant>
      <vt:variant>
        <vt:lpwstr/>
      </vt:variant>
      <vt:variant>
        <vt:lpwstr>material</vt:lpwstr>
      </vt:variant>
      <vt:variant>
        <vt:i4>65548</vt:i4>
      </vt:variant>
      <vt:variant>
        <vt:i4>230</vt:i4>
      </vt:variant>
      <vt:variant>
        <vt:i4>0</vt:i4>
      </vt:variant>
      <vt:variant>
        <vt:i4>5</vt:i4>
      </vt:variant>
      <vt:variant>
        <vt:lpwstr/>
      </vt:variant>
      <vt:variant>
        <vt:lpwstr>OECDi</vt:lpwstr>
      </vt:variant>
      <vt:variant>
        <vt:i4>8061033</vt:i4>
      </vt:variant>
      <vt:variant>
        <vt:i4>221</vt:i4>
      </vt:variant>
      <vt:variant>
        <vt:i4>0</vt:i4>
      </vt:variant>
      <vt:variant>
        <vt:i4>5</vt:i4>
      </vt:variant>
      <vt:variant>
        <vt:lpwstr/>
      </vt:variant>
      <vt:variant>
        <vt:lpwstr>initial</vt:lpwstr>
      </vt:variant>
      <vt:variant>
        <vt:i4>720904</vt:i4>
      </vt:variant>
      <vt:variant>
        <vt:i4>218</vt:i4>
      </vt:variant>
      <vt:variant>
        <vt:i4>0</vt:i4>
      </vt:variant>
      <vt:variant>
        <vt:i4>5</vt:i4>
      </vt:variant>
      <vt:variant>
        <vt:lpwstr/>
      </vt:variant>
      <vt:variant>
        <vt:lpwstr>goodo</vt:lpwstr>
      </vt:variant>
      <vt:variant>
        <vt:i4>7143522</vt:i4>
      </vt:variant>
      <vt:variant>
        <vt:i4>215</vt:i4>
      </vt:variant>
      <vt:variant>
        <vt:i4>0</vt:i4>
      </vt:variant>
      <vt:variant>
        <vt:i4>5</vt:i4>
      </vt:variant>
      <vt:variant>
        <vt:lpwstr/>
      </vt:variant>
      <vt:variant>
        <vt:lpwstr>dispute</vt:lpwstr>
      </vt:variant>
      <vt:variant>
        <vt:i4>6291557</vt:i4>
      </vt:variant>
      <vt:variant>
        <vt:i4>212</vt:i4>
      </vt:variant>
      <vt:variant>
        <vt:i4>0</vt:i4>
      </vt:variant>
      <vt:variant>
        <vt:i4>5</vt:i4>
      </vt:variant>
      <vt:variant>
        <vt:lpwstr/>
      </vt:variant>
      <vt:variant>
        <vt:lpwstr>examination</vt:lpwstr>
      </vt:variant>
      <vt:variant>
        <vt:i4>524296</vt:i4>
      </vt:variant>
      <vt:variant>
        <vt:i4>209</vt:i4>
      </vt:variant>
      <vt:variant>
        <vt:i4>0</vt:i4>
      </vt:variant>
      <vt:variant>
        <vt:i4>5</vt:i4>
      </vt:variant>
      <vt:variant>
        <vt:lpwstr/>
      </vt:variant>
      <vt:variant>
        <vt:lpwstr>final</vt:lpwstr>
      </vt:variant>
      <vt:variant>
        <vt:i4>720904</vt:i4>
      </vt:variant>
      <vt:variant>
        <vt:i4>206</vt:i4>
      </vt:variant>
      <vt:variant>
        <vt:i4>0</vt:i4>
      </vt:variant>
      <vt:variant>
        <vt:i4>5</vt:i4>
      </vt:variant>
      <vt:variant>
        <vt:lpwstr/>
      </vt:variant>
      <vt:variant>
        <vt:lpwstr>good</vt:lpwstr>
      </vt:variant>
      <vt:variant>
        <vt:i4>196636</vt:i4>
      </vt:variant>
      <vt:variant>
        <vt:i4>200</vt:i4>
      </vt:variant>
      <vt:variant>
        <vt:i4>0</vt:i4>
      </vt:variant>
      <vt:variant>
        <vt:i4>5</vt:i4>
      </vt:variant>
      <vt:variant>
        <vt:lpwstr>https://ausncp.gov.au/complaints/submit-complaint</vt:lpwstr>
      </vt:variant>
      <vt:variant>
        <vt:lpwstr/>
      </vt:variant>
      <vt:variant>
        <vt:i4>7340139</vt:i4>
      </vt:variant>
      <vt:variant>
        <vt:i4>182</vt:i4>
      </vt:variant>
      <vt:variant>
        <vt:i4>0</vt:i4>
      </vt:variant>
      <vt:variant>
        <vt:i4>5</vt:i4>
      </vt:variant>
      <vt:variant>
        <vt:lpwstr/>
      </vt:variant>
      <vt:variant>
        <vt:lpwstr>parties</vt:lpwstr>
      </vt:variant>
      <vt:variant>
        <vt:i4>1507398</vt:i4>
      </vt:variant>
      <vt:variant>
        <vt:i4>179</vt:i4>
      </vt:variant>
      <vt:variant>
        <vt:i4>0</vt:i4>
      </vt:variant>
      <vt:variant>
        <vt:i4>5</vt:i4>
      </vt:variant>
      <vt:variant>
        <vt:lpwstr>https://mneguidelines.oecd.org/duediligence/</vt:lpwstr>
      </vt:variant>
      <vt:variant>
        <vt:lpwstr/>
      </vt:variant>
      <vt:variant>
        <vt:i4>7667812</vt:i4>
      </vt:variant>
      <vt:variant>
        <vt:i4>176</vt:i4>
      </vt:variant>
      <vt:variant>
        <vt:i4>0</vt:i4>
      </vt:variant>
      <vt:variant>
        <vt:i4>5</vt:i4>
      </vt:variant>
      <vt:variant>
        <vt:lpwstr/>
      </vt:variant>
      <vt:variant>
        <vt:lpwstr>due</vt:lpwstr>
      </vt:variant>
      <vt:variant>
        <vt:i4>5701726</vt:i4>
      </vt:variant>
      <vt:variant>
        <vt:i4>173</vt:i4>
      </vt:variant>
      <vt:variant>
        <vt:i4>0</vt:i4>
      </vt:variant>
      <vt:variant>
        <vt:i4>5</vt:i4>
      </vt:variant>
      <vt:variant>
        <vt:lpwstr>https://mneguidelines.oecd.org/mneguidelines/</vt:lpwstr>
      </vt:variant>
      <vt:variant>
        <vt:lpwstr/>
      </vt:variant>
      <vt:variant>
        <vt:i4>65548</vt:i4>
      </vt:variant>
      <vt:variant>
        <vt:i4>170</vt:i4>
      </vt:variant>
      <vt:variant>
        <vt:i4>0</vt:i4>
      </vt:variant>
      <vt:variant>
        <vt:i4>5</vt:i4>
      </vt:variant>
      <vt:variant>
        <vt:lpwstr/>
      </vt:variant>
      <vt:variant>
        <vt:lpwstr>OECDi</vt:lpwstr>
      </vt:variant>
      <vt:variant>
        <vt:i4>655377</vt:i4>
      </vt:variant>
      <vt:variant>
        <vt:i4>167</vt:i4>
      </vt:variant>
      <vt:variant>
        <vt:i4>0</vt:i4>
      </vt:variant>
      <vt:variant>
        <vt:i4>5</vt:i4>
      </vt:variant>
      <vt:variant>
        <vt:lpwstr/>
      </vt:variant>
      <vt:variant>
        <vt:lpwstr>core</vt:lpwstr>
      </vt:variant>
      <vt:variant>
        <vt:i4>1900547</vt:i4>
      </vt:variant>
      <vt:variant>
        <vt:i4>164</vt:i4>
      </vt:variant>
      <vt:variant>
        <vt:i4>0</vt:i4>
      </vt:variant>
      <vt:variant>
        <vt:i4>5</vt:i4>
      </vt:variant>
      <vt:variant>
        <vt:lpwstr/>
      </vt:variant>
      <vt:variant>
        <vt:lpwstr>Board</vt:lpwstr>
      </vt:variant>
      <vt:variant>
        <vt:i4>6553718</vt:i4>
      </vt:variant>
      <vt:variant>
        <vt:i4>161</vt:i4>
      </vt:variant>
      <vt:variant>
        <vt:i4>0</vt:i4>
      </vt:variant>
      <vt:variant>
        <vt:i4>5</vt:i4>
      </vt:variant>
      <vt:variant>
        <vt:lpwstr/>
      </vt:variant>
      <vt:variant>
        <vt:lpwstr>independent</vt:lpwstr>
      </vt:variant>
      <vt:variant>
        <vt:i4>7340157</vt:i4>
      </vt:variant>
      <vt:variant>
        <vt:i4>158</vt:i4>
      </vt:variant>
      <vt:variant>
        <vt:i4>0</vt:i4>
      </vt:variant>
      <vt:variant>
        <vt:i4>5</vt:i4>
      </vt:variant>
      <vt:variant>
        <vt:lpwstr/>
      </vt:variant>
      <vt:variant>
        <vt:lpwstr>secretariat</vt:lpwstr>
      </vt:variant>
      <vt:variant>
        <vt:i4>1048587</vt:i4>
      </vt:variant>
      <vt:variant>
        <vt:i4>155</vt:i4>
      </vt:variant>
      <vt:variant>
        <vt:i4>0</vt:i4>
      </vt:variant>
      <vt:variant>
        <vt:i4>5</vt:i4>
      </vt:variant>
      <vt:variant>
        <vt:lpwstr/>
      </vt:variant>
      <vt:variant>
        <vt:lpwstr>complaint</vt:lpwstr>
      </vt:variant>
      <vt:variant>
        <vt:i4>655380</vt:i4>
      </vt:variant>
      <vt:variant>
        <vt:i4>152</vt:i4>
      </vt:variant>
      <vt:variant>
        <vt:i4>0</vt:i4>
      </vt:variant>
      <vt:variant>
        <vt:i4>5</vt:i4>
      </vt:variant>
      <vt:variant>
        <vt:lpwstr/>
      </vt:variant>
      <vt:variant>
        <vt:lpwstr>national</vt:lpwstr>
      </vt:variant>
      <vt:variant>
        <vt:i4>65548</vt:i4>
      </vt:variant>
      <vt:variant>
        <vt:i4>149</vt:i4>
      </vt:variant>
      <vt:variant>
        <vt:i4>0</vt:i4>
      </vt:variant>
      <vt:variant>
        <vt:i4>5</vt:i4>
      </vt:variant>
      <vt:variant>
        <vt:lpwstr/>
      </vt:variant>
      <vt:variant>
        <vt:lpwstr>OECDG</vt:lpwstr>
      </vt:variant>
      <vt:variant>
        <vt:i4>7798882</vt:i4>
      </vt:variant>
      <vt:variant>
        <vt:i4>146</vt:i4>
      </vt:variant>
      <vt:variant>
        <vt:i4>0</vt:i4>
      </vt:variant>
      <vt:variant>
        <vt:i4>5</vt:i4>
      </vt:variant>
      <vt:variant>
        <vt:lpwstr/>
      </vt:variant>
      <vt:variant>
        <vt:lpwstr>enterprise</vt:lpwstr>
      </vt:variant>
      <vt:variant>
        <vt:i4>1900569</vt:i4>
      </vt:variant>
      <vt:variant>
        <vt:i4>143</vt:i4>
      </vt:variant>
      <vt:variant>
        <vt:i4>0</vt:i4>
      </vt:variant>
      <vt:variant>
        <vt:i4>5</vt:i4>
      </vt:variant>
      <vt:variant>
        <vt:lpwstr/>
      </vt:variant>
      <vt:variant>
        <vt:lpwstr>notifier</vt:lpwstr>
      </vt:variant>
      <vt:variant>
        <vt:i4>7471150</vt:i4>
      </vt:variant>
      <vt:variant>
        <vt:i4>140</vt:i4>
      </vt:variant>
      <vt:variant>
        <vt:i4>0</vt:i4>
      </vt:variant>
      <vt:variant>
        <vt:i4>5</vt:i4>
      </vt:variant>
      <vt:variant>
        <vt:lpwstr>https://doi.org/10.1787/81f92357-en</vt:lpwstr>
      </vt:variant>
      <vt:variant>
        <vt:lpwstr/>
      </vt:variant>
      <vt:variant>
        <vt:i4>1048630</vt:i4>
      </vt:variant>
      <vt:variant>
        <vt:i4>133</vt:i4>
      </vt:variant>
      <vt:variant>
        <vt:i4>0</vt:i4>
      </vt:variant>
      <vt:variant>
        <vt:i4>5</vt:i4>
      </vt:variant>
      <vt:variant>
        <vt:lpwstr/>
      </vt:variant>
      <vt:variant>
        <vt:lpwstr>_Toc163134747</vt:lpwstr>
      </vt:variant>
      <vt:variant>
        <vt:i4>1048630</vt:i4>
      </vt:variant>
      <vt:variant>
        <vt:i4>127</vt:i4>
      </vt:variant>
      <vt:variant>
        <vt:i4>0</vt:i4>
      </vt:variant>
      <vt:variant>
        <vt:i4>5</vt:i4>
      </vt:variant>
      <vt:variant>
        <vt:lpwstr/>
      </vt:variant>
      <vt:variant>
        <vt:lpwstr>_Toc163134746</vt:lpwstr>
      </vt:variant>
      <vt:variant>
        <vt:i4>1048630</vt:i4>
      </vt:variant>
      <vt:variant>
        <vt:i4>121</vt:i4>
      </vt:variant>
      <vt:variant>
        <vt:i4>0</vt:i4>
      </vt:variant>
      <vt:variant>
        <vt:i4>5</vt:i4>
      </vt:variant>
      <vt:variant>
        <vt:lpwstr/>
      </vt:variant>
      <vt:variant>
        <vt:lpwstr>_Toc163134745</vt:lpwstr>
      </vt:variant>
      <vt:variant>
        <vt:i4>1048630</vt:i4>
      </vt:variant>
      <vt:variant>
        <vt:i4>115</vt:i4>
      </vt:variant>
      <vt:variant>
        <vt:i4>0</vt:i4>
      </vt:variant>
      <vt:variant>
        <vt:i4>5</vt:i4>
      </vt:variant>
      <vt:variant>
        <vt:lpwstr/>
      </vt:variant>
      <vt:variant>
        <vt:lpwstr>_Toc163134744</vt:lpwstr>
      </vt:variant>
      <vt:variant>
        <vt:i4>1048630</vt:i4>
      </vt:variant>
      <vt:variant>
        <vt:i4>109</vt:i4>
      </vt:variant>
      <vt:variant>
        <vt:i4>0</vt:i4>
      </vt:variant>
      <vt:variant>
        <vt:i4>5</vt:i4>
      </vt:variant>
      <vt:variant>
        <vt:lpwstr/>
      </vt:variant>
      <vt:variant>
        <vt:lpwstr>_Toc163134743</vt:lpwstr>
      </vt:variant>
      <vt:variant>
        <vt:i4>1048630</vt:i4>
      </vt:variant>
      <vt:variant>
        <vt:i4>103</vt:i4>
      </vt:variant>
      <vt:variant>
        <vt:i4>0</vt:i4>
      </vt:variant>
      <vt:variant>
        <vt:i4>5</vt:i4>
      </vt:variant>
      <vt:variant>
        <vt:lpwstr/>
      </vt:variant>
      <vt:variant>
        <vt:lpwstr>_Toc163134742</vt:lpwstr>
      </vt:variant>
      <vt:variant>
        <vt:i4>1048630</vt:i4>
      </vt:variant>
      <vt:variant>
        <vt:i4>97</vt:i4>
      </vt:variant>
      <vt:variant>
        <vt:i4>0</vt:i4>
      </vt:variant>
      <vt:variant>
        <vt:i4>5</vt:i4>
      </vt:variant>
      <vt:variant>
        <vt:lpwstr/>
      </vt:variant>
      <vt:variant>
        <vt:lpwstr>_Toc163134741</vt:lpwstr>
      </vt:variant>
      <vt:variant>
        <vt:i4>1048630</vt:i4>
      </vt:variant>
      <vt:variant>
        <vt:i4>91</vt:i4>
      </vt:variant>
      <vt:variant>
        <vt:i4>0</vt:i4>
      </vt:variant>
      <vt:variant>
        <vt:i4>5</vt:i4>
      </vt:variant>
      <vt:variant>
        <vt:lpwstr/>
      </vt:variant>
      <vt:variant>
        <vt:lpwstr>_Toc163134740</vt:lpwstr>
      </vt:variant>
      <vt:variant>
        <vt:i4>1507382</vt:i4>
      </vt:variant>
      <vt:variant>
        <vt:i4>85</vt:i4>
      </vt:variant>
      <vt:variant>
        <vt:i4>0</vt:i4>
      </vt:variant>
      <vt:variant>
        <vt:i4>5</vt:i4>
      </vt:variant>
      <vt:variant>
        <vt:lpwstr/>
      </vt:variant>
      <vt:variant>
        <vt:lpwstr>_Toc163134739</vt:lpwstr>
      </vt:variant>
      <vt:variant>
        <vt:i4>1507382</vt:i4>
      </vt:variant>
      <vt:variant>
        <vt:i4>79</vt:i4>
      </vt:variant>
      <vt:variant>
        <vt:i4>0</vt:i4>
      </vt:variant>
      <vt:variant>
        <vt:i4>5</vt:i4>
      </vt:variant>
      <vt:variant>
        <vt:lpwstr/>
      </vt:variant>
      <vt:variant>
        <vt:lpwstr>_Toc163134738</vt:lpwstr>
      </vt:variant>
      <vt:variant>
        <vt:i4>1507382</vt:i4>
      </vt:variant>
      <vt:variant>
        <vt:i4>73</vt:i4>
      </vt:variant>
      <vt:variant>
        <vt:i4>0</vt:i4>
      </vt:variant>
      <vt:variant>
        <vt:i4>5</vt:i4>
      </vt:variant>
      <vt:variant>
        <vt:lpwstr/>
      </vt:variant>
      <vt:variant>
        <vt:lpwstr>_Toc163134737</vt:lpwstr>
      </vt:variant>
      <vt:variant>
        <vt:i4>1507382</vt:i4>
      </vt:variant>
      <vt:variant>
        <vt:i4>67</vt:i4>
      </vt:variant>
      <vt:variant>
        <vt:i4>0</vt:i4>
      </vt:variant>
      <vt:variant>
        <vt:i4>5</vt:i4>
      </vt:variant>
      <vt:variant>
        <vt:lpwstr/>
      </vt:variant>
      <vt:variant>
        <vt:lpwstr>_Toc163134736</vt:lpwstr>
      </vt:variant>
      <vt:variant>
        <vt:i4>1507382</vt:i4>
      </vt:variant>
      <vt:variant>
        <vt:i4>61</vt:i4>
      </vt:variant>
      <vt:variant>
        <vt:i4>0</vt:i4>
      </vt:variant>
      <vt:variant>
        <vt:i4>5</vt:i4>
      </vt:variant>
      <vt:variant>
        <vt:lpwstr/>
      </vt:variant>
      <vt:variant>
        <vt:lpwstr>_Toc163134735</vt:lpwstr>
      </vt:variant>
      <vt:variant>
        <vt:i4>1507382</vt:i4>
      </vt:variant>
      <vt:variant>
        <vt:i4>55</vt:i4>
      </vt:variant>
      <vt:variant>
        <vt:i4>0</vt:i4>
      </vt:variant>
      <vt:variant>
        <vt:i4>5</vt:i4>
      </vt:variant>
      <vt:variant>
        <vt:lpwstr/>
      </vt:variant>
      <vt:variant>
        <vt:lpwstr>_Toc163134734</vt:lpwstr>
      </vt:variant>
      <vt:variant>
        <vt:i4>1507382</vt:i4>
      </vt:variant>
      <vt:variant>
        <vt:i4>49</vt:i4>
      </vt:variant>
      <vt:variant>
        <vt:i4>0</vt:i4>
      </vt:variant>
      <vt:variant>
        <vt:i4>5</vt:i4>
      </vt:variant>
      <vt:variant>
        <vt:lpwstr/>
      </vt:variant>
      <vt:variant>
        <vt:lpwstr>_Toc163134733</vt:lpwstr>
      </vt:variant>
      <vt:variant>
        <vt:i4>1507382</vt:i4>
      </vt:variant>
      <vt:variant>
        <vt:i4>43</vt:i4>
      </vt:variant>
      <vt:variant>
        <vt:i4>0</vt:i4>
      </vt:variant>
      <vt:variant>
        <vt:i4>5</vt:i4>
      </vt:variant>
      <vt:variant>
        <vt:lpwstr/>
      </vt:variant>
      <vt:variant>
        <vt:lpwstr>_Toc163134732</vt:lpwstr>
      </vt:variant>
      <vt:variant>
        <vt:i4>1507382</vt:i4>
      </vt:variant>
      <vt:variant>
        <vt:i4>37</vt:i4>
      </vt:variant>
      <vt:variant>
        <vt:i4>0</vt:i4>
      </vt:variant>
      <vt:variant>
        <vt:i4>5</vt:i4>
      </vt:variant>
      <vt:variant>
        <vt:lpwstr/>
      </vt:variant>
      <vt:variant>
        <vt:lpwstr>_Toc163134731</vt:lpwstr>
      </vt:variant>
      <vt:variant>
        <vt:i4>1507382</vt:i4>
      </vt:variant>
      <vt:variant>
        <vt:i4>31</vt:i4>
      </vt:variant>
      <vt:variant>
        <vt:i4>0</vt:i4>
      </vt:variant>
      <vt:variant>
        <vt:i4>5</vt:i4>
      </vt:variant>
      <vt:variant>
        <vt:lpwstr/>
      </vt:variant>
      <vt:variant>
        <vt:lpwstr>_Toc163134730</vt:lpwstr>
      </vt:variant>
      <vt:variant>
        <vt:i4>1441846</vt:i4>
      </vt:variant>
      <vt:variant>
        <vt:i4>25</vt:i4>
      </vt:variant>
      <vt:variant>
        <vt:i4>0</vt:i4>
      </vt:variant>
      <vt:variant>
        <vt:i4>5</vt:i4>
      </vt:variant>
      <vt:variant>
        <vt:lpwstr/>
      </vt:variant>
      <vt:variant>
        <vt:lpwstr>_Toc163134729</vt:lpwstr>
      </vt:variant>
      <vt:variant>
        <vt:i4>4194379</vt:i4>
      </vt:variant>
      <vt:variant>
        <vt:i4>20</vt:i4>
      </vt:variant>
      <vt:variant>
        <vt:i4>0</vt:i4>
      </vt:variant>
      <vt:variant>
        <vt:i4>5</vt:i4>
      </vt:variant>
      <vt:variant>
        <vt:lpwstr>http://www.ausncp.gov.au/</vt:lpwstr>
      </vt:variant>
      <vt:variant>
        <vt:lpwstr/>
      </vt:variant>
      <vt:variant>
        <vt:i4>97</vt:i4>
      </vt:variant>
      <vt:variant>
        <vt:i4>17</vt:i4>
      </vt:variant>
      <vt:variant>
        <vt:i4>0</vt:i4>
      </vt:variant>
      <vt:variant>
        <vt:i4>5</vt:i4>
      </vt:variant>
      <vt:variant>
        <vt:lpwstr>mailto:secretariat@ausncp.gov.au</vt:lpwstr>
      </vt:variant>
      <vt:variant>
        <vt:lpwstr/>
      </vt:variant>
      <vt:variant>
        <vt:i4>105</vt:i4>
      </vt:variant>
      <vt:variant>
        <vt:i4>14</vt:i4>
      </vt:variant>
      <vt:variant>
        <vt:i4>0</vt:i4>
      </vt:variant>
      <vt:variant>
        <vt:i4>5</vt:i4>
      </vt:variant>
      <vt:variant>
        <vt:lpwstr>mailto:media@treasury.gov.au</vt:lpwstr>
      </vt:variant>
      <vt:variant>
        <vt:lpwstr/>
      </vt:variant>
      <vt:variant>
        <vt:i4>2818104</vt:i4>
      </vt:variant>
      <vt:variant>
        <vt:i4>11</vt:i4>
      </vt:variant>
      <vt:variant>
        <vt:i4>0</vt:i4>
      </vt:variant>
      <vt:variant>
        <vt:i4>5</vt:i4>
      </vt:variant>
      <vt:variant>
        <vt:lpwstr>http://www.pmc.gov.au/government/commonwealth-coat-arms</vt:lpwstr>
      </vt:variant>
      <vt:variant>
        <vt:lpwstr/>
      </vt:variant>
      <vt:variant>
        <vt:i4>5111827</vt:i4>
      </vt:variant>
      <vt:variant>
        <vt:i4>8</vt:i4>
      </vt:variant>
      <vt:variant>
        <vt:i4>0</vt:i4>
      </vt:variant>
      <vt:variant>
        <vt:i4>5</vt:i4>
      </vt:variant>
      <vt:variant>
        <vt:lpwstr>http://creativecommons.org/licenses/by/3.0/au/deed.en</vt:lpwstr>
      </vt:variant>
      <vt:variant>
        <vt:lpwstr/>
      </vt:variant>
      <vt:variant>
        <vt:i4>2687028</vt:i4>
      </vt:variant>
      <vt:variant>
        <vt:i4>5</vt:i4>
      </vt:variant>
      <vt:variant>
        <vt:i4>0</vt:i4>
      </vt:variant>
      <vt:variant>
        <vt:i4>5</vt:i4>
      </vt:variant>
      <vt:variant>
        <vt:lpwstr>http://creativecommons.org/licenses/by/3.0/au/legalcode</vt:lpwstr>
      </vt:variant>
      <vt:variant>
        <vt:lpwstr/>
      </vt:variant>
      <vt:variant>
        <vt:i4>5111827</vt:i4>
      </vt:variant>
      <vt:variant>
        <vt:i4>2</vt:i4>
      </vt:variant>
      <vt:variant>
        <vt:i4>0</vt:i4>
      </vt:variant>
      <vt:variant>
        <vt:i4>5</vt:i4>
      </vt:variant>
      <vt:variant>
        <vt:lpwstr>http://creativecommons.org/licenses/by/3.0/au/deed.en</vt:lpwstr>
      </vt:variant>
      <vt:variant>
        <vt:lpwstr/>
      </vt:variant>
      <vt:variant>
        <vt:i4>196635</vt:i4>
      </vt:variant>
      <vt:variant>
        <vt:i4>27</vt:i4>
      </vt:variant>
      <vt:variant>
        <vt:i4>0</vt:i4>
      </vt:variant>
      <vt:variant>
        <vt:i4>5</vt:i4>
      </vt:variant>
      <vt:variant>
        <vt:lpwstr>https://ausncp.gov.au/responsible-business-conduct/governance-and-advisory-board</vt:lpwstr>
      </vt:variant>
      <vt:variant>
        <vt:lpwstr/>
      </vt:variant>
      <vt:variant>
        <vt:i4>7995448</vt:i4>
      </vt:variant>
      <vt:variant>
        <vt:i4>24</vt:i4>
      </vt:variant>
      <vt:variant>
        <vt:i4>0</vt:i4>
      </vt:variant>
      <vt:variant>
        <vt:i4>5</vt:i4>
      </vt:variant>
      <vt:variant>
        <vt:lpwstr>https://www.oaic.gov.au/freedom-of-information/freedom-of-information-guidance-for-government-agencies/guidance-on-handling-a-freedom-of-information-request/legal-definitions-and-questions/exemptions-and-conditional-exemptions-under-the-freedom-of-information-act-1982</vt:lpwstr>
      </vt:variant>
      <vt:variant>
        <vt:lpwstr/>
      </vt:variant>
      <vt:variant>
        <vt:i4>2424875</vt:i4>
      </vt:variant>
      <vt:variant>
        <vt:i4>21</vt:i4>
      </vt:variant>
      <vt:variant>
        <vt:i4>0</vt:i4>
      </vt:variant>
      <vt:variant>
        <vt:i4>5</vt:i4>
      </vt:variant>
      <vt:variant>
        <vt:lpwstr>https://ausncp.gov.au/</vt:lpwstr>
      </vt:variant>
      <vt:variant>
        <vt:lpwstr/>
      </vt:variant>
      <vt:variant>
        <vt:i4>7471150</vt:i4>
      </vt:variant>
      <vt:variant>
        <vt:i4>18</vt:i4>
      </vt:variant>
      <vt:variant>
        <vt:i4>0</vt:i4>
      </vt:variant>
      <vt:variant>
        <vt:i4>5</vt:i4>
      </vt:variant>
      <vt:variant>
        <vt:lpwstr>https://doi.org/10.1787/81f92357-en</vt:lpwstr>
      </vt:variant>
      <vt:variant>
        <vt:lpwstr/>
      </vt:variant>
      <vt:variant>
        <vt:i4>7471150</vt:i4>
      </vt:variant>
      <vt:variant>
        <vt:i4>15</vt:i4>
      </vt:variant>
      <vt:variant>
        <vt:i4>0</vt:i4>
      </vt:variant>
      <vt:variant>
        <vt:i4>5</vt:i4>
      </vt:variant>
      <vt:variant>
        <vt:lpwstr>https://doi.org/10.1787/81f92357-en</vt:lpwstr>
      </vt:variant>
      <vt:variant>
        <vt:lpwstr/>
      </vt:variant>
      <vt:variant>
        <vt:i4>196636</vt:i4>
      </vt:variant>
      <vt:variant>
        <vt:i4>12</vt:i4>
      </vt:variant>
      <vt:variant>
        <vt:i4>0</vt:i4>
      </vt:variant>
      <vt:variant>
        <vt:i4>5</vt:i4>
      </vt:variant>
      <vt:variant>
        <vt:lpwstr>https://ausncp.gov.au/complaints/submit-complaint</vt:lpwstr>
      </vt:variant>
      <vt:variant>
        <vt:lpwstr/>
      </vt:variant>
      <vt:variant>
        <vt:i4>7667818</vt:i4>
      </vt:variant>
      <vt:variant>
        <vt:i4>9</vt:i4>
      </vt:variant>
      <vt:variant>
        <vt:i4>0</vt:i4>
      </vt:variant>
      <vt:variant>
        <vt:i4>5</vt:i4>
      </vt:variant>
      <vt:variant>
        <vt:lpwstr>https://www.oecd.org/investment/due-diligence-guidance-for-responsible-business-conduct.htm</vt:lpwstr>
      </vt:variant>
      <vt:variant>
        <vt:lpwstr/>
      </vt:variant>
      <vt:variant>
        <vt:i4>5701726</vt:i4>
      </vt:variant>
      <vt:variant>
        <vt:i4>6</vt:i4>
      </vt:variant>
      <vt:variant>
        <vt:i4>0</vt:i4>
      </vt:variant>
      <vt:variant>
        <vt:i4>5</vt:i4>
      </vt:variant>
      <vt:variant>
        <vt:lpwstr>https://mneguidelines.oecd.org/mneguidelines/</vt:lpwstr>
      </vt:variant>
      <vt:variant>
        <vt:lpwstr/>
      </vt:variant>
      <vt:variant>
        <vt:i4>589831</vt:i4>
      </vt:variant>
      <vt:variant>
        <vt:i4>3</vt:i4>
      </vt:variant>
      <vt:variant>
        <vt:i4>0</vt:i4>
      </vt:variant>
      <vt:variant>
        <vt:i4>5</vt:i4>
      </vt:variant>
      <vt:variant>
        <vt:lpwstr>https://legalinstruments.oecd.org/en/instruments/OECD-LEGAL-0144</vt:lpwstr>
      </vt:variant>
      <vt:variant>
        <vt:lpwstr/>
      </vt:variant>
      <vt:variant>
        <vt:i4>7471150</vt:i4>
      </vt:variant>
      <vt:variant>
        <vt:i4>0</vt:i4>
      </vt:variant>
      <vt:variant>
        <vt:i4>0</vt:i4>
      </vt:variant>
      <vt:variant>
        <vt:i4>5</vt:i4>
      </vt:variant>
      <vt:variant>
        <vt:lpwstr>https://doi.org/10.1787/81f92357-en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AusNCP complaint procedures</dc:title>
  <dc:subject>Version: 9 April 2024</dc:subject>
  <dc:creator>Australian National Contact Point for Responsible Business Conduct</dc:creator>
  <cp:keywords/>
  <dc:description/>
  <cp:lastModifiedBy>van der Hoeven, Megan</cp:lastModifiedBy>
  <cp:revision>3</cp:revision>
  <dcterms:created xsi:type="dcterms:W3CDTF">2024-04-09T01:41:00Z</dcterms:created>
  <dcterms:modified xsi:type="dcterms:W3CDTF">2024-04-09T01:44:00Z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0x0101004F0C5BFC395F13428669E7AAF9A38D8F</vt:lpwstr>
  </property>
  <property fmtid="{D5CDD505-2E9C-101B-9397-08002B2CF9AE}" pid="3" name="MSIP_Label_a26a63cb-9763-453c-8b18-d473b0fc95f9_Enabled">
    <vt:lpwstr>true</vt:lpwstr>
  </property>
  <property fmtid="{D5CDD505-2E9C-101B-9397-08002B2CF9AE}" pid="4" name="MSIP_Label_a26a63cb-9763-453c-8b18-d473b0fc95f9_SetDate">
    <vt:lpwstr>2024-04-09T01:35:19Z</vt:lpwstr>
  </property>
  <property fmtid="{D5CDD505-2E9C-101B-9397-08002B2CF9AE}" pid="5" name="MSIP_Label_a26a63cb-9763-453c-8b18-d473b0fc95f9_Method">
    <vt:lpwstr>Privileged</vt:lpwstr>
  </property>
  <property fmtid="{D5CDD505-2E9C-101B-9397-08002B2CF9AE}" pid="6" name="MSIP_Label_a26a63cb-9763-453c-8b18-d473b0fc95f9_Name">
    <vt:lpwstr>OFFICIAL No Visual Marking</vt:lpwstr>
  </property>
  <property fmtid="{D5CDD505-2E9C-101B-9397-08002B2CF9AE}" pid="7" name="MSIP_Label_a26a63cb-9763-453c-8b18-d473b0fc95f9_SiteId">
    <vt:lpwstr>214f1646-2021-47cc-8397-e3d3a7ba7d9d</vt:lpwstr>
  </property>
  <property fmtid="{D5CDD505-2E9C-101B-9397-08002B2CF9AE}" pid="8" name="MSIP_Label_a26a63cb-9763-453c-8b18-d473b0fc95f9_ActionId">
    <vt:lpwstr>e90a3c22-2ea7-4450-82c3-43411d0ba72c</vt:lpwstr>
  </property>
  <property fmtid="{D5CDD505-2E9C-101B-9397-08002B2CF9AE}" pid="9" name="MSIP_Label_a26a63cb-9763-453c-8b18-d473b0fc95f9_ContentBits">
    <vt:lpwstr>0</vt:lpwstr>
  </property>
</Properties>
</file>