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0A968" w14:textId="02C50244" w:rsidR="00A57280" w:rsidRDefault="00DA708E">
      <w:pPr>
        <w:pStyle w:val="ListParagraph"/>
        <w:tabs>
          <w:tab w:val="left" w:pos="4200"/>
        </w:tabs>
      </w:pPr>
      <w:bookmarkStart w:id="0" w:name="_Hlk145600332"/>
      <w:bookmarkStart w:id="1" w:name="_Hlk136706195"/>
      <w:r>
        <w:rPr>
          <w:noProof/>
        </w:rPr>
        <w:drawing>
          <wp:anchor distT="0" distB="0" distL="114300" distR="114300" simplePos="0" relativeHeight="251659264" behindDoc="1" locked="0" layoutInCell="1" allowOverlap="1" wp14:anchorId="1576060B" wp14:editId="1EA2DEC0">
            <wp:simplePos x="0" y="0"/>
            <wp:positionH relativeFrom="page">
              <wp:posOffset>-6350</wp:posOffset>
            </wp:positionH>
            <wp:positionV relativeFrom="page">
              <wp:posOffset>-11430</wp:posOffset>
            </wp:positionV>
            <wp:extent cx="7570799" cy="10709019"/>
            <wp:effectExtent l="0" t="0" r="0" b="0"/>
            <wp:wrapNone/>
            <wp:docPr id="4" name="Picture 4" descr="Australian Government The Treasury AusNCP Australian National Contact Point for Responsible Business Con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The Treasury AusNCP Australian National Contact Point for Responsible Business Conduc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0799" cy="10709019"/>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Start w:id="2" w:name="_Ref146538908" w:displacedByCustomXml="next"/>
    <w:bookmarkEnd w:id="2" w:displacedByCustomXml="next"/>
    <w:sdt>
      <w:sdtPr>
        <w:id w:val="-1442289537"/>
        <w:docPartObj>
          <w:docPartGallery w:val="Cover Pages"/>
          <w:docPartUnique/>
        </w:docPartObj>
      </w:sdtPr>
      <w:sdtEndPr/>
      <w:sdtContent>
        <w:p w14:paraId="7FFFD092" w14:textId="435DDBC6" w:rsidR="00A57280" w:rsidRPr="00104D3B" w:rsidRDefault="00A57280">
          <w:pPr>
            <w:pStyle w:val="ListParagraph"/>
            <w:tabs>
              <w:tab w:val="left" w:pos="4200"/>
            </w:tabs>
          </w:pPr>
          <w:r w:rsidRPr="00104D3B">
            <w:rPr>
              <w:noProof/>
            </w:rPr>
            <w:t xml:space="preserve"> </w:t>
          </w:r>
        </w:p>
        <w:p w14:paraId="13F1706C" w14:textId="77777777" w:rsidR="00A57280" w:rsidRPr="00104D3B" w:rsidRDefault="00A57280">
          <w:pPr>
            <w:pStyle w:val="Header"/>
            <w:spacing w:after="1200"/>
          </w:pPr>
        </w:p>
        <w:p w14:paraId="32316E94" w14:textId="77777777" w:rsidR="007838F5" w:rsidRPr="00104D3B" w:rsidRDefault="007838F5">
          <w:pPr>
            <w:pStyle w:val="Title"/>
            <w:tabs>
              <w:tab w:val="left" w:pos="6379"/>
            </w:tabs>
            <w:spacing w:after="120" w:line="720" w:lineRule="exact"/>
            <w:ind w:right="1982"/>
          </w:pPr>
        </w:p>
        <w:p w14:paraId="30728A9E" w14:textId="5F4B3A48" w:rsidR="00A57280" w:rsidRPr="00965567" w:rsidRDefault="00A57280">
          <w:pPr>
            <w:pStyle w:val="Title"/>
            <w:tabs>
              <w:tab w:val="left" w:pos="6379"/>
            </w:tabs>
            <w:spacing w:after="120" w:line="720" w:lineRule="exact"/>
            <w:ind w:right="1982"/>
            <w:rPr>
              <w:color w:val="2C384A"/>
            </w:rPr>
          </w:pPr>
          <w:r w:rsidRPr="00965567">
            <w:rPr>
              <w:color w:val="2C384A"/>
            </w:rPr>
            <w:t>F</w:t>
          </w:r>
          <w:r w:rsidR="002F6BE1" w:rsidRPr="00965567">
            <w:rPr>
              <w:color w:val="2C384A"/>
            </w:rPr>
            <w:t>ollow Up</w:t>
          </w:r>
          <w:r w:rsidRPr="00965567">
            <w:rPr>
              <w:color w:val="2C384A"/>
            </w:rPr>
            <w:t xml:space="preserve"> Statement</w:t>
          </w:r>
        </w:p>
        <w:p w14:paraId="353CAFC2" w14:textId="77777777" w:rsidR="00A57280" w:rsidRPr="00104D3B" w:rsidRDefault="00A57280">
          <w:pPr>
            <w:pStyle w:val="Subtitle"/>
            <w:spacing w:after="360"/>
            <w:rPr>
              <w:color w:val="8EAADB" w:themeColor="accent1" w:themeTint="99"/>
            </w:rPr>
          </w:pPr>
        </w:p>
        <w:p w14:paraId="742F6F94" w14:textId="77777777" w:rsidR="00A57280" w:rsidRPr="00965567" w:rsidRDefault="00A57280">
          <w:pPr>
            <w:pStyle w:val="Subtitle"/>
            <w:spacing w:after="360"/>
            <w:rPr>
              <w:color w:val="5D779D"/>
              <w:sz w:val="32"/>
              <w:szCs w:val="32"/>
            </w:rPr>
          </w:pPr>
          <w:bookmarkStart w:id="3" w:name="_Hlk124326396"/>
          <w:r w:rsidRPr="00965567">
            <w:rPr>
              <w:color w:val="5D779D"/>
              <w:sz w:val="32"/>
              <w:szCs w:val="32"/>
            </w:rPr>
            <w:t xml:space="preserve">Complaint submitted by </w:t>
          </w:r>
        </w:p>
        <w:p w14:paraId="3DBB359A" w14:textId="160D0FBE" w:rsidR="00A57280" w:rsidRPr="00965567" w:rsidRDefault="00A57280">
          <w:pPr>
            <w:pStyle w:val="Subtitle"/>
            <w:spacing w:after="360"/>
            <w:rPr>
              <w:color w:val="5D779D"/>
              <w:sz w:val="32"/>
              <w:szCs w:val="32"/>
            </w:rPr>
          </w:pPr>
          <w:r w:rsidRPr="00965567">
            <w:rPr>
              <w:color w:val="5D779D"/>
              <w:sz w:val="32"/>
              <w:szCs w:val="32"/>
            </w:rPr>
            <w:t>Project Sepik and</w:t>
          </w:r>
          <w:r w:rsidR="006D02DC" w:rsidRPr="00965567">
            <w:rPr>
              <w:color w:val="5D779D"/>
              <w:sz w:val="32"/>
              <w:szCs w:val="32"/>
            </w:rPr>
            <w:t xml:space="preserve"> the</w:t>
          </w:r>
          <w:r w:rsidRPr="00965567">
            <w:rPr>
              <w:color w:val="5D779D"/>
              <w:sz w:val="32"/>
              <w:szCs w:val="32"/>
            </w:rPr>
            <w:t xml:space="preserve"> Jubilee Australia Research Centre on behalf of Sepik River communities</w:t>
          </w:r>
          <w:r w:rsidR="006D02DC" w:rsidRPr="00965567">
            <w:rPr>
              <w:color w:val="5D779D"/>
              <w:sz w:val="32"/>
              <w:szCs w:val="32"/>
            </w:rPr>
            <w:t xml:space="preserve">, concerning </w:t>
          </w:r>
          <w:proofErr w:type="spellStart"/>
          <w:r w:rsidRPr="00965567">
            <w:rPr>
              <w:color w:val="5D779D"/>
              <w:sz w:val="32"/>
              <w:szCs w:val="32"/>
            </w:rPr>
            <w:t>PanAust</w:t>
          </w:r>
          <w:proofErr w:type="spellEnd"/>
          <w:r w:rsidRPr="00965567">
            <w:rPr>
              <w:color w:val="5D779D"/>
              <w:sz w:val="32"/>
              <w:szCs w:val="32"/>
            </w:rPr>
            <w:t xml:space="preserve"> Limited</w:t>
          </w:r>
        </w:p>
        <w:bookmarkEnd w:id="3"/>
        <w:p w14:paraId="52042B56" w14:textId="20EB9B6D" w:rsidR="00A57280" w:rsidRPr="00965567" w:rsidRDefault="006F3EDB">
          <w:pPr>
            <w:pStyle w:val="Subtitle"/>
            <w:spacing w:after="360"/>
            <w:rPr>
              <w:color w:val="5D779D"/>
              <w:sz w:val="32"/>
              <w:szCs w:val="32"/>
            </w:rPr>
          </w:pPr>
          <w:r w:rsidRPr="00965567">
            <w:rPr>
              <w:color w:val="5D779D"/>
              <w:sz w:val="32"/>
              <w:szCs w:val="32"/>
            </w:rPr>
            <w:t>22</w:t>
          </w:r>
          <w:r w:rsidR="00D9737B" w:rsidRPr="00965567">
            <w:rPr>
              <w:color w:val="5D779D"/>
              <w:sz w:val="32"/>
              <w:szCs w:val="32"/>
            </w:rPr>
            <w:t xml:space="preserve"> December</w:t>
          </w:r>
          <w:r w:rsidR="002F6BE1" w:rsidRPr="00965567">
            <w:rPr>
              <w:color w:val="5D779D"/>
              <w:sz w:val="32"/>
              <w:szCs w:val="32"/>
            </w:rPr>
            <w:t xml:space="preserve"> 2025 </w:t>
          </w:r>
        </w:p>
        <w:p w14:paraId="04FF6CA5" w14:textId="77777777" w:rsidR="00A57280" w:rsidRPr="00104D3B" w:rsidRDefault="00A57280">
          <w:pPr>
            <w:pStyle w:val="Disclaimer"/>
            <w:rPr>
              <w:lang w:val="en-US"/>
            </w:rPr>
          </w:pPr>
        </w:p>
        <w:p w14:paraId="55F7A6B8" w14:textId="77777777" w:rsidR="00A57280" w:rsidRPr="00104D3B" w:rsidRDefault="00A57280">
          <w:pPr>
            <w:pStyle w:val="Disclaimer"/>
            <w:rPr>
              <w:lang w:val="en-US"/>
            </w:rPr>
          </w:pPr>
        </w:p>
        <w:p w14:paraId="18C3C434" w14:textId="77777777" w:rsidR="00A57280" w:rsidRPr="00104D3B" w:rsidRDefault="00A57280">
          <w:pPr>
            <w:pStyle w:val="Disclaimer"/>
            <w:rPr>
              <w:lang w:val="en-US"/>
            </w:rPr>
          </w:pPr>
        </w:p>
        <w:p w14:paraId="294AACD3" w14:textId="77777777" w:rsidR="00A57280" w:rsidRPr="00104D3B" w:rsidRDefault="00A57280">
          <w:pPr>
            <w:pStyle w:val="Disclaimer"/>
            <w:rPr>
              <w:lang w:val="en-US"/>
            </w:rPr>
          </w:pPr>
        </w:p>
        <w:p w14:paraId="30D4DB64" w14:textId="77777777" w:rsidR="00A57280" w:rsidRPr="00104D3B" w:rsidRDefault="00A57280">
          <w:pPr>
            <w:pStyle w:val="Disclaimer"/>
            <w:rPr>
              <w:lang w:val="en-US"/>
            </w:rPr>
          </w:pPr>
        </w:p>
        <w:p w14:paraId="70F162C4" w14:textId="77777777" w:rsidR="00A57280" w:rsidRPr="00104D3B" w:rsidRDefault="00A57280">
          <w:pPr>
            <w:pStyle w:val="Disclaimer"/>
            <w:rPr>
              <w:lang w:val="en-US"/>
            </w:rPr>
          </w:pPr>
        </w:p>
        <w:p w14:paraId="7766F86E" w14:textId="77777777" w:rsidR="00A57280" w:rsidRPr="00104D3B" w:rsidRDefault="00A57280">
          <w:pPr>
            <w:pStyle w:val="Disclaimer"/>
            <w:rPr>
              <w:lang w:val="en-US"/>
            </w:rPr>
          </w:pPr>
        </w:p>
        <w:p w14:paraId="44557E49" w14:textId="77777777" w:rsidR="00A57280" w:rsidRPr="00104D3B" w:rsidRDefault="00A57280">
          <w:pPr>
            <w:pStyle w:val="Disclaimer"/>
            <w:rPr>
              <w:lang w:val="en-US"/>
            </w:rPr>
          </w:pPr>
        </w:p>
        <w:p w14:paraId="572A69FC" w14:textId="77777777" w:rsidR="00DC7139" w:rsidRDefault="00DC7139">
          <w:pPr>
            <w:pStyle w:val="Disclaimer"/>
            <w:rPr>
              <w:lang w:val="en-US"/>
            </w:rPr>
          </w:pPr>
          <w:bookmarkStart w:id="4" w:name="_Hlk124933257"/>
        </w:p>
        <w:p w14:paraId="5108C33E" w14:textId="77777777" w:rsidR="00DC7139" w:rsidRDefault="00DC7139">
          <w:pPr>
            <w:pStyle w:val="Disclaimer"/>
            <w:rPr>
              <w:lang w:val="en-US"/>
            </w:rPr>
          </w:pPr>
        </w:p>
        <w:p w14:paraId="3271D6CB" w14:textId="77777777" w:rsidR="00DC7139" w:rsidRDefault="00DC7139">
          <w:pPr>
            <w:pStyle w:val="Disclaimer"/>
            <w:rPr>
              <w:lang w:val="en-US"/>
            </w:rPr>
          </w:pPr>
        </w:p>
        <w:p w14:paraId="0E39C891" w14:textId="77777777" w:rsidR="00DC7139" w:rsidRDefault="00DC7139">
          <w:pPr>
            <w:pStyle w:val="Disclaimer"/>
            <w:rPr>
              <w:lang w:val="en-US"/>
            </w:rPr>
          </w:pPr>
        </w:p>
        <w:p w14:paraId="762854D1" w14:textId="77777777" w:rsidR="00DC7139" w:rsidRDefault="00DC7139">
          <w:pPr>
            <w:pStyle w:val="Disclaimer"/>
            <w:rPr>
              <w:lang w:val="en-US"/>
            </w:rPr>
          </w:pPr>
        </w:p>
        <w:p w14:paraId="7882CE31" w14:textId="77777777" w:rsidR="00DC7139" w:rsidRDefault="00DC7139">
          <w:pPr>
            <w:pStyle w:val="Disclaimer"/>
            <w:rPr>
              <w:lang w:val="en-US"/>
            </w:rPr>
          </w:pPr>
        </w:p>
        <w:p w14:paraId="1EDA86C5" w14:textId="7CFC5CD8" w:rsidR="00A57280" w:rsidRPr="00104D3B" w:rsidRDefault="00A57280">
          <w:pPr>
            <w:pStyle w:val="Disclaimer"/>
            <w:rPr>
              <w:lang w:val="en-US"/>
            </w:rPr>
          </w:pPr>
          <w:r w:rsidRPr="00104D3B">
            <w:rPr>
              <w:lang w:val="en-US"/>
            </w:rPr>
            <w:t>Disclaimer</w:t>
          </w:r>
        </w:p>
        <w:p w14:paraId="4070FBA6" w14:textId="77777777" w:rsidR="00A57280" w:rsidRPr="00104D3B" w:rsidRDefault="00A57280">
          <w:pPr>
            <w:pStyle w:val="Disclaimer"/>
          </w:pPr>
          <w:r w:rsidRPr="00104D3B">
            <w:rPr>
              <w:lang w:val="en-US"/>
            </w:rPr>
            <w:t xml:space="preserve">The information contained within this document is intended to inform the reader of the general processes and undertakings arising from a specific instance complaint raised with the Australian National Contact Point for Responsible Business Conduct. It is made available on the understanding that the Australian Treasury, </w:t>
          </w:r>
          <w:proofErr w:type="gramStart"/>
          <w:r w:rsidRPr="00104D3B">
            <w:rPr>
              <w:lang w:val="en-US"/>
            </w:rPr>
            <w:t>as a result of</w:t>
          </w:r>
          <w:proofErr w:type="gramEnd"/>
          <w:r w:rsidRPr="00104D3B">
            <w:rPr>
              <w:lang w:val="en-US"/>
            </w:rPr>
            <w:t xml:space="preserve"> providing this information, is not engaged in providing professional or legal advice, nor does it accept any responsibility for the accuracy or completeness of any material contained herein. Readers should exercise their own judgement with respect to interpretation. This material includes the views of third parties, which do not necessarily reflect the views of the Commonwealth, or indicate its commitment to a particular course of action. Links to other websites and listings of other people or organisations are included for convenience and do not constitute endorsement of those sites, products or services. The Commonwealth Government respects the privacy of personal and commercially sensitive information provided by parties, as per the requirements of the </w:t>
          </w:r>
          <w:r w:rsidRPr="003723EF">
            <w:rPr>
              <w:i/>
              <w:iCs/>
              <w:lang w:val="en-US"/>
            </w:rPr>
            <w:t>Privacy Act 1988</w:t>
          </w:r>
          <w:r w:rsidRPr="00104D3B">
            <w:rPr>
              <w:lang w:val="en-US"/>
            </w:rPr>
            <w:t xml:space="preserve"> and the </w:t>
          </w:r>
          <w:r w:rsidRPr="003723EF">
            <w:rPr>
              <w:i/>
              <w:iCs/>
              <w:lang w:val="en-US"/>
            </w:rPr>
            <w:t>Freedom of Information Act 1982</w:t>
          </w:r>
          <w:r w:rsidRPr="00104D3B">
            <w:rPr>
              <w:lang w:val="en-US"/>
            </w:rPr>
            <w:t>.</w:t>
          </w:r>
        </w:p>
        <w:p w14:paraId="4972DF1A" w14:textId="77777777" w:rsidR="00A57280" w:rsidRPr="00104D3B" w:rsidRDefault="000E34B6">
          <w:pPr>
            <w:spacing w:before="0" w:after="160" w:line="259" w:lineRule="auto"/>
          </w:pPr>
        </w:p>
      </w:sdtContent>
    </w:sdt>
    <w:bookmarkEnd w:id="4" w:displacedByCustomXml="prev"/>
    <w:p w14:paraId="56E5D371" w14:textId="77777777" w:rsidR="00A57280" w:rsidRPr="00104D3B" w:rsidRDefault="00A57280">
      <w:pPr>
        <w:spacing w:before="0" w:after="160" w:line="259" w:lineRule="auto"/>
      </w:pPr>
    </w:p>
    <w:p w14:paraId="4E631C67" w14:textId="77777777" w:rsidR="00DC7139" w:rsidRDefault="00DC7139">
      <w:pPr>
        <w:spacing w:before="0" w:after="0"/>
      </w:pPr>
      <w:r>
        <w:br w:type="page"/>
      </w:r>
    </w:p>
    <w:p w14:paraId="49ED7E93" w14:textId="0B621F9A" w:rsidR="00A57280" w:rsidRPr="00104D3B" w:rsidRDefault="00A57280">
      <w:pPr>
        <w:spacing w:before="0" w:after="160" w:line="259" w:lineRule="auto"/>
      </w:pPr>
      <w:r w:rsidRPr="00104D3B">
        <w:lastRenderedPageBreak/>
        <w:t>© Commonwealth of Australia 202</w:t>
      </w:r>
      <w:r w:rsidR="00FB5A2C">
        <w:t>5</w:t>
      </w:r>
    </w:p>
    <w:p w14:paraId="371DB627" w14:textId="77777777" w:rsidR="00A57280" w:rsidRPr="00104D3B" w:rsidRDefault="00A57280">
      <w:pPr>
        <w:tabs>
          <w:tab w:val="left" w:pos="1650"/>
        </w:tabs>
        <w:spacing w:before="240"/>
        <w:rPr>
          <w:rFonts w:cstheme="minorBidi"/>
          <w:sz w:val="24"/>
          <w:szCs w:val="24"/>
        </w:rPr>
      </w:pPr>
      <w:r w:rsidRPr="00104D3B">
        <w:t>This publication is available for your use under a</w:t>
      </w:r>
      <w:r w:rsidRPr="00104D3B">
        <w:rPr>
          <w:rFonts w:cstheme="minorHAnsi"/>
          <w:sz w:val="24"/>
          <w:szCs w:val="24"/>
        </w:rPr>
        <w:t xml:space="preserve"> </w:t>
      </w:r>
      <w:r w:rsidRPr="00104D3B">
        <w:t>Creative Commons Attribution 3.0 Australia</w:t>
      </w:r>
      <w:r w:rsidRPr="00104D3B">
        <w:rPr>
          <w:rFonts w:cstheme="minorHAnsi"/>
          <w:sz w:val="24"/>
          <w:szCs w:val="24"/>
        </w:rPr>
        <w:t xml:space="preserve"> </w:t>
      </w:r>
      <w:r w:rsidRPr="00104D3B">
        <w:t xml:space="preserve">licence, </w:t>
      </w:r>
      <w:proofErr w:type="gramStart"/>
      <w:r w:rsidRPr="00104D3B">
        <w:t>with the exception of</w:t>
      </w:r>
      <w:proofErr w:type="gramEnd"/>
      <w:r w:rsidRPr="00104D3B">
        <w:t xml:space="preserve"> the Commonwealth Coat of Arms, the Treasury logo, photographs, images, signatures and where otherwise stated. The full licence terms are available from</w:t>
      </w:r>
      <w:r w:rsidRPr="00104D3B">
        <w:rPr>
          <w:rFonts w:cstheme="minorHAnsi"/>
          <w:sz w:val="24"/>
          <w:szCs w:val="24"/>
        </w:rPr>
        <w:t xml:space="preserve"> </w:t>
      </w:r>
      <w:r w:rsidRPr="00104D3B">
        <w:t>http://creativecommons.org/licenses/by/3.0/au/legalcode</w:t>
      </w:r>
      <w:r w:rsidRPr="00104D3B">
        <w:rPr>
          <w:rStyle w:val="Hyperlink"/>
        </w:rPr>
        <w:t>.</w:t>
      </w:r>
      <w:r w:rsidRPr="00104D3B">
        <w:rPr>
          <w:sz w:val="24"/>
          <w:szCs w:val="24"/>
        </w:rPr>
        <w:t xml:space="preserve"> </w:t>
      </w:r>
    </w:p>
    <w:p w14:paraId="09E1CD77" w14:textId="77777777" w:rsidR="00A57280" w:rsidRPr="00104D3B" w:rsidRDefault="00A57280">
      <w:pPr>
        <w:pStyle w:val="ChartGraphic"/>
        <w:jc w:val="left"/>
      </w:pPr>
      <w:r w:rsidRPr="00104D3B">
        <w:rPr>
          <w:noProof/>
        </w:rPr>
        <w:drawing>
          <wp:inline distT="0" distB="0" distL="0" distR="0" wp14:anchorId="37A2DEFD" wp14:editId="7E516F4A">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3693F2CC" w14:textId="77777777" w:rsidR="00A57280" w:rsidRPr="00104D3B" w:rsidRDefault="00A57280">
      <w:pPr>
        <w:tabs>
          <w:tab w:val="left" w:pos="1650"/>
        </w:tabs>
        <w:spacing w:before="240"/>
      </w:pPr>
      <w:r w:rsidRPr="00104D3B">
        <w:t>Use of Treasury material under a</w:t>
      </w:r>
      <w:r w:rsidRPr="00104D3B">
        <w:rPr>
          <w:rFonts w:cstheme="minorHAnsi"/>
          <w:sz w:val="24"/>
          <w:szCs w:val="24"/>
        </w:rPr>
        <w:t xml:space="preserve"> </w:t>
      </w:r>
      <w:r w:rsidRPr="00104D3B">
        <w:t>Creative Commons Attribution 3.0 Australia licence requires you to attribute the work (but not in any way that suggests that the Treasury endorses you or your use of the work).</w:t>
      </w:r>
    </w:p>
    <w:p w14:paraId="64D64829" w14:textId="77777777" w:rsidR="00A57280" w:rsidRPr="00104D3B" w:rsidRDefault="00A57280">
      <w:pPr>
        <w:spacing w:before="240"/>
        <w:rPr>
          <w:b/>
        </w:rPr>
      </w:pPr>
      <w:r w:rsidRPr="00104D3B">
        <w:rPr>
          <w:b/>
        </w:rPr>
        <w:t>Treasury material used ‘as supplied’</w:t>
      </w:r>
    </w:p>
    <w:p w14:paraId="0B9B34C0" w14:textId="77777777" w:rsidR="00A57280" w:rsidRPr="00104D3B" w:rsidRDefault="00A57280">
      <w:r w:rsidRPr="00104D3B">
        <w:t xml:space="preserve">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 </w:t>
      </w:r>
    </w:p>
    <w:p w14:paraId="5C4353C9" w14:textId="77777777" w:rsidR="00A57280" w:rsidRPr="00104D3B" w:rsidRDefault="00A57280">
      <w:pPr>
        <w:ind w:firstLine="720"/>
      </w:pPr>
      <w:r w:rsidRPr="00104D3B">
        <w:rPr>
          <w:i/>
        </w:rPr>
        <w:t xml:space="preserve">Source: The </w:t>
      </w:r>
      <w:r w:rsidRPr="00104D3B">
        <w:rPr>
          <w:i/>
          <w:iCs/>
        </w:rPr>
        <w:t>Australian Government the Treasury</w:t>
      </w:r>
    </w:p>
    <w:p w14:paraId="1DF21C0A" w14:textId="77777777" w:rsidR="00A57280" w:rsidRPr="00104D3B" w:rsidRDefault="00A57280">
      <w:pPr>
        <w:spacing w:before="240"/>
      </w:pPr>
      <w:r w:rsidRPr="00104D3B">
        <w:rPr>
          <w:b/>
        </w:rPr>
        <w:t>Derivative</w:t>
      </w:r>
      <w:r w:rsidRPr="00104D3B">
        <w:t xml:space="preserve"> </w:t>
      </w:r>
      <w:r w:rsidRPr="00104D3B">
        <w:rPr>
          <w:b/>
        </w:rPr>
        <w:t>material</w:t>
      </w:r>
    </w:p>
    <w:p w14:paraId="6C2A7330" w14:textId="77777777" w:rsidR="00A57280" w:rsidRPr="00104D3B" w:rsidRDefault="00A57280">
      <w:r w:rsidRPr="00104D3B">
        <w:t xml:space="preserve">If you have modified or transformed Treasury material, or derived new material from those of the Treasury in any way, then Treasury prefers the following attribution: </w:t>
      </w:r>
    </w:p>
    <w:p w14:paraId="3391E42F" w14:textId="77777777" w:rsidR="00A57280" w:rsidRPr="00104D3B" w:rsidRDefault="00A57280">
      <w:pPr>
        <w:ind w:firstLine="720"/>
      </w:pPr>
      <w:r w:rsidRPr="00104D3B">
        <w:rPr>
          <w:i/>
        </w:rPr>
        <w:t>Based on The Australian Government the Treasury data</w:t>
      </w:r>
      <w:r w:rsidRPr="00104D3B">
        <w:t xml:space="preserve"> </w:t>
      </w:r>
    </w:p>
    <w:p w14:paraId="7EEBC0B4" w14:textId="77777777" w:rsidR="00A57280" w:rsidRPr="00104D3B" w:rsidRDefault="00A57280">
      <w:pPr>
        <w:spacing w:before="240"/>
        <w:rPr>
          <w:b/>
        </w:rPr>
      </w:pPr>
      <w:r w:rsidRPr="00104D3B">
        <w:rPr>
          <w:b/>
        </w:rPr>
        <w:t>Use of the Coat of Arms</w:t>
      </w:r>
    </w:p>
    <w:p w14:paraId="354CAD3B" w14:textId="77777777" w:rsidR="00A57280" w:rsidRPr="00104D3B" w:rsidRDefault="00A57280">
      <w:pPr>
        <w:spacing w:before="240"/>
      </w:pPr>
      <w:r w:rsidRPr="00104D3B">
        <w:t>The terms under which the Coat of Arms can be used are set out on the Department of the Prime Minister and Cabinet website (see www.pmc.gov.au/government/commonwealth-coat-arms).</w:t>
      </w:r>
    </w:p>
    <w:p w14:paraId="599E8361" w14:textId="77777777" w:rsidR="00A57280" w:rsidRPr="00104D3B" w:rsidRDefault="00A57280">
      <w:pPr>
        <w:spacing w:before="240"/>
        <w:rPr>
          <w:b/>
        </w:rPr>
      </w:pPr>
      <w:r w:rsidRPr="00104D3B">
        <w:rPr>
          <w:b/>
        </w:rPr>
        <w:t>Other uses</w:t>
      </w:r>
    </w:p>
    <w:p w14:paraId="3122FD00" w14:textId="77777777" w:rsidR="00A57280" w:rsidRPr="00104D3B" w:rsidRDefault="00A57280">
      <w:r w:rsidRPr="00104D3B">
        <w:t>Enquiries regarding this licence and any other use of this document are welcome at:</w:t>
      </w:r>
    </w:p>
    <w:p w14:paraId="2650BDE5" w14:textId="60A5DBE0" w:rsidR="00A57280" w:rsidRPr="00104D3B" w:rsidRDefault="00A57280">
      <w:pPr>
        <w:ind w:left="720"/>
        <w:rPr>
          <w:rStyle w:val="Hyperlink"/>
        </w:rPr>
      </w:pPr>
      <w:r w:rsidRPr="00104D3B">
        <w:t>Manager</w:t>
      </w:r>
      <w:r w:rsidRPr="00104D3B">
        <w:br/>
        <w:t>Media Unit</w:t>
      </w:r>
      <w:r w:rsidRPr="00104D3B">
        <w:br/>
        <w:t>The Treasury</w:t>
      </w:r>
      <w:r w:rsidRPr="00104D3B">
        <w:br/>
        <w:t xml:space="preserve">Langton Crescent </w:t>
      </w:r>
      <w:r w:rsidRPr="00104D3B">
        <w:br/>
        <w:t>Parkes ACT 2600</w:t>
      </w:r>
      <w:r w:rsidRPr="00104D3B">
        <w:br/>
        <w:t>Email: media@treasury.gov.au</w:t>
      </w:r>
    </w:p>
    <w:p w14:paraId="0291CC51" w14:textId="77777777" w:rsidR="00A57280" w:rsidRPr="00104D3B" w:rsidRDefault="00A57280">
      <w:pPr>
        <w:pStyle w:val="Heading1"/>
        <w:sectPr w:rsidR="00A57280" w:rsidRPr="00104D3B" w:rsidSect="000A3C6A">
          <w:footerReference w:type="default" r:id="rId9"/>
          <w:pgSz w:w="11906" w:h="16838" w:code="9"/>
          <w:pgMar w:top="1134" w:right="1134" w:bottom="1134" w:left="1134" w:header="709" w:footer="709" w:gutter="0"/>
          <w:pgNumType w:start="0"/>
          <w:cols w:space="708"/>
          <w:docGrid w:linePitch="360"/>
        </w:sectPr>
      </w:pPr>
    </w:p>
    <w:p w14:paraId="32878E81" w14:textId="30196A08" w:rsidR="00841480" w:rsidRPr="00965567" w:rsidRDefault="00841480" w:rsidP="0068368A">
      <w:pPr>
        <w:rPr>
          <w:rFonts w:asciiTheme="minorHAnsi" w:eastAsia="Tahoma" w:hAnsiTheme="minorHAnsi" w:cstheme="minorHAnsi"/>
          <w:b/>
          <w:bCs/>
          <w:color w:val="5D779D"/>
          <w:sz w:val="44"/>
          <w:szCs w:val="44"/>
        </w:rPr>
      </w:pPr>
      <w:bookmarkStart w:id="5" w:name="_Toc116382007"/>
      <w:bookmarkStart w:id="6" w:name="_Toc142919679"/>
      <w:bookmarkStart w:id="7" w:name="_Hlk124326513"/>
      <w:r w:rsidRPr="00965567">
        <w:rPr>
          <w:rFonts w:asciiTheme="minorHAnsi" w:eastAsia="Tahoma" w:hAnsiTheme="minorHAnsi" w:cstheme="minorHAnsi"/>
          <w:b/>
          <w:bCs/>
          <w:color w:val="5D779D"/>
          <w:sz w:val="44"/>
          <w:szCs w:val="44"/>
        </w:rPr>
        <w:lastRenderedPageBreak/>
        <w:t>Contents</w:t>
      </w:r>
    </w:p>
    <w:p w14:paraId="164C8749" w14:textId="22BBECAD" w:rsidR="00814D5D" w:rsidRDefault="00091708">
      <w:pPr>
        <w:pStyle w:val="TOC1"/>
        <w:rPr>
          <w:rFonts w:asciiTheme="minorHAnsi" w:eastAsiaTheme="minorEastAsia" w:hAnsiTheme="minorHAnsi" w:cstheme="minorBidi"/>
          <w:b w:val="0"/>
          <w:color w:val="auto"/>
          <w:kern w:val="2"/>
          <w:sz w:val="24"/>
          <w:szCs w:val="24"/>
        </w:rPr>
      </w:pPr>
      <w:r w:rsidRPr="00965567">
        <w:rPr>
          <w:rFonts w:asciiTheme="majorHAnsi" w:eastAsia="Tahoma" w:hAnsiTheme="majorHAnsi" w:cstheme="majorHAnsi"/>
          <w:color w:val="4471C4"/>
        </w:rPr>
        <w:fldChar w:fldCharType="begin"/>
      </w:r>
      <w:r w:rsidRPr="00965567">
        <w:rPr>
          <w:rFonts w:asciiTheme="majorHAnsi" w:eastAsia="Tahoma" w:hAnsiTheme="majorHAnsi" w:cstheme="majorHAnsi"/>
          <w:color w:val="4471C4"/>
        </w:rPr>
        <w:instrText xml:space="preserve"> TOC \o "1-3" \h \z \u </w:instrText>
      </w:r>
      <w:r w:rsidRPr="00965567">
        <w:rPr>
          <w:rFonts w:asciiTheme="majorHAnsi" w:eastAsia="Tahoma" w:hAnsiTheme="majorHAnsi" w:cstheme="majorHAnsi"/>
          <w:color w:val="4471C4"/>
        </w:rPr>
        <w:fldChar w:fldCharType="separate"/>
      </w:r>
      <w:hyperlink w:anchor="_Toc216870702" w:history="1">
        <w:r w:rsidR="00814D5D" w:rsidRPr="00973517">
          <w:rPr>
            <w:rStyle w:val="Hyperlink"/>
          </w:rPr>
          <w:t>Executive summary</w:t>
        </w:r>
        <w:r w:rsidR="00814D5D">
          <w:rPr>
            <w:webHidden/>
          </w:rPr>
          <w:tab/>
        </w:r>
        <w:r w:rsidR="00814D5D">
          <w:rPr>
            <w:webHidden/>
          </w:rPr>
          <w:fldChar w:fldCharType="begin"/>
        </w:r>
        <w:r w:rsidR="00814D5D">
          <w:rPr>
            <w:webHidden/>
          </w:rPr>
          <w:instrText xml:space="preserve"> PAGEREF _Toc216870702 \h </w:instrText>
        </w:r>
        <w:r w:rsidR="00814D5D">
          <w:rPr>
            <w:webHidden/>
          </w:rPr>
        </w:r>
        <w:r w:rsidR="00814D5D">
          <w:rPr>
            <w:webHidden/>
          </w:rPr>
          <w:fldChar w:fldCharType="separate"/>
        </w:r>
        <w:r w:rsidR="003D5B39">
          <w:rPr>
            <w:webHidden/>
          </w:rPr>
          <w:t>3</w:t>
        </w:r>
        <w:r w:rsidR="00814D5D">
          <w:rPr>
            <w:webHidden/>
          </w:rPr>
          <w:fldChar w:fldCharType="end"/>
        </w:r>
      </w:hyperlink>
    </w:p>
    <w:p w14:paraId="10EEC763" w14:textId="7A3DCB29" w:rsidR="00814D5D" w:rsidRDefault="00814D5D">
      <w:pPr>
        <w:pStyle w:val="TOC1"/>
        <w:rPr>
          <w:rFonts w:asciiTheme="minorHAnsi" w:eastAsiaTheme="minorEastAsia" w:hAnsiTheme="minorHAnsi" w:cstheme="minorBidi"/>
          <w:b w:val="0"/>
          <w:color w:val="auto"/>
          <w:kern w:val="2"/>
          <w:sz w:val="24"/>
          <w:szCs w:val="24"/>
        </w:rPr>
      </w:pPr>
      <w:hyperlink w:anchor="_Toc216870703" w:history="1">
        <w:r w:rsidRPr="00973517">
          <w:rPr>
            <w:rStyle w:val="Hyperlink"/>
          </w:rPr>
          <w:t>Follow Up Statement</w:t>
        </w:r>
        <w:r>
          <w:rPr>
            <w:webHidden/>
          </w:rPr>
          <w:tab/>
        </w:r>
        <w:r>
          <w:rPr>
            <w:webHidden/>
          </w:rPr>
          <w:fldChar w:fldCharType="begin"/>
        </w:r>
        <w:r>
          <w:rPr>
            <w:webHidden/>
          </w:rPr>
          <w:instrText xml:space="preserve"> PAGEREF _Toc216870703 \h </w:instrText>
        </w:r>
        <w:r>
          <w:rPr>
            <w:webHidden/>
          </w:rPr>
        </w:r>
        <w:r>
          <w:rPr>
            <w:webHidden/>
          </w:rPr>
          <w:fldChar w:fldCharType="separate"/>
        </w:r>
        <w:r w:rsidR="003D5B39">
          <w:rPr>
            <w:webHidden/>
          </w:rPr>
          <w:t>5</w:t>
        </w:r>
        <w:r>
          <w:rPr>
            <w:webHidden/>
          </w:rPr>
          <w:fldChar w:fldCharType="end"/>
        </w:r>
      </w:hyperlink>
    </w:p>
    <w:p w14:paraId="3363E437" w14:textId="54BB9DDD" w:rsidR="00814D5D" w:rsidRDefault="00814D5D">
      <w:pPr>
        <w:pStyle w:val="TOC2"/>
        <w:rPr>
          <w:rFonts w:asciiTheme="minorHAnsi" w:eastAsiaTheme="minorEastAsia" w:hAnsiTheme="minorHAnsi" w:cstheme="minorBidi"/>
          <w:color w:val="auto"/>
          <w:kern w:val="2"/>
          <w:sz w:val="24"/>
          <w:szCs w:val="24"/>
        </w:rPr>
      </w:pPr>
      <w:hyperlink w:anchor="_Toc216870704" w:history="1">
        <w:r w:rsidRPr="00973517">
          <w:rPr>
            <w:rStyle w:val="Hyperlink"/>
            <w:b/>
            <w:bCs/>
          </w:rPr>
          <w:t>Background</w:t>
        </w:r>
        <w:r>
          <w:rPr>
            <w:webHidden/>
          </w:rPr>
          <w:tab/>
        </w:r>
        <w:r>
          <w:rPr>
            <w:webHidden/>
          </w:rPr>
          <w:fldChar w:fldCharType="begin"/>
        </w:r>
        <w:r>
          <w:rPr>
            <w:webHidden/>
          </w:rPr>
          <w:instrText xml:space="preserve"> PAGEREF _Toc216870704 \h </w:instrText>
        </w:r>
        <w:r>
          <w:rPr>
            <w:webHidden/>
          </w:rPr>
        </w:r>
        <w:r>
          <w:rPr>
            <w:webHidden/>
          </w:rPr>
          <w:fldChar w:fldCharType="separate"/>
        </w:r>
        <w:r w:rsidR="003D5B39">
          <w:rPr>
            <w:webHidden/>
          </w:rPr>
          <w:t>5</w:t>
        </w:r>
        <w:r>
          <w:rPr>
            <w:webHidden/>
          </w:rPr>
          <w:fldChar w:fldCharType="end"/>
        </w:r>
      </w:hyperlink>
    </w:p>
    <w:p w14:paraId="1A36D981" w14:textId="7B4794BC" w:rsidR="00814D5D" w:rsidRDefault="00814D5D">
      <w:pPr>
        <w:pStyle w:val="TOC2"/>
        <w:rPr>
          <w:rFonts w:asciiTheme="minorHAnsi" w:eastAsiaTheme="minorEastAsia" w:hAnsiTheme="minorHAnsi" w:cstheme="minorBidi"/>
          <w:color w:val="auto"/>
          <w:kern w:val="2"/>
          <w:sz w:val="24"/>
          <w:szCs w:val="24"/>
        </w:rPr>
      </w:pPr>
      <w:hyperlink w:anchor="_Toc216870705" w:history="1">
        <w:r w:rsidRPr="00973517">
          <w:rPr>
            <w:rStyle w:val="Hyperlink"/>
            <w:b/>
            <w:bCs/>
          </w:rPr>
          <w:t>Process</w:t>
        </w:r>
        <w:r>
          <w:rPr>
            <w:webHidden/>
          </w:rPr>
          <w:tab/>
        </w:r>
        <w:r>
          <w:rPr>
            <w:webHidden/>
          </w:rPr>
          <w:fldChar w:fldCharType="begin"/>
        </w:r>
        <w:r>
          <w:rPr>
            <w:webHidden/>
          </w:rPr>
          <w:instrText xml:space="preserve"> PAGEREF _Toc216870705 \h </w:instrText>
        </w:r>
        <w:r>
          <w:rPr>
            <w:webHidden/>
          </w:rPr>
        </w:r>
        <w:r>
          <w:rPr>
            <w:webHidden/>
          </w:rPr>
          <w:fldChar w:fldCharType="separate"/>
        </w:r>
        <w:r w:rsidR="003D5B39">
          <w:rPr>
            <w:webHidden/>
          </w:rPr>
          <w:t>6</w:t>
        </w:r>
        <w:r>
          <w:rPr>
            <w:webHidden/>
          </w:rPr>
          <w:fldChar w:fldCharType="end"/>
        </w:r>
      </w:hyperlink>
    </w:p>
    <w:p w14:paraId="4542D895" w14:textId="2173B9F2" w:rsidR="00814D5D" w:rsidRDefault="00814D5D">
      <w:pPr>
        <w:pStyle w:val="TOC2"/>
        <w:rPr>
          <w:rFonts w:asciiTheme="minorHAnsi" w:eastAsiaTheme="minorEastAsia" w:hAnsiTheme="minorHAnsi" w:cstheme="minorBidi"/>
          <w:color w:val="auto"/>
          <w:kern w:val="2"/>
          <w:sz w:val="24"/>
          <w:szCs w:val="24"/>
        </w:rPr>
      </w:pPr>
      <w:hyperlink w:anchor="_Toc216870706" w:history="1">
        <w:r w:rsidRPr="00973517">
          <w:rPr>
            <w:rStyle w:val="Hyperlink"/>
            <w:b/>
            <w:bCs/>
          </w:rPr>
          <w:t>Observations about the implementation of recommendations</w:t>
        </w:r>
        <w:r>
          <w:rPr>
            <w:webHidden/>
          </w:rPr>
          <w:tab/>
        </w:r>
        <w:r>
          <w:rPr>
            <w:webHidden/>
          </w:rPr>
          <w:fldChar w:fldCharType="begin"/>
        </w:r>
        <w:r>
          <w:rPr>
            <w:webHidden/>
          </w:rPr>
          <w:instrText xml:space="preserve"> PAGEREF _Toc216870706 \h </w:instrText>
        </w:r>
        <w:r>
          <w:rPr>
            <w:webHidden/>
          </w:rPr>
        </w:r>
        <w:r>
          <w:rPr>
            <w:webHidden/>
          </w:rPr>
          <w:fldChar w:fldCharType="separate"/>
        </w:r>
        <w:r w:rsidR="003D5B39">
          <w:rPr>
            <w:webHidden/>
          </w:rPr>
          <w:t>8</w:t>
        </w:r>
        <w:r>
          <w:rPr>
            <w:webHidden/>
          </w:rPr>
          <w:fldChar w:fldCharType="end"/>
        </w:r>
      </w:hyperlink>
    </w:p>
    <w:p w14:paraId="307B9C7E" w14:textId="7EF1BC9A" w:rsidR="00814D5D" w:rsidRDefault="00814D5D">
      <w:pPr>
        <w:pStyle w:val="TOC3"/>
        <w:rPr>
          <w:rFonts w:asciiTheme="minorHAnsi" w:eastAsiaTheme="minorEastAsia" w:hAnsiTheme="minorHAnsi" w:cstheme="minorBidi"/>
          <w:color w:val="auto"/>
          <w:kern w:val="2"/>
          <w:sz w:val="24"/>
          <w:szCs w:val="24"/>
        </w:rPr>
      </w:pPr>
      <w:hyperlink w:anchor="_Toc216870707" w:history="1">
        <w:r w:rsidRPr="00973517">
          <w:rPr>
            <w:rStyle w:val="Hyperlink"/>
            <w:rFonts w:cstheme="minorHAnsi"/>
          </w:rPr>
          <w:t>1. Enterprise’s ‘meaningful engagement’ with notifiers</w:t>
        </w:r>
        <w:r>
          <w:rPr>
            <w:webHidden/>
          </w:rPr>
          <w:tab/>
        </w:r>
        <w:r>
          <w:rPr>
            <w:webHidden/>
          </w:rPr>
          <w:fldChar w:fldCharType="begin"/>
        </w:r>
        <w:r>
          <w:rPr>
            <w:webHidden/>
          </w:rPr>
          <w:instrText xml:space="preserve"> PAGEREF _Toc216870707 \h </w:instrText>
        </w:r>
        <w:r>
          <w:rPr>
            <w:webHidden/>
          </w:rPr>
        </w:r>
        <w:r>
          <w:rPr>
            <w:webHidden/>
          </w:rPr>
          <w:fldChar w:fldCharType="separate"/>
        </w:r>
        <w:r w:rsidR="003D5B39">
          <w:rPr>
            <w:webHidden/>
          </w:rPr>
          <w:t>10</w:t>
        </w:r>
        <w:r>
          <w:rPr>
            <w:webHidden/>
          </w:rPr>
          <w:fldChar w:fldCharType="end"/>
        </w:r>
      </w:hyperlink>
    </w:p>
    <w:p w14:paraId="112F4D2A" w14:textId="3B6210AC" w:rsidR="00814D5D" w:rsidRDefault="00814D5D">
      <w:pPr>
        <w:pStyle w:val="TOC3"/>
        <w:rPr>
          <w:rFonts w:asciiTheme="minorHAnsi" w:eastAsiaTheme="minorEastAsia" w:hAnsiTheme="minorHAnsi" w:cstheme="minorBidi"/>
          <w:color w:val="auto"/>
          <w:kern w:val="2"/>
          <w:sz w:val="24"/>
          <w:szCs w:val="24"/>
        </w:rPr>
      </w:pPr>
      <w:hyperlink w:anchor="_Toc216870708" w:history="1">
        <w:r w:rsidRPr="00973517">
          <w:rPr>
            <w:rStyle w:val="Hyperlink"/>
            <w:rFonts w:cstheme="minorHAnsi"/>
          </w:rPr>
          <w:t>2. Security and the enterprise’s use of 2022 toolkit of Voluntary Principles Initiative on Security and Human Rights</w:t>
        </w:r>
        <w:r>
          <w:rPr>
            <w:webHidden/>
          </w:rPr>
          <w:tab/>
        </w:r>
        <w:r>
          <w:rPr>
            <w:webHidden/>
          </w:rPr>
          <w:fldChar w:fldCharType="begin"/>
        </w:r>
        <w:r>
          <w:rPr>
            <w:webHidden/>
          </w:rPr>
          <w:instrText xml:space="preserve"> PAGEREF _Toc216870708 \h </w:instrText>
        </w:r>
        <w:r>
          <w:rPr>
            <w:webHidden/>
          </w:rPr>
        </w:r>
        <w:r>
          <w:rPr>
            <w:webHidden/>
          </w:rPr>
          <w:fldChar w:fldCharType="separate"/>
        </w:r>
        <w:r w:rsidR="003D5B39">
          <w:rPr>
            <w:webHidden/>
          </w:rPr>
          <w:t>12</w:t>
        </w:r>
        <w:r>
          <w:rPr>
            <w:webHidden/>
          </w:rPr>
          <w:fldChar w:fldCharType="end"/>
        </w:r>
      </w:hyperlink>
    </w:p>
    <w:p w14:paraId="5EB0115C" w14:textId="26BBF3D7" w:rsidR="00814D5D" w:rsidRDefault="00814D5D">
      <w:pPr>
        <w:pStyle w:val="TOC3"/>
        <w:rPr>
          <w:rFonts w:asciiTheme="minorHAnsi" w:eastAsiaTheme="minorEastAsia" w:hAnsiTheme="minorHAnsi" w:cstheme="minorBidi"/>
          <w:color w:val="auto"/>
          <w:kern w:val="2"/>
          <w:sz w:val="24"/>
          <w:szCs w:val="24"/>
        </w:rPr>
      </w:pPr>
      <w:hyperlink w:anchor="_Toc216870709" w:history="1">
        <w:r w:rsidRPr="00973517">
          <w:rPr>
            <w:rStyle w:val="Hyperlink"/>
            <w:rFonts w:cstheme="minorHAnsi"/>
          </w:rPr>
          <w:t>3. Use of an understandable language where FPIC is required</w:t>
        </w:r>
        <w:r>
          <w:rPr>
            <w:webHidden/>
          </w:rPr>
          <w:tab/>
        </w:r>
        <w:r>
          <w:rPr>
            <w:webHidden/>
          </w:rPr>
          <w:fldChar w:fldCharType="begin"/>
        </w:r>
        <w:r>
          <w:rPr>
            <w:webHidden/>
          </w:rPr>
          <w:instrText xml:space="preserve"> PAGEREF _Toc216870709 \h </w:instrText>
        </w:r>
        <w:r>
          <w:rPr>
            <w:webHidden/>
          </w:rPr>
        </w:r>
        <w:r>
          <w:rPr>
            <w:webHidden/>
          </w:rPr>
          <w:fldChar w:fldCharType="separate"/>
        </w:r>
        <w:r w:rsidR="003D5B39">
          <w:rPr>
            <w:webHidden/>
          </w:rPr>
          <w:t>13</w:t>
        </w:r>
        <w:r>
          <w:rPr>
            <w:webHidden/>
          </w:rPr>
          <w:fldChar w:fldCharType="end"/>
        </w:r>
      </w:hyperlink>
    </w:p>
    <w:p w14:paraId="2396CCBE" w14:textId="1FB0DFE5" w:rsidR="00814D5D" w:rsidRDefault="00814D5D">
      <w:pPr>
        <w:pStyle w:val="TOC3"/>
        <w:rPr>
          <w:rFonts w:asciiTheme="minorHAnsi" w:eastAsiaTheme="minorEastAsia" w:hAnsiTheme="minorHAnsi" w:cstheme="minorBidi"/>
          <w:color w:val="auto"/>
          <w:kern w:val="2"/>
          <w:sz w:val="24"/>
          <w:szCs w:val="24"/>
        </w:rPr>
      </w:pPr>
      <w:hyperlink w:anchor="_Toc216870710" w:history="1">
        <w:r w:rsidRPr="00973517">
          <w:rPr>
            <w:rStyle w:val="Hyperlink"/>
            <w:rFonts w:cstheme="minorHAnsi"/>
          </w:rPr>
          <w:t>4. Ensure enterprise procedures regarding FPIC are consistent with international standards</w:t>
        </w:r>
        <w:r>
          <w:rPr>
            <w:webHidden/>
          </w:rPr>
          <w:tab/>
        </w:r>
        <w:r>
          <w:rPr>
            <w:webHidden/>
          </w:rPr>
          <w:fldChar w:fldCharType="begin"/>
        </w:r>
        <w:r>
          <w:rPr>
            <w:webHidden/>
          </w:rPr>
          <w:instrText xml:space="preserve"> PAGEREF _Toc216870710 \h </w:instrText>
        </w:r>
        <w:r>
          <w:rPr>
            <w:webHidden/>
          </w:rPr>
        </w:r>
        <w:r>
          <w:rPr>
            <w:webHidden/>
          </w:rPr>
          <w:fldChar w:fldCharType="separate"/>
        </w:r>
        <w:r w:rsidR="003D5B39">
          <w:rPr>
            <w:webHidden/>
          </w:rPr>
          <w:t>13</w:t>
        </w:r>
        <w:r>
          <w:rPr>
            <w:webHidden/>
          </w:rPr>
          <w:fldChar w:fldCharType="end"/>
        </w:r>
      </w:hyperlink>
    </w:p>
    <w:p w14:paraId="6B395216" w14:textId="51CA2973" w:rsidR="00814D5D" w:rsidRDefault="00814D5D">
      <w:pPr>
        <w:pStyle w:val="TOC3"/>
        <w:rPr>
          <w:rFonts w:asciiTheme="minorHAnsi" w:eastAsiaTheme="minorEastAsia" w:hAnsiTheme="minorHAnsi" w:cstheme="minorBidi"/>
          <w:color w:val="auto"/>
          <w:kern w:val="2"/>
          <w:sz w:val="24"/>
          <w:szCs w:val="24"/>
        </w:rPr>
      </w:pPr>
      <w:hyperlink w:anchor="_Toc216870711" w:history="1">
        <w:r w:rsidRPr="00973517">
          <w:rPr>
            <w:rStyle w:val="Hyperlink"/>
            <w:rFonts w:cstheme="minorHAnsi"/>
          </w:rPr>
          <w:t>5.1 Enterprise’s stakeholder engagement to include notifiers and Haus Tambaran</w:t>
        </w:r>
        <w:r>
          <w:rPr>
            <w:webHidden/>
          </w:rPr>
          <w:tab/>
        </w:r>
        <w:r>
          <w:rPr>
            <w:webHidden/>
          </w:rPr>
          <w:fldChar w:fldCharType="begin"/>
        </w:r>
        <w:r>
          <w:rPr>
            <w:webHidden/>
          </w:rPr>
          <w:instrText xml:space="preserve"> PAGEREF _Toc216870711 \h </w:instrText>
        </w:r>
        <w:r>
          <w:rPr>
            <w:webHidden/>
          </w:rPr>
        </w:r>
        <w:r>
          <w:rPr>
            <w:webHidden/>
          </w:rPr>
          <w:fldChar w:fldCharType="separate"/>
        </w:r>
        <w:r w:rsidR="003D5B39">
          <w:rPr>
            <w:webHidden/>
          </w:rPr>
          <w:t>14</w:t>
        </w:r>
        <w:r>
          <w:rPr>
            <w:webHidden/>
          </w:rPr>
          <w:fldChar w:fldCharType="end"/>
        </w:r>
      </w:hyperlink>
    </w:p>
    <w:p w14:paraId="110F179F" w14:textId="7D265A6F" w:rsidR="00814D5D" w:rsidRDefault="00814D5D">
      <w:pPr>
        <w:pStyle w:val="TOC3"/>
        <w:rPr>
          <w:rFonts w:asciiTheme="minorHAnsi" w:eastAsiaTheme="minorEastAsia" w:hAnsiTheme="minorHAnsi" w:cstheme="minorBidi"/>
          <w:color w:val="auto"/>
          <w:kern w:val="2"/>
          <w:sz w:val="24"/>
          <w:szCs w:val="24"/>
        </w:rPr>
      </w:pPr>
      <w:hyperlink w:anchor="_Toc216870712" w:history="1">
        <w:r w:rsidRPr="00973517">
          <w:rPr>
            <w:rStyle w:val="Hyperlink"/>
            <w:rFonts w:cstheme="minorHAnsi"/>
          </w:rPr>
          <w:t>5.2 Enterprise should disseminate the ‘2018 dam break analysis’</w:t>
        </w:r>
        <w:r>
          <w:rPr>
            <w:webHidden/>
          </w:rPr>
          <w:tab/>
        </w:r>
        <w:r>
          <w:rPr>
            <w:webHidden/>
          </w:rPr>
          <w:fldChar w:fldCharType="begin"/>
        </w:r>
        <w:r>
          <w:rPr>
            <w:webHidden/>
          </w:rPr>
          <w:instrText xml:space="preserve"> PAGEREF _Toc216870712 \h </w:instrText>
        </w:r>
        <w:r>
          <w:rPr>
            <w:webHidden/>
          </w:rPr>
        </w:r>
        <w:r>
          <w:rPr>
            <w:webHidden/>
          </w:rPr>
          <w:fldChar w:fldCharType="separate"/>
        </w:r>
        <w:r w:rsidR="003D5B39">
          <w:rPr>
            <w:webHidden/>
          </w:rPr>
          <w:t>15</w:t>
        </w:r>
        <w:r>
          <w:rPr>
            <w:webHidden/>
          </w:rPr>
          <w:fldChar w:fldCharType="end"/>
        </w:r>
      </w:hyperlink>
    </w:p>
    <w:p w14:paraId="0B09EB88" w14:textId="1596642C" w:rsidR="00814D5D" w:rsidRDefault="00814D5D">
      <w:pPr>
        <w:pStyle w:val="TOC3"/>
        <w:rPr>
          <w:rFonts w:asciiTheme="minorHAnsi" w:eastAsiaTheme="minorEastAsia" w:hAnsiTheme="minorHAnsi" w:cstheme="minorBidi"/>
          <w:color w:val="auto"/>
          <w:kern w:val="2"/>
          <w:sz w:val="24"/>
          <w:szCs w:val="24"/>
        </w:rPr>
      </w:pPr>
      <w:hyperlink w:anchor="_Toc216870713" w:history="1">
        <w:r w:rsidRPr="00973517">
          <w:rPr>
            <w:rStyle w:val="Hyperlink"/>
            <w:rFonts w:cstheme="minorHAnsi"/>
          </w:rPr>
          <w:t>5.3 Enterprise’s stakeholder engagement should address the full lifetime of dam</w:t>
        </w:r>
        <w:r>
          <w:rPr>
            <w:webHidden/>
          </w:rPr>
          <w:tab/>
        </w:r>
        <w:r>
          <w:rPr>
            <w:webHidden/>
          </w:rPr>
          <w:fldChar w:fldCharType="begin"/>
        </w:r>
        <w:r>
          <w:rPr>
            <w:webHidden/>
          </w:rPr>
          <w:instrText xml:space="preserve"> PAGEREF _Toc216870713 \h </w:instrText>
        </w:r>
        <w:r>
          <w:rPr>
            <w:webHidden/>
          </w:rPr>
        </w:r>
        <w:r>
          <w:rPr>
            <w:webHidden/>
          </w:rPr>
          <w:fldChar w:fldCharType="separate"/>
        </w:r>
        <w:r w:rsidR="003D5B39">
          <w:rPr>
            <w:webHidden/>
          </w:rPr>
          <w:t>18</w:t>
        </w:r>
        <w:r>
          <w:rPr>
            <w:webHidden/>
          </w:rPr>
          <w:fldChar w:fldCharType="end"/>
        </w:r>
      </w:hyperlink>
    </w:p>
    <w:p w14:paraId="169D7FCC" w14:textId="686FBDE7" w:rsidR="00814D5D" w:rsidRDefault="00814D5D">
      <w:pPr>
        <w:pStyle w:val="TOC3"/>
        <w:rPr>
          <w:rFonts w:asciiTheme="minorHAnsi" w:eastAsiaTheme="minorEastAsia" w:hAnsiTheme="minorHAnsi" w:cstheme="minorBidi"/>
          <w:color w:val="auto"/>
          <w:kern w:val="2"/>
          <w:sz w:val="24"/>
          <w:szCs w:val="24"/>
        </w:rPr>
      </w:pPr>
      <w:hyperlink w:anchor="_Toc216870714" w:history="1">
        <w:r w:rsidRPr="00973517">
          <w:rPr>
            <w:rStyle w:val="Hyperlink"/>
            <w:rFonts w:cstheme="minorHAnsi"/>
          </w:rPr>
          <w:t>6. Notifiers ‘meaningful engagement’ with the enterprise</w:t>
        </w:r>
        <w:r>
          <w:rPr>
            <w:webHidden/>
          </w:rPr>
          <w:tab/>
        </w:r>
        <w:r>
          <w:rPr>
            <w:webHidden/>
          </w:rPr>
          <w:fldChar w:fldCharType="begin"/>
        </w:r>
        <w:r>
          <w:rPr>
            <w:webHidden/>
          </w:rPr>
          <w:instrText xml:space="preserve"> PAGEREF _Toc216870714 \h </w:instrText>
        </w:r>
        <w:r>
          <w:rPr>
            <w:webHidden/>
          </w:rPr>
        </w:r>
        <w:r>
          <w:rPr>
            <w:webHidden/>
          </w:rPr>
          <w:fldChar w:fldCharType="separate"/>
        </w:r>
        <w:r w:rsidR="003D5B39">
          <w:rPr>
            <w:webHidden/>
          </w:rPr>
          <w:t>19</w:t>
        </w:r>
        <w:r>
          <w:rPr>
            <w:webHidden/>
          </w:rPr>
          <w:fldChar w:fldCharType="end"/>
        </w:r>
      </w:hyperlink>
    </w:p>
    <w:p w14:paraId="333C8236" w14:textId="0C86B3EA" w:rsidR="00814D5D" w:rsidRDefault="00814D5D">
      <w:pPr>
        <w:pStyle w:val="TOC3"/>
        <w:rPr>
          <w:rFonts w:asciiTheme="minorHAnsi" w:eastAsiaTheme="minorEastAsia" w:hAnsiTheme="minorHAnsi" w:cstheme="minorBidi"/>
          <w:color w:val="auto"/>
          <w:kern w:val="2"/>
          <w:sz w:val="24"/>
          <w:szCs w:val="24"/>
        </w:rPr>
      </w:pPr>
      <w:hyperlink w:anchor="_Toc216870715" w:history="1">
        <w:r w:rsidRPr="00973517">
          <w:rPr>
            <w:rStyle w:val="Hyperlink"/>
            <w:rFonts w:cstheme="minorHAnsi"/>
          </w:rPr>
          <w:t>7. Security and the notifier’s use of 2022 toolkit of Voluntary Principles Initiative on Security and Human Rights</w:t>
        </w:r>
        <w:r>
          <w:rPr>
            <w:webHidden/>
          </w:rPr>
          <w:tab/>
        </w:r>
        <w:r>
          <w:rPr>
            <w:webHidden/>
          </w:rPr>
          <w:fldChar w:fldCharType="begin"/>
        </w:r>
        <w:r>
          <w:rPr>
            <w:webHidden/>
          </w:rPr>
          <w:instrText xml:space="preserve"> PAGEREF _Toc216870715 \h </w:instrText>
        </w:r>
        <w:r>
          <w:rPr>
            <w:webHidden/>
          </w:rPr>
        </w:r>
        <w:r>
          <w:rPr>
            <w:webHidden/>
          </w:rPr>
          <w:fldChar w:fldCharType="separate"/>
        </w:r>
        <w:r w:rsidR="003D5B39">
          <w:rPr>
            <w:webHidden/>
          </w:rPr>
          <w:t>21</w:t>
        </w:r>
        <w:r>
          <w:rPr>
            <w:webHidden/>
          </w:rPr>
          <w:fldChar w:fldCharType="end"/>
        </w:r>
      </w:hyperlink>
    </w:p>
    <w:p w14:paraId="335C27F0" w14:textId="67054B05" w:rsidR="00814D5D" w:rsidRDefault="00814D5D">
      <w:pPr>
        <w:pStyle w:val="TOC3"/>
        <w:rPr>
          <w:rFonts w:asciiTheme="minorHAnsi" w:eastAsiaTheme="minorEastAsia" w:hAnsiTheme="minorHAnsi" w:cstheme="minorBidi"/>
          <w:color w:val="auto"/>
          <w:kern w:val="2"/>
          <w:sz w:val="24"/>
          <w:szCs w:val="24"/>
        </w:rPr>
      </w:pPr>
      <w:hyperlink w:anchor="_Toc216870716" w:history="1">
        <w:r w:rsidRPr="00973517">
          <w:rPr>
            <w:rStyle w:val="Hyperlink"/>
            <w:rFonts w:cstheme="minorHAnsi"/>
          </w:rPr>
          <w:t>8. Notifier’s assessment and use of enterprise grievance mechanism</w:t>
        </w:r>
        <w:r>
          <w:rPr>
            <w:webHidden/>
          </w:rPr>
          <w:tab/>
        </w:r>
        <w:r>
          <w:rPr>
            <w:webHidden/>
          </w:rPr>
          <w:fldChar w:fldCharType="begin"/>
        </w:r>
        <w:r>
          <w:rPr>
            <w:webHidden/>
          </w:rPr>
          <w:instrText xml:space="preserve"> PAGEREF _Toc216870716 \h </w:instrText>
        </w:r>
        <w:r>
          <w:rPr>
            <w:webHidden/>
          </w:rPr>
        </w:r>
        <w:r>
          <w:rPr>
            <w:webHidden/>
          </w:rPr>
          <w:fldChar w:fldCharType="separate"/>
        </w:r>
        <w:r w:rsidR="003D5B39">
          <w:rPr>
            <w:webHidden/>
          </w:rPr>
          <w:t>21</w:t>
        </w:r>
        <w:r>
          <w:rPr>
            <w:webHidden/>
          </w:rPr>
          <w:fldChar w:fldCharType="end"/>
        </w:r>
      </w:hyperlink>
    </w:p>
    <w:p w14:paraId="7174DF40" w14:textId="36953CB6" w:rsidR="00814D5D" w:rsidRDefault="00814D5D">
      <w:pPr>
        <w:pStyle w:val="TOC2"/>
        <w:rPr>
          <w:rFonts w:asciiTheme="minorHAnsi" w:eastAsiaTheme="minorEastAsia" w:hAnsiTheme="minorHAnsi" w:cstheme="minorBidi"/>
          <w:color w:val="auto"/>
          <w:kern w:val="2"/>
          <w:sz w:val="24"/>
          <w:szCs w:val="24"/>
        </w:rPr>
      </w:pPr>
      <w:hyperlink w:anchor="_Toc216870717" w:history="1">
        <w:r w:rsidRPr="00973517">
          <w:rPr>
            <w:rStyle w:val="Hyperlink"/>
            <w:b/>
            <w:bCs/>
          </w:rPr>
          <w:t>Conclusion</w:t>
        </w:r>
        <w:r>
          <w:rPr>
            <w:webHidden/>
          </w:rPr>
          <w:tab/>
        </w:r>
        <w:r>
          <w:rPr>
            <w:webHidden/>
          </w:rPr>
          <w:fldChar w:fldCharType="begin"/>
        </w:r>
        <w:r>
          <w:rPr>
            <w:webHidden/>
          </w:rPr>
          <w:instrText xml:space="preserve"> PAGEREF _Toc216870717 \h </w:instrText>
        </w:r>
        <w:r>
          <w:rPr>
            <w:webHidden/>
          </w:rPr>
        </w:r>
        <w:r>
          <w:rPr>
            <w:webHidden/>
          </w:rPr>
          <w:fldChar w:fldCharType="separate"/>
        </w:r>
        <w:r w:rsidR="003D5B39">
          <w:rPr>
            <w:webHidden/>
          </w:rPr>
          <w:t>21</w:t>
        </w:r>
        <w:r>
          <w:rPr>
            <w:webHidden/>
          </w:rPr>
          <w:fldChar w:fldCharType="end"/>
        </w:r>
      </w:hyperlink>
    </w:p>
    <w:p w14:paraId="13CAAC5C" w14:textId="2BA59BE1" w:rsidR="00814D5D" w:rsidRDefault="00091708" w:rsidP="00841480">
      <w:pPr>
        <w:tabs>
          <w:tab w:val="right" w:leader="dot" w:pos="9072"/>
        </w:tabs>
        <w:spacing w:before="283" w:line="229" w:lineRule="exact"/>
        <w:textAlignment w:val="baseline"/>
        <w:rPr>
          <w:rFonts w:asciiTheme="majorHAnsi" w:eastAsia="Tahoma" w:hAnsiTheme="majorHAnsi" w:cstheme="majorHAnsi"/>
          <w:noProof/>
          <w:color w:val="4471C4"/>
          <w:szCs w:val="22"/>
        </w:rPr>
        <w:sectPr w:rsidR="00814D5D">
          <w:headerReference w:type="even" r:id="rId10"/>
          <w:headerReference w:type="default" r:id="rId11"/>
          <w:footerReference w:type="even" r:id="rId12"/>
          <w:footerReference w:type="default" r:id="rId13"/>
          <w:headerReference w:type="first" r:id="rId14"/>
          <w:footerReference w:type="first" r:id="rId15"/>
          <w:pgSz w:w="11906" w:h="16838" w:code="9"/>
          <w:pgMar w:top="1843" w:right="1417" w:bottom="1417" w:left="1417" w:header="709" w:footer="709" w:gutter="0"/>
          <w:cols w:space="708"/>
          <w:docGrid w:linePitch="360"/>
        </w:sectPr>
      </w:pPr>
      <w:r w:rsidRPr="00965567">
        <w:rPr>
          <w:rFonts w:asciiTheme="majorHAnsi" w:eastAsia="Tahoma" w:hAnsiTheme="majorHAnsi" w:cstheme="majorHAnsi"/>
          <w:noProof/>
          <w:color w:val="4471C4"/>
          <w:szCs w:val="22"/>
        </w:rPr>
        <w:fldChar w:fldCharType="end"/>
      </w:r>
    </w:p>
    <w:p w14:paraId="09E9CDA9" w14:textId="7A4E09A0" w:rsidR="00A57280" w:rsidRPr="00965567" w:rsidRDefault="00A57280">
      <w:pPr>
        <w:pStyle w:val="Heading1"/>
        <w:rPr>
          <w:color w:val="5D779D"/>
        </w:rPr>
      </w:pPr>
      <w:bookmarkStart w:id="8" w:name="_Toc204167769"/>
      <w:bookmarkStart w:id="9" w:name="_Toc216870702"/>
      <w:r w:rsidRPr="00965567">
        <w:rPr>
          <w:color w:val="5D779D"/>
        </w:rPr>
        <w:lastRenderedPageBreak/>
        <w:t>Executive summary</w:t>
      </w:r>
      <w:bookmarkEnd w:id="5"/>
      <w:bookmarkEnd w:id="6"/>
      <w:bookmarkEnd w:id="8"/>
      <w:bookmarkEnd w:id="9"/>
    </w:p>
    <w:p w14:paraId="7A485776" w14:textId="678D7903" w:rsidR="00D76963" w:rsidRDefault="00D76963" w:rsidP="0084054D">
      <w:pPr>
        <w:pStyle w:val="OutlineNumbered1"/>
        <w:numPr>
          <w:ilvl w:val="0"/>
          <w:numId w:val="12"/>
        </w:numPr>
        <w:spacing w:before="240" w:after="0" w:line="280" w:lineRule="exact"/>
        <w:jc w:val="both"/>
      </w:pPr>
      <w:r>
        <w:t xml:space="preserve">In October 2023, the Australian National Contact Point </w:t>
      </w:r>
      <w:r w:rsidR="0092600C">
        <w:t xml:space="preserve">for Responsible Business Conduct </w:t>
      </w:r>
      <w:r>
        <w:t xml:space="preserve">(AusNCP) issued a Final Statement </w:t>
      </w:r>
      <w:r w:rsidR="00A16AD9">
        <w:t xml:space="preserve">for </w:t>
      </w:r>
      <w:r>
        <w:t xml:space="preserve">a complaint </w:t>
      </w:r>
      <w:r w:rsidR="00A16AD9">
        <w:t xml:space="preserve">made </w:t>
      </w:r>
      <w:r>
        <w:t xml:space="preserve">by Project Sepik and </w:t>
      </w:r>
      <w:r w:rsidR="00D25A46">
        <w:t xml:space="preserve">the </w:t>
      </w:r>
      <w:r>
        <w:t>Jubilee Australia Research Centre (notifiers)</w:t>
      </w:r>
      <w:r w:rsidR="00763E87">
        <w:t xml:space="preserve"> in December 2021</w:t>
      </w:r>
      <w:r w:rsidR="00A16AD9">
        <w:t>,</w:t>
      </w:r>
      <w:r>
        <w:t xml:space="preserve"> on behalf of Sepik River communities</w:t>
      </w:r>
      <w:r w:rsidR="00C35392">
        <w:t xml:space="preserve"> in Papua New Guinea</w:t>
      </w:r>
      <w:r w:rsidR="00A16AD9">
        <w:t>,</w:t>
      </w:r>
      <w:r>
        <w:t xml:space="preserve"> regarding </w:t>
      </w:r>
      <w:proofErr w:type="spellStart"/>
      <w:r>
        <w:t>PanAust</w:t>
      </w:r>
      <w:proofErr w:type="spellEnd"/>
      <w:r>
        <w:t xml:space="preserve"> L</w:t>
      </w:r>
      <w:r w:rsidR="00C35392">
        <w:t>td</w:t>
      </w:r>
      <w:r w:rsidR="00C1040D">
        <w:t xml:space="preserve"> (enterprise)</w:t>
      </w:r>
      <w:r>
        <w:t xml:space="preserve">. This </w:t>
      </w:r>
      <w:r w:rsidR="2F5D96CE">
        <w:t>F</w:t>
      </w:r>
      <w:r>
        <w:t xml:space="preserve">ollow </w:t>
      </w:r>
      <w:r w:rsidR="23619F21">
        <w:t>U</w:t>
      </w:r>
      <w:r>
        <w:t xml:space="preserve">p </w:t>
      </w:r>
      <w:r w:rsidR="65C83825">
        <w:t>S</w:t>
      </w:r>
      <w:r>
        <w:t xml:space="preserve">tatement examines the extent to which the recommendations in the Final Statement have been implemented. The </w:t>
      </w:r>
      <w:r w:rsidR="00E76CEB">
        <w:t xml:space="preserve">Independent Examiner </w:t>
      </w:r>
      <w:r w:rsidR="008C3F9F">
        <w:t xml:space="preserve">is satisfied </w:t>
      </w:r>
      <w:proofErr w:type="gramStart"/>
      <w:r>
        <w:t>the majority of</w:t>
      </w:r>
      <w:proofErr w:type="gramEnd"/>
      <w:r>
        <w:t xml:space="preserve"> the recommendations </w:t>
      </w:r>
      <w:r w:rsidR="00182E7E">
        <w:t>were</w:t>
      </w:r>
      <w:r w:rsidR="00A16AD9">
        <w:t> </w:t>
      </w:r>
      <w:r>
        <w:t>implemented. Th</w:t>
      </w:r>
      <w:r w:rsidR="00D04BD1">
        <w:t>is</w:t>
      </w:r>
      <w:r>
        <w:t xml:space="preserve"> is explained in </w:t>
      </w:r>
      <w:r w:rsidR="5EB3F569">
        <w:t>th</w:t>
      </w:r>
      <w:r w:rsidR="71787A98">
        <w:t>is</w:t>
      </w:r>
      <w:r>
        <w:t xml:space="preserve"> statement, which is summarised below.</w:t>
      </w:r>
    </w:p>
    <w:p w14:paraId="6343420D" w14:textId="66942CAD" w:rsidR="00C1040D" w:rsidRDefault="00C1040D" w:rsidP="0084054D">
      <w:pPr>
        <w:pStyle w:val="OutlineNumbered1"/>
        <w:numPr>
          <w:ilvl w:val="1"/>
          <w:numId w:val="12"/>
        </w:numPr>
        <w:spacing w:before="240" w:after="0" w:line="280" w:lineRule="exact"/>
      </w:pPr>
      <w:r>
        <w:t xml:space="preserve">The </w:t>
      </w:r>
      <w:r w:rsidRPr="0084054D">
        <w:rPr>
          <w:lang w:val="en-GB"/>
        </w:rPr>
        <w:t>enterprise</w:t>
      </w:r>
      <w:r>
        <w:t xml:space="preserve"> and notifiers engaged directly, facilitated through the AusNCP during the </w:t>
      </w:r>
      <w:r w:rsidR="00971A76">
        <w:t>F</w:t>
      </w:r>
      <w:r w:rsidR="001D6781">
        <w:t>ollow</w:t>
      </w:r>
      <w:r w:rsidR="002C1421">
        <w:t xml:space="preserve"> </w:t>
      </w:r>
      <w:r w:rsidR="00971A76">
        <w:t>U</w:t>
      </w:r>
      <w:r w:rsidR="001D6781">
        <w:t>p</w:t>
      </w:r>
      <w:r>
        <w:t xml:space="preserve">, </w:t>
      </w:r>
      <w:r w:rsidR="008B418F">
        <w:t>which is encouraged</w:t>
      </w:r>
      <w:r w:rsidR="00DD1E03">
        <w:t>,</w:t>
      </w:r>
      <w:r w:rsidR="008B418F">
        <w:t xml:space="preserve"> even though it did not </w:t>
      </w:r>
      <w:r w:rsidR="00DB238A">
        <w:t>result in an</w:t>
      </w:r>
      <w:r w:rsidR="008B418F">
        <w:t xml:space="preserve"> agreement on these matters.</w:t>
      </w:r>
    </w:p>
    <w:p w14:paraId="36587948" w14:textId="65DC4D8D" w:rsidR="008D1525" w:rsidRPr="008D1525" w:rsidRDefault="005378BB" w:rsidP="008D1525">
      <w:pPr>
        <w:pStyle w:val="OutlineNumbered1"/>
        <w:numPr>
          <w:ilvl w:val="1"/>
          <w:numId w:val="12"/>
        </w:numPr>
        <w:spacing w:before="240" w:after="0" w:line="280" w:lineRule="exact"/>
        <w:rPr>
          <w:szCs w:val="22"/>
        </w:rPr>
      </w:pPr>
      <w:r>
        <w:t>Of the five recommendations made to the enterprise in the 2023 Final Statement</w:t>
      </w:r>
      <w:r w:rsidR="004A0E45">
        <w:t>,</w:t>
      </w:r>
      <w:r w:rsidR="005D41C4">
        <w:t xml:space="preserve"> t</w:t>
      </w:r>
      <w:r w:rsidR="00C1040D">
        <w:t>he enterprise</w:t>
      </w:r>
      <w:r w:rsidR="00682CCB">
        <w:t xml:space="preserve"> </w:t>
      </w:r>
      <w:r w:rsidR="0060009E">
        <w:t>implemented</w:t>
      </w:r>
      <w:r w:rsidR="00C1040D">
        <w:t xml:space="preserve"> </w:t>
      </w:r>
      <w:r w:rsidR="00CF514B">
        <w:t xml:space="preserve">four </w:t>
      </w:r>
      <w:r w:rsidR="00C1040D">
        <w:t>recommendations</w:t>
      </w:r>
      <w:r w:rsidR="05716DD5">
        <w:t xml:space="preserve"> ahead of the </w:t>
      </w:r>
      <w:r w:rsidR="00971A76">
        <w:t>F</w:t>
      </w:r>
      <w:r w:rsidR="05716DD5">
        <w:t xml:space="preserve">ollow </w:t>
      </w:r>
      <w:r w:rsidR="00971A76">
        <w:t>U</w:t>
      </w:r>
      <w:r w:rsidR="05716DD5">
        <w:t xml:space="preserve">p </w:t>
      </w:r>
      <w:proofErr w:type="gramStart"/>
      <w:r w:rsidR="05716DD5">
        <w:t>process</w:t>
      </w:r>
      <w:r w:rsidR="00B572A0">
        <w:t>, and</w:t>
      </w:r>
      <w:proofErr w:type="gramEnd"/>
      <w:r w:rsidR="0060009E">
        <w:t xml:space="preserve"> partially implemented one recommendation</w:t>
      </w:r>
      <w:r w:rsidR="00FA53BB">
        <w:t xml:space="preserve">. </w:t>
      </w:r>
    </w:p>
    <w:p w14:paraId="64CFAD4C" w14:textId="176A1DCF" w:rsidR="00FA53BB" w:rsidRPr="00FA53BB" w:rsidRDefault="00FA53BB" w:rsidP="0084054D">
      <w:pPr>
        <w:pStyle w:val="OutlineNumbered1"/>
        <w:numPr>
          <w:ilvl w:val="2"/>
          <w:numId w:val="12"/>
        </w:numPr>
        <w:spacing w:before="240" w:after="0" w:line="280" w:lineRule="exact"/>
        <w:rPr>
          <w:szCs w:val="22"/>
        </w:rPr>
      </w:pPr>
      <w:r>
        <w:t>Th</w:t>
      </w:r>
      <w:r w:rsidR="00B572A0">
        <w:t>e</w:t>
      </w:r>
      <w:r>
        <w:t>s</w:t>
      </w:r>
      <w:r w:rsidR="00B572A0">
        <w:t>e</w:t>
      </w:r>
      <w:r>
        <w:t xml:space="preserve"> </w:t>
      </w:r>
      <w:r w:rsidR="0060009E">
        <w:t>recommendation</w:t>
      </w:r>
      <w:r w:rsidR="00B572A0">
        <w:t>s</w:t>
      </w:r>
      <w:r w:rsidR="0060009E">
        <w:t xml:space="preserve"> </w:t>
      </w:r>
      <w:r>
        <w:t>include</w:t>
      </w:r>
      <w:r w:rsidR="00DD6266">
        <w:t>d</w:t>
      </w:r>
      <w:r>
        <w:t xml:space="preserve"> action </w:t>
      </w:r>
      <w:r w:rsidR="00242040">
        <w:t xml:space="preserve">around </w:t>
      </w:r>
      <w:r w:rsidR="00C1040D">
        <w:t xml:space="preserve">meaningful engagement with the notifiers; use of the </w:t>
      </w:r>
      <w:r w:rsidR="00C1040D" w:rsidRPr="37D478ED">
        <w:rPr>
          <w:i/>
          <w:iCs/>
        </w:rPr>
        <w:t>Voluntary Principles on Security and Human Rights</w:t>
      </w:r>
      <w:r w:rsidR="00C1040D">
        <w:t xml:space="preserve"> where relevant; </w:t>
      </w:r>
      <w:r w:rsidR="00410564">
        <w:t xml:space="preserve">Free, Prior and Informed Consent (FPIC) </w:t>
      </w:r>
      <w:r w:rsidR="003D5A28">
        <w:t xml:space="preserve">in locally understood languages; </w:t>
      </w:r>
      <w:r w:rsidR="0003232E">
        <w:t>consistency between</w:t>
      </w:r>
      <w:r w:rsidR="00C1040D">
        <w:t xml:space="preserve"> </w:t>
      </w:r>
      <w:r w:rsidR="0003232E">
        <w:t>internal company</w:t>
      </w:r>
      <w:r w:rsidR="00C1040D">
        <w:t xml:space="preserve"> procedures </w:t>
      </w:r>
      <w:r w:rsidR="0082424D">
        <w:t>and international standards on</w:t>
      </w:r>
      <w:r w:rsidR="003D5A28">
        <w:t xml:space="preserve"> FPIC</w:t>
      </w:r>
      <w:r w:rsidR="00C1040D">
        <w:t xml:space="preserve">; and stakeholder engagement regarding the expected life of the </w:t>
      </w:r>
      <w:r w:rsidR="00771AA4" w:rsidRPr="00771AA4">
        <w:t>Sepik Development Project</w:t>
      </w:r>
      <w:r w:rsidR="009C1010">
        <w:t>’s</w:t>
      </w:r>
      <w:r w:rsidR="00771AA4" w:rsidRPr="00771AA4">
        <w:t xml:space="preserve"> </w:t>
      </w:r>
      <w:r w:rsidR="00E1794F">
        <w:t xml:space="preserve">(the project) </w:t>
      </w:r>
      <w:r w:rsidR="009C7992" w:rsidRPr="009C7992">
        <w:t xml:space="preserve">hydroelectric </w:t>
      </w:r>
      <w:r w:rsidR="00C1040D">
        <w:t>dam.</w:t>
      </w:r>
    </w:p>
    <w:p w14:paraId="12F0B7C4" w14:textId="78A354B5" w:rsidR="008D1525" w:rsidRDefault="003B2434" w:rsidP="00560F6E">
      <w:pPr>
        <w:pStyle w:val="OutlineNumbered1"/>
        <w:numPr>
          <w:ilvl w:val="2"/>
          <w:numId w:val="12"/>
        </w:numPr>
        <w:spacing w:before="240" w:after="0" w:line="280" w:lineRule="exact"/>
      </w:pPr>
      <w:r>
        <w:t>For the</w:t>
      </w:r>
      <w:r w:rsidRPr="003B2434">
        <w:t xml:space="preserve"> </w:t>
      </w:r>
      <w:r>
        <w:t>enterprise’s partially implemented recommendation, t</w:t>
      </w:r>
      <w:r w:rsidR="00C1040D">
        <w:t>he enterprise ha</w:t>
      </w:r>
      <w:r w:rsidR="00ED1AE4">
        <w:t>d</w:t>
      </w:r>
      <w:r w:rsidR="00C1040D">
        <w:t xml:space="preserve"> not </w:t>
      </w:r>
      <w:r w:rsidR="4709E8D8">
        <w:t xml:space="preserve">initially </w:t>
      </w:r>
      <w:r w:rsidR="00C1040D">
        <w:t>disseminat</w:t>
      </w:r>
      <w:r>
        <w:t xml:space="preserve">ed </w:t>
      </w:r>
      <w:r w:rsidR="00C1040D">
        <w:t>a 2018 dam break analysis (which modelled a theoretical dam failure</w:t>
      </w:r>
      <w:r w:rsidR="00576A9D">
        <w:t>,</w:t>
      </w:r>
      <w:r w:rsidR="00C1040D">
        <w:t xml:space="preserve"> to inform safety design and planning). </w:t>
      </w:r>
    </w:p>
    <w:p w14:paraId="760039DA" w14:textId="0CC3F3B6" w:rsidR="008D1525" w:rsidRDefault="00C1040D" w:rsidP="0084054D">
      <w:pPr>
        <w:pStyle w:val="OutlineNumbered1"/>
        <w:numPr>
          <w:ilvl w:val="2"/>
          <w:numId w:val="12"/>
        </w:numPr>
        <w:spacing w:before="240" w:after="0" w:line="280" w:lineRule="exact"/>
      </w:pPr>
      <w:r>
        <w:t>The enterprise ha</w:t>
      </w:r>
      <w:r w:rsidR="00ED1AE4">
        <w:t>d</w:t>
      </w:r>
      <w:r>
        <w:t xml:space="preserve"> </w:t>
      </w:r>
      <w:r w:rsidR="003B2434">
        <w:t>instead</w:t>
      </w:r>
      <w:r>
        <w:t xml:space="preserve"> provided other relevant material and undertaken engagement about dam safety and design. </w:t>
      </w:r>
      <w:r w:rsidR="003B2434">
        <w:t xml:space="preserve">However, </w:t>
      </w:r>
      <w:r>
        <w:t>it is not evident</w:t>
      </w:r>
      <w:r w:rsidR="003B2434">
        <w:t xml:space="preserve"> that</w:t>
      </w:r>
      <w:r>
        <w:t xml:space="preserve"> th</w:t>
      </w:r>
      <w:r w:rsidR="00FA53BB">
        <w:t>ese actions</w:t>
      </w:r>
      <w:r>
        <w:t xml:space="preserve"> meet the expectation of the</w:t>
      </w:r>
      <w:r w:rsidR="00EF5697">
        <w:t xml:space="preserve"> </w:t>
      </w:r>
      <w:r w:rsidR="00EF5697" w:rsidRPr="5B53DE07">
        <w:rPr>
          <w:i/>
          <w:iCs/>
        </w:rPr>
        <w:t>OECD Guidelines for Multinational Enterprises</w:t>
      </w:r>
      <w:r>
        <w:t xml:space="preserve"> </w:t>
      </w:r>
      <w:r w:rsidR="00EF5697">
        <w:t>(</w:t>
      </w:r>
      <w:r>
        <w:t>OECD Guidelines</w:t>
      </w:r>
      <w:r w:rsidR="00EF5697">
        <w:t>)</w:t>
      </w:r>
      <w:r>
        <w:t xml:space="preserve"> to provide the public with adequate, measurable and verifiable (where applicable) information on potential environment</w:t>
      </w:r>
      <w:r w:rsidR="00B5280C">
        <w:t>al</w:t>
      </w:r>
      <w:r>
        <w:t>, health and safety impacts.</w:t>
      </w:r>
      <w:r w:rsidR="00ED1AE4">
        <w:t xml:space="preserve"> </w:t>
      </w:r>
    </w:p>
    <w:p w14:paraId="41E3A3E0" w14:textId="67C87D77" w:rsidR="00C1040D" w:rsidRDefault="009C4217" w:rsidP="00A25F0B">
      <w:pPr>
        <w:pStyle w:val="OutlineNumbered1"/>
        <w:numPr>
          <w:ilvl w:val="2"/>
          <w:numId w:val="12"/>
        </w:numPr>
        <w:spacing w:before="240" w:after="0" w:line="280" w:lineRule="exact"/>
      </w:pPr>
      <w:r>
        <w:t>After reading</w:t>
      </w:r>
      <w:r w:rsidR="00ED1AE4">
        <w:t xml:space="preserve"> this draft </w:t>
      </w:r>
      <w:r w:rsidR="00CC7BAB">
        <w:t>statement</w:t>
      </w:r>
      <w:r w:rsidR="00ED1AE4">
        <w:t>, the enterprise then provided the notifiers with the 2018 dam break analysis</w:t>
      </w:r>
      <w:r w:rsidR="000A0312">
        <w:t xml:space="preserve"> (and made that publicly available), </w:t>
      </w:r>
      <w:r w:rsidR="00182E7E">
        <w:t>consistent with t</w:t>
      </w:r>
      <w:r w:rsidR="000A0312">
        <w:t xml:space="preserve">he 2023 </w:t>
      </w:r>
      <w:r w:rsidR="00EB20FD">
        <w:t xml:space="preserve">Final Statement </w:t>
      </w:r>
      <w:r w:rsidR="000A0312">
        <w:t>recommendation</w:t>
      </w:r>
      <w:r w:rsidR="00ED1AE4">
        <w:t>.</w:t>
      </w:r>
    </w:p>
    <w:p w14:paraId="5CA09471" w14:textId="11823C30" w:rsidR="00C1040D" w:rsidRDefault="00C1040D" w:rsidP="0084054D">
      <w:pPr>
        <w:pStyle w:val="OutlineNumbered1"/>
        <w:numPr>
          <w:ilvl w:val="1"/>
          <w:numId w:val="12"/>
        </w:numPr>
        <w:spacing w:before="240" w:after="0" w:line="280" w:lineRule="exact"/>
      </w:pPr>
      <w:r>
        <w:t xml:space="preserve">Both parties </w:t>
      </w:r>
      <w:r w:rsidR="008B418F">
        <w:t>provided the AusNCP with extensive submissions identifying alleged deficiencies in the others’ engagement</w:t>
      </w:r>
      <w:r w:rsidR="00ED1AE4">
        <w:t xml:space="preserve">, </w:t>
      </w:r>
      <w:proofErr w:type="gramStart"/>
      <w:r w:rsidR="00ED1AE4">
        <w:t>and also</w:t>
      </w:r>
      <w:proofErr w:type="gramEnd"/>
      <w:r w:rsidR="00ED1AE4">
        <w:t xml:space="preserve"> aspects of the </w:t>
      </w:r>
      <w:r w:rsidR="00DF2075" w:rsidRPr="00DF2075">
        <w:t>Independent Examiner</w:t>
      </w:r>
      <w:r w:rsidR="00ED1AE4">
        <w:t>’s decision with which they disagree</w:t>
      </w:r>
      <w:r w:rsidR="008B418F">
        <w:t xml:space="preserve">. The </w:t>
      </w:r>
      <w:r w:rsidR="001D3F21" w:rsidRPr="001D3F21">
        <w:t>Independent Examiner</w:t>
      </w:r>
      <w:r w:rsidR="00ED1AE4">
        <w:t xml:space="preserve"> has considered these submissions carefully in finalising this statement, and </w:t>
      </w:r>
      <w:r w:rsidR="65DF1326">
        <w:t xml:space="preserve">the </w:t>
      </w:r>
      <w:r w:rsidR="008B418F">
        <w:t xml:space="preserve">AusNCP has provided these submissions to each party, so they </w:t>
      </w:r>
      <w:proofErr w:type="gramStart"/>
      <w:r w:rsidR="008B418F">
        <w:t>have the opportunity to</w:t>
      </w:r>
      <w:proofErr w:type="gramEnd"/>
      <w:r w:rsidR="008B418F">
        <w:t xml:space="preserve"> better understand the others’ concerns, which could help in future meaningful engagement.</w:t>
      </w:r>
    </w:p>
    <w:p w14:paraId="044B84E7" w14:textId="03340B02" w:rsidR="008B418F" w:rsidRDefault="008B418F" w:rsidP="0084054D">
      <w:pPr>
        <w:pStyle w:val="OutlineNumbered1"/>
        <w:numPr>
          <w:ilvl w:val="1"/>
          <w:numId w:val="12"/>
        </w:numPr>
        <w:spacing w:before="240" w:after="0" w:line="280" w:lineRule="exact"/>
      </w:pPr>
      <w:r>
        <w:lastRenderedPageBreak/>
        <w:t xml:space="preserve">The publication of this </w:t>
      </w:r>
      <w:r w:rsidRPr="008B418F">
        <w:t xml:space="preserve">Follow Up Statement </w:t>
      </w:r>
      <w:r>
        <w:t xml:space="preserve">concludes the </w:t>
      </w:r>
      <w:proofErr w:type="spellStart"/>
      <w:r>
        <w:t>AusNCP’s</w:t>
      </w:r>
      <w:proofErr w:type="spellEnd"/>
      <w:r>
        <w:t xml:space="preserve"> processing of this matter.</w:t>
      </w:r>
    </w:p>
    <w:p w14:paraId="21DC5646" w14:textId="55F373D5" w:rsidR="00D76963" w:rsidRDefault="00D76963" w:rsidP="00D76963">
      <w:pPr>
        <w:pStyle w:val="OutlineNumbered1"/>
        <w:numPr>
          <w:ilvl w:val="0"/>
          <w:numId w:val="12"/>
        </w:numPr>
        <w:spacing w:before="240" w:after="0" w:line="280" w:lineRule="exact"/>
        <w:jc w:val="both"/>
      </w:pPr>
      <w:r>
        <w:t>This statement has been prepared with reference to the 2011 version of the OECD Guidelines and the 2024 version of the AusNCP complaint procedures (see paragraph</w:t>
      </w:r>
      <w:r w:rsidR="008C3F9F">
        <w:t xml:space="preserve"> </w:t>
      </w:r>
      <w:r w:rsidR="001D6781">
        <w:t>10</w:t>
      </w:r>
      <w:r w:rsidR="008C3F9F">
        <w:t xml:space="preserve"> </w:t>
      </w:r>
      <w:r>
        <w:t xml:space="preserve">of this statement). This statement is published by the AusNCP and is available on the AusNCP website at </w:t>
      </w:r>
      <w:hyperlink r:id="rId16" w:history="1">
        <w:r w:rsidR="00854DE3" w:rsidRPr="001859EC">
          <w:rPr>
            <w:rStyle w:val="Hyperlink"/>
          </w:rPr>
          <w:t>www.ausncp.gov.au</w:t>
        </w:r>
      </w:hyperlink>
      <w:r w:rsidR="00412A51">
        <w:t>.</w:t>
      </w:r>
      <w:r w:rsidR="00854DE3">
        <w:t xml:space="preserve"> </w:t>
      </w:r>
    </w:p>
    <w:p w14:paraId="126642B9" w14:textId="77777777" w:rsidR="00A57280" w:rsidRPr="00104D3B" w:rsidRDefault="00A57280">
      <w:pPr>
        <w:spacing w:after="0"/>
        <w:rPr>
          <w:b/>
          <w:bCs/>
        </w:rPr>
      </w:pPr>
      <w:r w:rsidRPr="00104D3B">
        <w:br/>
      </w:r>
      <w:bookmarkStart w:id="10" w:name="_Hlk215062427"/>
      <w:r w:rsidRPr="00104D3B">
        <w:rPr>
          <w:b/>
          <w:bCs/>
        </w:rPr>
        <w:t>John Southalan</w:t>
      </w:r>
    </w:p>
    <w:p w14:paraId="781A7058" w14:textId="77777777" w:rsidR="00A57280" w:rsidRPr="00104D3B" w:rsidRDefault="00A57280">
      <w:pPr>
        <w:spacing w:after="0"/>
        <w:rPr>
          <w:rFonts w:ascii="Calibri" w:hAnsi="Calibri" w:cs="Arial"/>
          <w:b/>
          <w:color w:val="A5A5A5" w:themeColor="accent3"/>
          <w:kern w:val="32"/>
          <w:sz w:val="44"/>
          <w:szCs w:val="36"/>
        </w:rPr>
      </w:pPr>
      <w:r w:rsidRPr="00104D3B">
        <w:t>Independent Examiner</w:t>
      </w:r>
      <w:r w:rsidRPr="00104D3B">
        <w:br/>
        <w:t>Australian National Contact Point for Responsible Business Conduct</w:t>
      </w:r>
      <w:r w:rsidRPr="00104D3B">
        <w:br/>
        <w:t>Email: john.southalan@ausncp.gov.au</w:t>
      </w:r>
      <w:bookmarkEnd w:id="10"/>
      <w:r w:rsidRPr="00104D3B">
        <w:t xml:space="preserve"> </w:t>
      </w:r>
    </w:p>
    <w:p w14:paraId="2954E891" w14:textId="77777777" w:rsidR="00A57280" w:rsidRPr="00104D3B" w:rsidRDefault="00A57280">
      <w:pPr>
        <w:spacing w:before="0" w:after="160" w:line="259" w:lineRule="auto"/>
        <w:rPr>
          <w:rFonts w:ascii="Calibri" w:hAnsi="Calibri" w:cs="Arial"/>
          <w:b/>
          <w:color w:val="A5A5A5" w:themeColor="accent3"/>
          <w:kern w:val="32"/>
          <w:sz w:val="44"/>
          <w:szCs w:val="36"/>
        </w:rPr>
      </w:pPr>
      <w:bookmarkStart w:id="11" w:name="_Toc116382008"/>
      <w:r w:rsidRPr="00104D3B">
        <w:br w:type="page"/>
      </w:r>
    </w:p>
    <w:p w14:paraId="396ABB3F" w14:textId="7E348312" w:rsidR="00A57280" w:rsidRPr="00965567" w:rsidRDefault="002F6BE1" w:rsidP="001C7A1E">
      <w:pPr>
        <w:pStyle w:val="Heading1"/>
        <w:spacing w:before="360" w:after="0"/>
        <w:rPr>
          <w:color w:val="5D779D"/>
        </w:rPr>
      </w:pPr>
      <w:bookmarkStart w:id="12" w:name="_Toc136695738"/>
      <w:bookmarkStart w:id="13" w:name="_Toc142919680"/>
      <w:bookmarkStart w:id="14" w:name="_Toc204167770"/>
      <w:bookmarkStart w:id="15" w:name="_Toc216870703"/>
      <w:bookmarkEnd w:id="0"/>
      <w:bookmarkEnd w:id="7"/>
      <w:r w:rsidRPr="00965567">
        <w:rPr>
          <w:color w:val="5D779D"/>
        </w:rPr>
        <w:lastRenderedPageBreak/>
        <w:t xml:space="preserve">Follow Up </w:t>
      </w:r>
      <w:bookmarkEnd w:id="11"/>
      <w:bookmarkEnd w:id="12"/>
      <w:bookmarkEnd w:id="13"/>
      <w:r w:rsidR="003C301D" w:rsidRPr="00965567">
        <w:rPr>
          <w:color w:val="5D779D"/>
        </w:rPr>
        <w:t>Statement</w:t>
      </w:r>
      <w:bookmarkEnd w:id="14"/>
      <w:bookmarkEnd w:id="15"/>
    </w:p>
    <w:p w14:paraId="4E9E3F0C" w14:textId="590EAD8C" w:rsidR="00A57280" w:rsidRPr="00FC248D" w:rsidRDefault="002F6BE1" w:rsidP="001C7A1E">
      <w:pPr>
        <w:pStyle w:val="Heading2"/>
        <w:spacing w:before="240" w:after="0"/>
        <w:rPr>
          <w:b/>
          <w:bCs/>
          <w:color w:val="2C384A"/>
        </w:rPr>
      </w:pPr>
      <w:bookmarkStart w:id="16" w:name="_Toc136695739"/>
      <w:bookmarkStart w:id="17" w:name="_Toc142919681"/>
      <w:bookmarkStart w:id="18" w:name="_Toc204167771"/>
      <w:bookmarkStart w:id="19" w:name="_Toc216870704"/>
      <w:r w:rsidRPr="00FC248D">
        <w:rPr>
          <w:b/>
          <w:bCs/>
          <w:color w:val="2C384A"/>
        </w:rPr>
        <w:t>Background</w:t>
      </w:r>
      <w:bookmarkEnd w:id="16"/>
      <w:bookmarkEnd w:id="17"/>
      <w:bookmarkEnd w:id="18"/>
      <w:bookmarkEnd w:id="19"/>
    </w:p>
    <w:p w14:paraId="1F1B04ED" w14:textId="7D1B2933" w:rsidR="00F1346F" w:rsidRDefault="002F6BE1" w:rsidP="00442826">
      <w:pPr>
        <w:pStyle w:val="OutlineNumbered1"/>
        <w:numPr>
          <w:ilvl w:val="0"/>
          <w:numId w:val="12"/>
        </w:numPr>
        <w:spacing w:before="240" w:after="0" w:line="280" w:lineRule="exact"/>
        <w:jc w:val="both"/>
      </w:pPr>
      <w:r>
        <w:t>In 202</w:t>
      </w:r>
      <w:r w:rsidR="00F1346F">
        <w:t>3</w:t>
      </w:r>
      <w:r>
        <w:t xml:space="preserve">, the AusNCP </w:t>
      </w:r>
      <w:r w:rsidR="00F1346F">
        <w:t xml:space="preserve">published a Final Statement </w:t>
      </w:r>
      <w:r w:rsidR="00F27CDF">
        <w:t>about</w:t>
      </w:r>
      <w:r w:rsidR="00F1346F">
        <w:t xml:space="preserve"> </w:t>
      </w:r>
      <w:r>
        <w:t xml:space="preserve">a complaint </w:t>
      </w:r>
      <w:r w:rsidR="001827ED">
        <w:t xml:space="preserve">from the notifiers, </w:t>
      </w:r>
      <w:r w:rsidR="001540CE">
        <w:t xml:space="preserve">who </w:t>
      </w:r>
      <w:r w:rsidR="001827ED">
        <w:t>represent communities in Papua New Guinea, concerning the activities of the enterprise.</w:t>
      </w:r>
      <w:r w:rsidR="001827ED">
        <w:rPr>
          <w:rStyle w:val="FootnoteReference"/>
        </w:rPr>
        <w:footnoteReference w:id="2"/>
      </w:r>
      <w:r w:rsidR="001827ED">
        <w:t xml:space="preserve"> The notifiers</w:t>
      </w:r>
      <w:r w:rsidR="001540CE">
        <w:t>’</w:t>
      </w:r>
      <w:r w:rsidR="001827ED">
        <w:t xml:space="preserve"> complaint alleged that, through its subsidiary in Papua New Guinea, the enterprise’s proposals to develop the project (a mine and related infrastructure) d</w:t>
      </w:r>
      <w:r w:rsidR="002A5CEE">
        <w:t>id</w:t>
      </w:r>
      <w:r w:rsidR="001827ED">
        <w:t xml:space="preserve"> not comply with the OECD</w:t>
      </w:r>
      <w:r w:rsidR="0025321D">
        <w:t> </w:t>
      </w:r>
      <w:r w:rsidR="001827ED">
        <w:t xml:space="preserve">Guidelines. The </w:t>
      </w:r>
      <w:r w:rsidR="001D3F21">
        <w:t>Independent Examiner</w:t>
      </w:r>
      <w:r w:rsidR="001827ED">
        <w:t>’s decision was that most of the enterprise’s actions identified in the complaint were not inconsistent with the OECD Guidelines</w:t>
      </w:r>
      <w:r w:rsidR="002A5CEE">
        <w:t>. H</w:t>
      </w:r>
      <w:r w:rsidR="001827ED">
        <w:t>owever</w:t>
      </w:r>
      <w:r w:rsidR="002A5CEE">
        <w:t>,</w:t>
      </w:r>
      <w:r w:rsidR="001827ED">
        <w:t xml:space="preserve"> there were some aspects which were inconsistent, and the </w:t>
      </w:r>
      <w:r w:rsidR="00F854A7" w:rsidRPr="00F854A7">
        <w:t xml:space="preserve">Independent </w:t>
      </w:r>
      <w:r w:rsidR="002A5CEE">
        <w:t>Examiner</w:t>
      </w:r>
      <w:r w:rsidR="001827ED">
        <w:t xml:space="preserve"> made recommendations to the enterprise and the notifiers</w:t>
      </w:r>
      <w:r w:rsidR="002A5CEE">
        <w:t xml:space="preserve">. </w:t>
      </w:r>
      <w:r w:rsidR="007231C8">
        <w:t>12</w:t>
      </w:r>
      <w:r w:rsidR="002A5CEE">
        <w:t xml:space="preserve"> months after the Final Statement, the AusNCP engaged with both parties in a </w:t>
      </w:r>
      <w:r w:rsidR="00971A76">
        <w:t>F</w:t>
      </w:r>
      <w:r w:rsidR="002A5CEE">
        <w:t xml:space="preserve">ollow </w:t>
      </w:r>
      <w:r w:rsidR="007231C8">
        <w:t>U</w:t>
      </w:r>
      <w:r w:rsidR="002A5CEE">
        <w:t>p process to understand the progress regarding the recommendations.</w:t>
      </w:r>
    </w:p>
    <w:p w14:paraId="4F20154D" w14:textId="2F65AA05" w:rsidR="002F6BE1" w:rsidRDefault="00FA53BB" w:rsidP="004E30A8">
      <w:pPr>
        <w:pStyle w:val="OutlineNumbered1"/>
        <w:numPr>
          <w:ilvl w:val="0"/>
          <w:numId w:val="12"/>
        </w:numPr>
        <w:spacing w:before="240" w:after="0" w:line="280" w:lineRule="exact"/>
        <w:jc w:val="both"/>
      </w:pPr>
      <w:r>
        <w:t xml:space="preserve">The </w:t>
      </w:r>
      <w:r w:rsidR="007231C8">
        <w:t>F</w:t>
      </w:r>
      <w:r w:rsidR="000B47A7">
        <w:t>ollow</w:t>
      </w:r>
      <w:r w:rsidR="00FF137D">
        <w:t xml:space="preserve"> </w:t>
      </w:r>
      <w:r w:rsidR="007231C8">
        <w:t>U</w:t>
      </w:r>
      <w:r w:rsidR="000B47A7">
        <w:t>p</w:t>
      </w:r>
      <w:r>
        <w:t xml:space="preserve"> process</w:t>
      </w:r>
      <w:r w:rsidR="008B7564">
        <w:t xml:space="preserve"> seeks to</w:t>
      </w:r>
      <w:r w:rsidR="002F6BE1">
        <w:t xml:space="preserve"> examine what has occurred regarding </w:t>
      </w:r>
      <w:r w:rsidR="008B7564">
        <w:t xml:space="preserve">the </w:t>
      </w:r>
      <w:r w:rsidR="00F854A7">
        <w:t xml:space="preserve">Independent </w:t>
      </w:r>
      <w:r w:rsidR="00F27CDF">
        <w:t>Examiner</w:t>
      </w:r>
      <w:r w:rsidR="008B7564">
        <w:t>’s</w:t>
      </w:r>
      <w:r w:rsidR="002F6BE1">
        <w:t xml:space="preserve"> recommendation</w:t>
      </w:r>
      <w:r w:rsidR="137FA782">
        <w:t>s</w:t>
      </w:r>
      <w:r w:rsidR="001A2A8E">
        <w:t xml:space="preserve"> in </w:t>
      </w:r>
      <w:r w:rsidR="00F27CDF">
        <w:t>the</w:t>
      </w:r>
      <w:r w:rsidR="001A2A8E">
        <w:t xml:space="preserve"> previous </w:t>
      </w:r>
      <w:r w:rsidR="008D1525">
        <w:t>statement</w:t>
      </w:r>
      <w:r w:rsidR="008B7564">
        <w:t>. T</w:t>
      </w:r>
      <w:r w:rsidR="002F6BE1">
        <w:t xml:space="preserve">he recommendations from the </w:t>
      </w:r>
      <w:r w:rsidR="00F854A7">
        <w:t xml:space="preserve">Independent </w:t>
      </w:r>
      <w:r w:rsidR="002A5CEE">
        <w:t>Examiner</w:t>
      </w:r>
      <w:r w:rsidR="002F6BE1">
        <w:t>’s 2023</w:t>
      </w:r>
      <w:r w:rsidR="008D1525">
        <w:t> </w:t>
      </w:r>
      <w:r w:rsidR="002950E1">
        <w:t>decision</w:t>
      </w:r>
      <w:r w:rsidR="00A26D1C">
        <w:rPr>
          <w:rStyle w:val="FootnoteReference"/>
        </w:rPr>
        <w:footnoteReference w:id="3"/>
      </w:r>
      <w:r w:rsidR="002F6BE1">
        <w:t xml:space="preserve"> </w:t>
      </w:r>
      <w:r w:rsidR="002950E1">
        <w:t>comprise</w:t>
      </w:r>
      <w:r w:rsidR="002F6BE1">
        <w:t xml:space="preserve"> the following </w:t>
      </w:r>
      <w:r w:rsidR="00956FFF">
        <w:t>eight</w:t>
      </w:r>
      <w:r w:rsidR="002F6BE1">
        <w:t xml:space="preserve"> items (</w:t>
      </w:r>
      <w:r w:rsidR="0021188C">
        <w:t>five</w:t>
      </w:r>
      <w:r w:rsidR="002F6BE1">
        <w:t xml:space="preserve"> directed to the enterprise and three to the notifiers)</w:t>
      </w:r>
      <w:r w:rsidR="00F27CDF">
        <w:t>:</w:t>
      </w:r>
    </w:p>
    <w:p w14:paraId="27DAADD2" w14:textId="32F9BF22" w:rsidR="003F36CA" w:rsidRPr="00C63DF3" w:rsidRDefault="002F6BE1" w:rsidP="003F36CA">
      <w:pPr>
        <w:pStyle w:val="OutlineNumbered1"/>
        <w:numPr>
          <w:ilvl w:val="1"/>
          <w:numId w:val="12"/>
        </w:numPr>
        <w:spacing w:before="240" w:after="0" w:line="280" w:lineRule="exact"/>
      </w:pPr>
      <w:r w:rsidRPr="00C63DF3">
        <w:t xml:space="preserve">To </w:t>
      </w:r>
      <w:r w:rsidRPr="00A024A1">
        <w:t xml:space="preserve">the </w:t>
      </w:r>
      <w:r w:rsidR="00FD6DAD" w:rsidRPr="00A024A1">
        <w:t>enterprise</w:t>
      </w:r>
      <w:r w:rsidRPr="00A024A1">
        <w:t>:</w:t>
      </w:r>
    </w:p>
    <w:p w14:paraId="38A685B5" w14:textId="7450E651" w:rsidR="003F36CA" w:rsidRDefault="002F6BE1" w:rsidP="003F36CA">
      <w:pPr>
        <w:pStyle w:val="OutlineNumbered1"/>
        <w:numPr>
          <w:ilvl w:val="2"/>
          <w:numId w:val="12"/>
        </w:numPr>
        <w:spacing w:before="240" w:after="0" w:line="280" w:lineRule="exact"/>
      </w:pPr>
      <w:r>
        <w:t xml:space="preserve">review their interaction with the notifiers, and consider the role and use of meaningful engagement per the </w:t>
      </w:r>
      <w:r w:rsidR="00A26D1C">
        <w:t xml:space="preserve">OECD </w:t>
      </w:r>
      <w:r>
        <w:t xml:space="preserve">Guidelines and </w:t>
      </w:r>
      <w:r w:rsidR="00EC6A58">
        <w:t xml:space="preserve">various OECD Due Diligence </w:t>
      </w:r>
      <w:r>
        <w:t>Guidance</w:t>
      </w:r>
      <w:r w:rsidR="00EC6A58">
        <w:t xml:space="preserve"> documents</w:t>
      </w:r>
    </w:p>
    <w:p w14:paraId="3E28A8B8" w14:textId="664C4322" w:rsidR="003F36CA" w:rsidRDefault="002F6BE1" w:rsidP="003F36CA">
      <w:pPr>
        <w:pStyle w:val="OutlineNumbered1"/>
        <w:numPr>
          <w:ilvl w:val="2"/>
          <w:numId w:val="12"/>
        </w:numPr>
        <w:spacing w:before="240" w:after="0" w:line="280" w:lineRule="exact"/>
      </w:pPr>
      <w:r>
        <w:t xml:space="preserve">if dealing with the role and use of security, consider and use the 2022 toolkit of </w:t>
      </w:r>
      <w:r w:rsidR="00EE7BB2" w:rsidRPr="005508E6">
        <w:rPr>
          <w:i/>
          <w:iCs/>
        </w:rPr>
        <w:t xml:space="preserve">Voluntary Principles </w:t>
      </w:r>
      <w:r w:rsidR="00EE7BB2">
        <w:rPr>
          <w:i/>
          <w:iCs/>
        </w:rPr>
        <w:t xml:space="preserve">Initiative </w:t>
      </w:r>
      <w:r w:rsidR="00EE7BB2" w:rsidRPr="005508E6">
        <w:rPr>
          <w:i/>
          <w:iCs/>
        </w:rPr>
        <w:t>on Security and Human Rights</w:t>
      </w:r>
      <w:r w:rsidR="002208EB">
        <w:rPr>
          <w:rStyle w:val="FootnoteReference"/>
          <w:i/>
          <w:iCs/>
        </w:rPr>
        <w:footnoteReference w:id="4"/>
      </w:r>
    </w:p>
    <w:p w14:paraId="58AD342E" w14:textId="52AB9922" w:rsidR="00C63DF3" w:rsidRDefault="002F6BE1" w:rsidP="00C63DF3">
      <w:pPr>
        <w:pStyle w:val="OutlineNumbered1"/>
        <w:numPr>
          <w:ilvl w:val="2"/>
          <w:numId w:val="12"/>
        </w:numPr>
        <w:spacing w:before="240" w:after="0" w:line="280" w:lineRule="exact"/>
      </w:pPr>
      <w:r>
        <w:t>ensure that, for any Indigenous group from which FPIC is required, that engagement occurs in a language easily</w:t>
      </w:r>
      <w:r w:rsidR="00461FED">
        <w:t xml:space="preserve"> </w:t>
      </w:r>
      <w:r>
        <w:t>understood by that group (which may mean more languages than Tok Pisin or English) – informed by a review</w:t>
      </w:r>
      <w:r w:rsidR="2707CD21">
        <w:t xml:space="preserve"> of</w:t>
      </w:r>
      <w:r>
        <w:t xml:space="preserve"> the totality of community engagement in relation to the project </w:t>
      </w:r>
      <w:r w:rsidR="00B524B2">
        <w:t>–</w:t>
      </w:r>
      <w:r>
        <w:t xml:space="preserve"> by the Government of Papua New Guinea and by the enterprise</w:t>
      </w:r>
    </w:p>
    <w:p w14:paraId="195A7387" w14:textId="77777777" w:rsidR="00C63DF3" w:rsidRDefault="002F6BE1" w:rsidP="00C63DF3">
      <w:pPr>
        <w:pStyle w:val="OutlineNumbered1"/>
        <w:numPr>
          <w:ilvl w:val="2"/>
          <w:numId w:val="12"/>
        </w:numPr>
        <w:spacing w:before="240" w:after="0" w:line="280" w:lineRule="exact"/>
      </w:pPr>
      <w:r>
        <w:t>review its internal company procedures regarding FPIC to ensure consistency with international standards (particularly that compensation is not understood as an alternative to FPIC)</w:t>
      </w:r>
    </w:p>
    <w:p w14:paraId="261C27A4" w14:textId="061E3510" w:rsidR="00CE7E6E" w:rsidRDefault="002F6BE1" w:rsidP="00CE7E6E">
      <w:pPr>
        <w:pStyle w:val="OutlineNumbered1"/>
        <w:numPr>
          <w:ilvl w:val="2"/>
          <w:numId w:val="12"/>
        </w:numPr>
        <w:spacing w:before="240" w:after="0" w:line="280" w:lineRule="exact"/>
      </w:pPr>
      <w:r>
        <w:t xml:space="preserve">the company’s future stakeholder engagement in relation to the project should: </w:t>
      </w:r>
      <w:r w:rsidR="00305242">
        <w:br/>
      </w:r>
      <w:r>
        <w:t>(a)</w:t>
      </w:r>
      <w:r w:rsidR="00956FFF">
        <w:tab/>
      </w:r>
      <w:r>
        <w:t>include the notifiers</w:t>
      </w:r>
      <w:r w:rsidR="00305242">
        <w:br/>
      </w:r>
      <w:r>
        <w:t>(b)</w:t>
      </w:r>
      <w:r w:rsidR="00956FFF">
        <w:tab/>
      </w:r>
      <w:r>
        <w:t xml:space="preserve">consider the views from the Haus </w:t>
      </w:r>
      <w:proofErr w:type="spellStart"/>
      <w:r>
        <w:t>Tambaran</w:t>
      </w:r>
      <w:proofErr w:type="spellEnd"/>
      <w:r>
        <w:t xml:space="preserve"> </w:t>
      </w:r>
      <w:r w:rsidR="0012069D">
        <w:t xml:space="preserve">that </w:t>
      </w:r>
      <w:r>
        <w:t>the notifiers work with</w:t>
      </w:r>
      <w:r w:rsidR="00CE7E6E">
        <w:br/>
      </w:r>
      <w:r w:rsidR="00CE7E6E">
        <w:lastRenderedPageBreak/>
        <w:t>(c)</w:t>
      </w:r>
      <w:r w:rsidR="00956FFF">
        <w:tab/>
      </w:r>
      <w:r w:rsidR="00CE7E6E">
        <w:t>disseminate the 2018 dam break analysis</w:t>
      </w:r>
      <w:r w:rsidR="00CE7E6E">
        <w:br/>
        <w:t>(d)</w:t>
      </w:r>
      <w:r w:rsidR="00956FFF">
        <w:tab/>
      </w:r>
      <w:r w:rsidR="00CE7E6E">
        <w:t>address the full lifetime of the dam and any facilities which ar</w:t>
      </w:r>
      <w:r w:rsidR="00956FFF">
        <w:t xml:space="preserve">e </w:t>
      </w:r>
      <w:r w:rsidR="00CE7E6E">
        <w:t>expected to</w:t>
      </w:r>
      <w:r w:rsidR="00956FFF">
        <w:tab/>
      </w:r>
      <w:r w:rsidR="00CE7E6E">
        <w:t>continue even after the enterprise</w:t>
      </w:r>
      <w:r w:rsidR="009E29F5">
        <w:t>’s</w:t>
      </w:r>
      <w:r w:rsidR="00CE7E6E">
        <w:t xml:space="preserve"> mine has finished.</w:t>
      </w:r>
    </w:p>
    <w:p w14:paraId="4F611F4B" w14:textId="77777777" w:rsidR="008D2EDE" w:rsidRDefault="002F6BE1" w:rsidP="008D2EDE">
      <w:pPr>
        <w:pStyle w:val="OutlineNumbered1"/>
        <w:numPr>
          <w:ilvl w:val="1"/>
          <w:numId w:val="12"/>
        </w:numPr>
        <w:spacing w:before="240" w:after="0" w:line="280" w:lineRule="exact"/>
      </w:pPr>
      <w:r>
        <w:t>To the notifiers:</w:t>
      </w:r>
    </w:p>
    <w:p w14:paraId="5BFA615A" w14:textId="56BF942B" w:rsidR="008D2EDE" w:rsidRDefault="002F6BE1" w:rsidP="008D2EDE">
      <w:pPr>
        <w:pStyle w:val="OutlineNumbered1"/>
        <w:numPr>
          <w:ilvl w:val="2"/>
          <w:numId w:val="12"/>
        </w:numPr>
        <w:spacing w:before="240" w:after="0" w:line="280" w:lineRule="exact"/>
      </w:pPr>
      <w:r>
        <w:t xml:space="preserve">review their interaction with the company, and consider the role and use of meaningful engagement per the </w:t>
      </w:r>
      <w:r w:rsidR="008F2C18">
        <w:t xml:space="preserve">OECD </w:t>
      </w:r>
      <w:r>
        <w:t xml:space="preserve">Guidelines and </w:t>
      </w:r>
      <w:r w:rsidR="008F2C18">
        <w:t xml:space="preserve">various OECD Due Diligence </w:t>
      </w:r>
      <w:r>
        <w:t>Guidance</w:t>
      </w:r>
      <w:r w:rsidR="008F2C18">
        <w:t xml:space="preserve"> documents</w:t>
      </w:r>
    </w:p>
    <w:p w14:paraId="2F75A31F" w14:textId="682E21CA" w:rsidR="008D2EDE" w:rsidRDefault="002F6BE1" w:rsidP="008D2EDE">
      <w:pPr>
        <w:pStyle w:val="OutlineNumbered1"/>
        <w:numPr>
          <w:ilvl w:val="2"/>
          <w:numId w:val="12"/>
        </w:numPr>
        <w:spacing w:before="240" w:after="0" w:line="280" w:lineRule="exact"/>
      </w:pPr>
      <w:r>
        <w:t xml:space="preserve">if dealing with the role and use of security, consider and use the 2022 toolkit of </w:t>
      </w:r>
      <w:r w:rsidRPr="0011345A">
        <w:rPr>
          <w:i/>
          <w:iCs/>
        </w:rPr>
        <w:t>Voluntary Principles Initiative</w:t>
      </w:r>
      <w:r w:rsidR="00EE7BB2">
        <w:t xml:space="preserve"> </w:t>
      </w:r>
      <w:r w:rsidR="00EE7BB2" w:rsidRPr="005508E6">
        <w:rPr>
          <w:i/>
          <w:iCs/>
        </w:rPr>
        <w:t>on Security and Human Rights</w:t>
      </w:r>
      <w:r w:rsidR="008D2EDE">
        <w:t xml:space="preserve"> </w:t>
      </w:r>
    </w:p>
    <w:p w14:paraId="4EFFA58A" w14:textId="7A917976" w:rsidR="002F6BE1" w:rsidRDefault="002F6BE1" w:rsidP="008D2EDE">
      <w:pPr>
        <w:pStyle w:val="OutlineNumbered1"/>
        <w:numPr>
          <w:ilvl w:val="2"/>
          <w:numId w:val="12"/>
        </w:numPr>
        <w:spacing w:before="240" w:after="0" w:line="280" w:lineRule="exact"/>
      </w:pPr>
      <w:r>
        <w:t xml:space="preserve">consider using the grievance mechanism established by the enterprise to raise their concerns, if that grievance mechanism accords with the </w:t>
      </w:r>
      <w:r w:rsidR="009516FB" w:rsidRPr="009516FB">
        <w:t>United Nations Guiding Principles on Business and Human Rights</w:t>
      </w:r>
      <w:r w:rsidR="009516FB">
        <w:t>’</w:t>
      </w:r>
      <w:r w:rsidR="009516FB" w:rsidRPr="009516FB">
        <w:t xml:space="preserve"> (UNGPs)</w:t>
      </w:r>
      <w:r>
        <w:t xml:space="preserve"> effectiveness criteria.</w:t>
      </w:r>
    </w:p>
    <w:p w14:paraId="1C58EB71" w14:textId="77777777" w:rsidR="002F6BE1" w:rsidRPr="00DB06B4" w:rsidRDefault="00A57280" w:rsidP="001C7A1E">
      <w:pPr>
        <w:pStyle w:val="Heading2"/>
        <w:spacing w:before="240" w:after="0"/>
        <w:rPr>
          <w:b/>
          <w:bCs/>
          <w:color w:val="2C384A"/>
        </w:rPr>
      </w:pPr>
      <w:bookmarkStart w:id="20" w:name="_Toc204167772"/>
      <w:bookmarkStart w:id="21" w:name="_Toc216870705"/>
      <w:bookmarkStart w:id="22" w:name="_Toc136695740"/>
      <w:bookmarkStart w:id="23" w:name="_Toc142919682"/>
      <w:r w:rsidRPr="00DB06B4">
        <w:rPr>
          <w:b/>
          <w:bCs/>
          <w:color w:val="2C384A"/>
        </w:rPr>
        <w:t>Pro</w:t>
      </w:r>
      <w:r w:rsidR="002F6BE1" w:rsidRPr="00DB06B4">
        <w:rPr>
          <w:b/>
          <w:bCs/>
          <w:color w:val="2C384A"/>
        </w:rPr>
        <w:t>cess</w:t>
      </w:r>
      <w:bookmarkEnd w:id="20"/>
      <w:bookmarkEnd w:id="21"/>
    </w:p>
    <w:p w14:paraId="36618E25" w14:textId="3132D800" w:rsidR="0024211E" w:rsidRDefault="00A26D1C" w:rsidP="004E30A8">
      <w:pPr>
        <w:pStyle w:val="OutlineNumbered1"/>
        <w:numPr>
          <w:ilvl w:val="0"/>
          <w:numId w:val="12"/>
        </w:numPr>
        <w:spacing w:before="240" w:after="0" w:line="280" w:lineRule="exact"/>
        <w:jc w:val="both"/>
      </w:pPr>
      <w:bookmarkStart w:id="24" w:name="_Ref146538432"/>
      <w:bookmarkEnd w:id="22"/>
      <w:bookmarkEnd w:id="23"/>
      <w:r>
        <w:t xml:space="preserve">The </w:t>
      </w:r>
      <w:r w:rsidR="009C1C57">
        <w:t xml:space="preserve">OECD </w:t>
      </w:r>
      <w:r>
        <w:t xml:space="preserve">Guidelines encourage </w:t>
      </w:r>
      <w:r w:rsidR="00014440">
        <w:t>National Contact Points (</w:t>
      </w:r>
      <w:r>
        <w:t>NCPs</w:t>
      </w:r>
      <w:r w:rsidR="00014440">
        <w:t>)</w:t>
      </w:r>
      <w:r>
        <w:t xml:space="preserve"> to ‘e</w:t>
      </w:r>
      <w:r w:rsidRPr="00A26D1C">
        <w:t xml:space="preserve">ngage in </w:t>
      </w:r>
      <w:r w:rsidDel="00A26D1C">
        <w:t>f</w:t>
      </w:r>
      <w:r w:rsidRPr="00A26D1C">
        <w:t>ollow</w:t>
      </w:r>
      <w:r w:rsidR="6D10B01A" w:rsidRPr="00A26D1C">
        <w:t xml:space="preserve"> </w:t>
      </w:r>
      <w:r w:rsidRPr="00A26D1C">
        <w:t xml:space="preserve">up </w:t>
      </w:r>
      <w:r w:rsidDel="00A26D1C">
        <w:t xml:space="preserve">where relevant </w:t>
      </w:r>
      <w:r w:rsidRPr="00A26D1C">
        <w:t xml:space="preserve">once the specific instance has closed, </w:t>
      </w:r>
      <w:r w:rsidDel="00A26D1C">
        <w:t>on</w:t>
      </w:r>
      <w:r w:rsidRPr="00A26D1C">
        <w:t xml:space="preserve"> the implementation of recommendations</w:t>
      </w:r>
      <w:r>
        <w:t>’</w:t>
      </w:r>
      <w:r w:rsidR="008B7564">
        <w:t>.</w:t>
      </w:r>
      <w:r w:rsidR="008B7564">
        <w:rPr>
          <w:rStyle w:val="FootnoteReference"/>
        </w:rPr>
        <w:footnoteReference w:id="5"/>
      </w:r>
      <w:r w:rsidR="008B7564">
        <w:t xml:space="preserve"> T</w:t>
      </w:r>
      <w:r>
        <w:t xml:space="preserve">he </w:t>
      </w:r>
      <w:proofErr w:type="spellStart"/>
      <w:r>
        <w:t>AusNCP’s</w:t>
      </w:r>
      <w:proofErr w:type="spellEnd"/>
      <w:r>
        <w:t xml:space="preserve"> 2023 Final Statement </w:t>
      </w:r>
      <w:r w:rsidR="0024211E">
        <w:t xml:space="preserve">in this matter </w:t>
      </w:r>
      <w:r>
        <w:t xml:space="preserve">identified </w:t>
      </w:r>
      <w:r w:rsidR="00405413">
        <w:t xml:space="preserve">that a </w:t>
      </w:r>
      <w:r w:rsidR="007231C8">
        <w:t>F</w:t>
      </w:r>
      <w:r w:rsidR="000B47A7">
        <w:t>ollow</w:t>
      </w:r>
      <w:r w:rsidR="00FF137D">
        <w:t xml:space="preserve"> </w:t>
      </w:r>
      <w:r w:rsidR="007231C8">
        <w:t>U</w:t>
      </w:r>
      <w:r w:rsidR="000B47A7">
        <w:t>p</w:t>
      </w:r>
      <w:r>
        <w:t xml:space="preserve"> would occur 12 months after its publication. The parties engaged with each other, and the AusNCP, </w:t>
      </w:r>
      <w:r w:rsidR="009C1C57">
        <w:t xml:space="preserve">regarding the </w:t>
      </w:r>
      <w:r w:rsidR="00A85496">
        <w:t>F</w:t>
      </w:r>
      <w:r w:rsidR="000B47A7">
        <w:t>ollow</w:t>
      </w:r>
      <w:r w:rsidR="00FF137D">
        <w:t xml:space="preserve"> </w:t>
      </w:r>
      <w:r w:rsidR="00A85496">
        <w:t>U</w:t>
      </w:r>
      <w:r w:rsidR="000B47A7">
        <w:t>p</w:t>
      </w:r>
      <w:r>
        <w:t xml:space="preserve">. </w:t>
      </w:r>
      <w:r w:rsidR="009C1C57">
        <w:t>This included the AusNCP facilitating discussions between the parties</w:t>
      </w:r>
      <w:r w:rsidR="046E99FE">
        <w:t xml:space="preserve"> in Brisbane</w:t>
      </w:r>
      <w:r w:rsidR="009C1C57">
        <w:t xml:space="preserve">, through </w:t>
      </w:r>
      <w:r w:rsidR="00F854A7">
        <w:t xml:space="preserve">Independent </w:t>
      </w:r>
      <w:r w:rsidR="009C1C57">
        <w:t xml:space="preserve">Examiner Shiv Martin, to </w:t>
      </w:r>
      <w:r w:rsidR="008B7564">
        <w:t>assist in identifying an</w:t>
      </w:r>
      <w:r w:rsidR="009C1C57">
        <w:t xml:space="preserve">y agreement or resolution between the parties. There was some exchange between the parties through that process, but no agreement </w:t>
      </w:r>
      <w:r w:rsidR="6CAAAC02">
        <w:t xml:space="preserve">was </w:t>
      </w:r>
      <w:r w:rsidR="009C1C57">
        <w:t>reached</w:t>
      </w:r>
      <w:r w:rsidR="008B7564">
        <w:t xml:space="preserve">, and </w:t>
      </w:r>
      <w:r w:rsidR="0050263D">
        <w:t>this</w:t>
      </w:r>
      <w:r w:rsidR="001C7A1E">
        <w:t xml:space="preserve"> process finished</w:t>
      </w:r>
      <w:r w:rsidR="0050263D">
        <w:t xml:space="preserve"> </w:t>
      </w:r>
      <w:r w:rsidR="001C7A1E">
        <w:t xml:space="preserve">on 5 June </w:t>
      </w:r>
      <w:r w:rsidR="17489E93">
        <w:t>2025</w:t>
      </w:r>
      <w:r w:rsidR="001C7A1E">
        <w:t xml:space="preserve">. </w:t>
      </w:r>
      <w:r w:rsidR="00F854A7">
        <w:t xml:space="preserve">Independent </w:t>
      </w:r>
      <w:r w:rsidR="001C7A1E">
        <w:t xml:space="preserve">Examiner Martin transferred the case for </w:t>
      </w:r>
      <w:r w:rsidR="00E808B8">
        <w:t xml:space="preserve">a </w:t>
      </w:r>
      <w:r w:rsidR="00A85496">
        <w:t>F</w:t>
      </w:r>
      <w:r w:rsidR="000B47A7">
        <w:t>ollow</w:t>
      </w:r>
      <w:r w:rsidR="00FF137D">
        <w:t xml:space="preserve"> </w:t>
      </w:r>
      <w:r w:rsidR="00A85496">
        <w:t>U</w:t>
      </w:r>
      <w:r w:rsidR="000B47A7">
        <w:t xml:space="preserve">p </w:t>
      </w:r>
      <w:r w:rsidR="008B7564">
        <w:t xml:space="preserve">examination </w:t>
      </w:r>
      <w:r w:rsidR="001C7A1E">
        <w:t xml:space="preserve">to be </w:t>
      </w:r>
      <w:r w:rsidR="008B7564">
        <w:t xml:space="preserve">conducted by a different AusNCP </w:t>
      </w:r>
      <w:r w:rsidR="00F854A7">
        <w:t xml:space="preserve">Independent </w:t>
      </w:r>
      <w:r w:rsidR="00763E87">
        <w:t>E</w:t>
      </w:r>
      <w:r w:rsidR="008B7564">
        <w:t>xaminer</w:t>
      </w:r>
      <w:r w:rsidR="001C7A1E">
        <w:t>, John Southalan</w:t>
      </w:r>
      <w:r w:rsidR="00997A72">
        <w:t xml:space="preserve">, </w:t>
      </w:r>
      <w:r w:rsidR="001C7A1E">
        <w:t>which included the following explanations</w:t>
      </w:r>
      <w:r w:rsidR="00997A72">
        <w:t xml:space="preserve"> (copied to the parties)</w:t>
      </w:r>
      <w:r w:rsidR="001C7A1E">
        <w:t>:</w:t>
      </w:r>
    </w:p>
    <w:p w14:paraId="1A512E07" w14:textId="77777777" w:rsidR="001C7A1E" w:rsidRPr="001C7A1E" w:rsidRDefault="001C7A1E" w:rsidP="00997A72">
      <w:pPr>
        <w:pStyle w:val="OutlineNumbered1"/>
        <w:numPr>
          <w:ilvl w:val="0"/>
          <w:numId w:val="0"/>
        </w:numPr>
        <w:spacing w:before="120" w:after="0" w:line="280" w:lineRule="exact"/>
        <w:ind w:left="851"/>
        <w:rPr>
          <w:i/>
          <w:iCs/>
        </w:rPr>
      </w:pPr>
      <w:r w:rsidRPr="001C7A1E">
        <w:rPr>
          <w:i/>
          <w:iCs/>
        </w:rPr>
        <w:t>I would like to acknowledge and thank both parties for their cooperation and meaningful engagement with our first facilitated discussion on Wednesday 5 February 2025.</w:t>
      </w:r>
    </w:p>
    <w:p w14:paraId="14D0E197" w14:textId="07CFC6EF" w:rsidR="001C7A1E" w:rsidRPr="001C7A1E" w:rsidRDefault="001C7A1E" w:rsidP="5C154431">
      <w:pPr>
        <w:pStyle w:val="OutlineNumbered1"/>
        <w:numPr>
          <w:ilvl w:val="0"/>
          <w:numId w:val="0"/>
        </w:numPr>
        <w:spacing w:before="120" w:after="0" w:line="280" w:lineRule="exact"/>
        <w:ind w:left="851"/>
        <w:rPr>
          <w:i/>
          <w:iCs/>
        </w:rPr>
      </w:pPr>
      <w:r w:rsidRPr="5C154431">
        <w:rPr>
          <w:i/>
          <w:iCs/>
        </w:rPr>
        <w:t>At the parties’ request at the end of this first meeting, the parties corresponded to arrange a second facilitated discussion. Unfortunately, the parties were unable to come to an agreement on appropriate confidentiality undertakings, given proposed participants for the second facilitated discussion. I recognise both parties’ concerns and do not consider any bad faith conduct to have occurred. …</w:t>
      </w:r>
    </w:p>
    <w:p w14:paraId="2FD08A85" w14:textId="184CC48B" w:rsidR="001C7A1E" w:rsidRPr="001C7A1E" w:rsidRDefault="001C7A1E" w:rsidP="00997A72">
      <w:pPr>
        <w:pStyle w:val="OutlineNumbered1"/>
        <w:numPr>
          <w:ilvl w:val="0"/>
          <w:numId w:val="0"/>
        </w:numPr>
        <w:spacing w:before="120" w:after="0" w:line="280" w:lineRule="exact"/>
        <w:ind w:left="851"/>
        <w:rPr>
          <w:i/>
          <w:iCs/>
        </w:rPr>
      </w:pPr>
      <w:r w:rsidRPr="001C7A1E">
        <w:rPr>
          <w:i/>
          <w:iCs/>
        </w:rPr>
        <w:t xml:space="preserve">[T]o </w:t>
      </w:r>
      <w:proofErr w:type="gramStart"/>
      <w:r w:rsidRPr="001C7A1E">
        <w:rPr>
          <w:i/>
          <w:iCs/>
        </w:rPr>
        <w:t>ensure</w:t>
      </w:r>
      <w:proofErr w:type="gramEnd"/>
      <w:r w:rsidRPr="001C7A1E">
        <w:rPr>
          <w:i/>
          <w:iCs/>
        </w:rPr>
        <w:t xml:space="preserve"> the confidentiality and without prejudice nature of the facilitated discussion stage, I </w:t>
      </w:r>
      <w:r>
        <w:rPr>
          <w:i/>
          <w:iCs/>
        </w:rPr>
        <w:t xml:space="preserve">[Examiner Martin] </w:t>
      </w:r>
      <w:r w:rsidRPr="001C7A1E">
        <w:rPr>
          <w:i/>
          <w:iCs/>
        </w:rPr>
        <w:t>will not disclose any further information to you</w:t>
      </w:r>
      <w:r>
        <w:rPr>
          <w:i/>
          <w:iCs/>
        </w:rPr>
        <w:t xml:space="preserve"> [Examiner Southalan]</w:t>
      </w:r>
      <w:r w:rsidRPr="001C7A1E">
        <w:rPr>
          <w:i/>
          <w:iCs/>
        </w:rPr>
        <w:t xml:space="preserve"> in relation to the </w:t>
      </w:r>
      <w:r w:rsidR="00942E3C" w:rsidRPr="001C7A1E">
        <w:rPr>
          <w:i/>
          <w:iCs/>
        </w:rPr>
        <w:t>parties</w:t>
      </w:r>
      <w:r w:rsidR="00942E3C">
        <w:rPr>
          <w:i/>
          <w:iCs/>
        </w:rPr>
        <w:t>’</w:t>
      </w:r>
      <w:r w:rsidR="00942E3C" w:rsidRPr="001C7A1E">
        <w:rPr>
          <w:i/>
          <w:iCs/>
        </w:rPr>
        <w:t xml:space="preserve"> </w:t>
      </w:r>
      <w:r w:rsidRPr="001C7A1E">
        <w:rPr>
          <w:i/>
          <w:iCs/>
        </w:rPr>
        <w:t xml:space="preserve">conversations during the facilitated meetings. </w:t>
      </w:r>
      <w:r>
        <w:rPr>
          <w:i/>
          <w:iCs/>
        </w:rPr>
        <w:t>…</w:t>
      </w:r>
    </w:p>
    <w:p w14:paraId="591CF7C5" w14:textId="46BD2D86" w:rsidR="00E84F16" w:rsidRDefault="008B7564" w:rsidP="00442826">
      <w:pPr>
        <w:pStyle w:val="OutlineNumbered1"/>
        <w:keepNext/>
        <w:numPr>
          <w:ilvl w:val="0"/>
          <w:numId w:val="12"/>
        </w:numPr>
        <w:spacing w:before="240" w:after="0" w:line="280" w:lineRule="exact"/>
        <w:ind w:left="357" w:hanging="357"/>
        <w:jc w:val="both"/>
      </w:pPr>
      <w:r>
        <w:t xml:space="preserve">The AusNCP commends the parties for that engagement and emphasises that the </w:t>
      </w:r>
      <w:r w:rsidR="00E84F16">
        <w:t>complaint process under the OECD Guidelines is fundamentally about the NCP ‘</w:t>
      </w:r>
      <w:r w:rsidR="00E84F16" w:rsidRPr="00E84F16">
        <w:t>offer</w:t>
      </w:r>
      <w:r w:rsidR="00E84F16">
        <w:t>[</w:t>
      </w:r>
      <w:proofErr w:type="spellStart"/>
      <w:r w:rsidR="00E84F16">
        <w:t>ing</w:t>
      </w:r>
      <w:proofErr w:type="spellEnd"/>
      <w:r w:rsidR="00E84F16">
        <w:t>]</w:t>
      </w:r>
      <w:r w:rsidR="00E84F16" w:rsidRPr="00E84F16">
        <w:t xml:space="preserve"> a forum for discussion and its expertise on the Guidelines to assist the </w:t>
      </w:r>
      <w:r w:rsidR="00E84F16">
        <w:t>...</w:t>
      </w:r>
      <w:r w:rsidR="00E84F16" w:rsidRPr="00E84F16">
        <w:t xml:space="preserve"> parties concerned to resolve the issues raised</w:t>
      </w:r>
      <w:r w:rsidR="00E84F16">
        <w:t>’</w:t>
      </w:r>
      <w:r w:rsidR="001D6781">
        <w:t>.</w:t>
      </w:r>
      <w:r w:rsidR="00E84F16">
        <w:rPr>
          <w:rStyle w:val="FootnoteReference"/>
        </w:rPr>
        <w:footnoteReference w:id="6"/>
      </w:r>
      <w:r w:rsidR="00E84F16">
        <w:t xml:space="preserve"> </w:t>
      </w:r>
      <w:r w:rsidR="00E84F16" w:rsidRPr="0042033E">
        <w:lastRenderedPageBreak/>
        <w:t>Consistent</w:t>
      </w:r>
      <w:r w:rsidR="00E84F16">
        <w:t xml:space="preserve"> with this, </w:t>
      </w:r>
      <w:r w:rsidR="0083686A">
        <w:t xml:space="preserve">Independent </w:t>
      </w:r>
      <w:r w:rsidR="008C3F9F">
        <w:t>Examiner Southalan</w:t>
      </w:r>
      <w:r w:rsidR="00E84F16">
        <w:t xml:space="preserve"> agree</w:t>
      </w:r>
      <w:r w:rsidR="00370C59">
        <w:t>d</w:t>
      </w:r>
      <w:r w:rsidR="00E84F16">
        <w:t xml:space="preserve"> with the parties </w:t>
      </w:r>
      <w:r w:rsidR="5BB255D0">
        <w:t>that</w:t>
      </w:r>
      <w:r w:rsidR="003C785F">
        <w:t xml:space="preserve"> the </w:t>
      </w:r>
      <w:r w:rsidR="00A85496">
        <w:t>F</w:t>
      </w:r>
      <w:r w:rsidR="003C785F">
        <w:t xml:space="preserve">ollow </w:t>
      </w:r>
      <w:r w:rsidR="00A85496">
        <w:t>U</w:t>
      </w:r>
      <w:r w:rsidR="003C785F">
        <w:t>p process would</w:t>
      </w:r>
      <w:r w:rsidR="0E8D54AE">
        <w:t>:</w:t>
      </w:r>
    </w:p>
    <w:p w14:paraId="7ADF0F62" w14:textId="30E9C17E" w:rsidR="00370C59" w:rsidRPr="0084054D" w:rsidRDefault="00370C59" w:rsidP="0084054D">
      <w:pPr>
        <w:pStyle w:val="OutlineNumbered1"/>
        <w:numPr>
          <w:ilvl w:val="1"/>
          <w:numId w:val="12"/>
        </w:numPr>
        <w:spacing w:before="240" w:after="0" w:line="280" w:lineRule="exact"/>
        <w:rPr>
          <w:lang w:val="en-GB"/>
        </w:rPr>
      </w:pPr>
      <w:r w:rsidRPr="0084054D">
        <w:rPr>
          <w:lang w:val="en-GB"/>
        </w:rPr>
        <w:t xml:space="preserve">not have any information or material </w:t>
      </w:r>
      <w:r w:rsidR="003B00A8">
        <w:rPr>
          <w:lang w:val="en-GB"/>
        </w:rPr>
        <w:t>that</w:t>
      </w:r>
      <w:r w:rsidRPr="0084054D">
        <w:rPr>
          <w:lang w:val="en-GB"/>
        </w:rPr>
        <w:t xml:space="preserve"> the parties exchanged in the facilitated discussions (which remain confidential to the parties and </w:t>
      </w:r>
      <w:r w:rsidR="0083686A">
        <w:t xml:space="preserve">Independent </w:t>
      </w:r>
      <w:r w:rsidRPr="0084054D">
        <w:rPr>
          <w:lang w:val="en-GB"/>
        </w:rPr>
        <w:t>Examiner Martin)</w:t>
      </w:r>
    </w:p>
    <w:p w14:paraId="30C78913" w14:textId="1E11F704" w:rsidR="001A2A8E" w:rsidRPr="0084054D" w:rsidRDefault="00370C59" w:rsidP="0084054D">
      <w:pPr>
        <w:pStyle w:val="OutlineNumbered1"/>
        <w:numPr>
          <w:ilvl w:val="1"/>
          <w:numId w:val="12"/>
        </w:numPr>
        <w:spacing w:before="240" w:after="0" w:line="280" w:lineRule="exact"/>
        <w:rPr>
          <w:lang w:val="en-GB"/>
        </w:rPr>
      </w:pPr>
      <w:r w:rsidRPr="0084054D">
        <w:rPr>
          <w:lang w:val="en-GB"/>
        </w:rPr>
        <w:t xml:space="preserve">focus on the recommendations made in the </w:t>
      </w:r>
      <w:r w:rsidR="001A2A8E" w:rsidRPr="0084054D">
        <w:rPr>
          <w:lang w:val="en-GB"/>
        </w:rPr>
        <w:t xml:space="preserve">2023 </w:t>
      </w:r>
      <w:r w:rsidR="36172E39" w:rsidRPr="0084054D">
        <w:rPr>
          <w:lang w:val="en-GB"/>
        </w:rPr>
        <w:t>F</w:t>
      </w:r>
      <w:r w:rsidRPr="0084054D">
        <w:rPr>
          <w:lang w:val="en-GB"/>
        </w:rPr>
        <w:t xml:space="preserve">inal </w:t>
      </w:r>
      <w:r w:rsidR="670C0EDB" w:rsidRPr="0084054D">
        <w:rPr>
          <w:lang w:val="en-GB"/>
        </w:rPr>
        <w:t>S</w:t>
      </w:r>
      <w:r w:rsidRPr="0084054D">
        <w:rPr>
          <w:lang w:val="en-GB"/>
        </w:rPr>
        <w:t>tatement</w:t>
      </w:r>
    </w:p>
    <w:p w14:paraId="45CBB53B" w14:textId="226E55AB" w:rsidR="00442826" w:rsidRPr="0084054D" w:rsidRDefault="00370C59" w:rsidP="0084054D">
      <w:pPr>
        <w:pStyle w:val="OutlineNumbered1"/>
        <w:numPr>
          <w:ilvl w:val="1"/>
          <w:numId w:val="12"/>
        </w:numPr>
        <w:spacing w:before="240" w:after="0" w:line="280" w:lineRule="exact"/>
        <w:rPr>
          <w:lang w:val="en-GB"/>
        </w:rPr>
      </w:pPr>
      <w:r w:rsidRPr="0084054D">
        <w:rPr>
          <w:lang w:val="en-GB"/>
        </w:rPr>
        <w:t xml:space="preserve">examine the extent to which the recommendations </w:t>
      </w:r>
      <w:r w:rsidR="003B00A8">
        <w:rPr>
          <w:lang w:val="en-GB"/>
        </w:rPr>
        <w:t>of the 2023 Final Statement</w:t>
      </w:r>
      <w:r w:rsidRPr="0084054D">
        <w:rPr>
          <w:lang w:val="en-GB"/>
        </w:rPr>
        <w:t xml:space="preserve"> ha</w:t>
      </w:r>
      <w:r w:rsidR="00DE05D0" w:rsidRPr="0084054D">
        <w:rPr>
          <w:lang w:val="en-GB"/>
        </w:rPr>
        <w:t>d</w:t>
      </w:r>
      <w:r w:rsidRPr="0084054D">
        <w:rPr>
          <w:lang w:val="en-GB"/>
        </w:rPr>
        <w:t xml:space="preserve"> been implemented</w:t>
      </w:r>
      <w:r w:rsidR="001A2A8E" w:rsidRPr="0084054D">
        <w:rPr>
          <w:lang w:val="en-GB"/>
        </w:rPr>
        <w:t>. Each party c</w:t>
      </w:r>
      <w:r w:rsidR="002422A6" w:rsidRPr="0084054D">
        <w:rPr>
          <w:lang w:val="en-GB"/>
        </w:rPr>
        <w:t>ould</w:t>
      </w:r>
      <w:r w:rsidRPr="0084054D">
        <w:rPr>
          <w:lang w:val="en-GB"/>
        </w:rPr>
        <w:t xml:space="preserve"> provide submissions (by an agreed date) addressing what has occurred regarding the recommendations in the </w:t>
      </w:r>
      <w:r w:rsidR="00A117B4" w:rsidRPr="0084054D">
        <w:rPr>
          <w:lang w:val="en-GB"/>
        </w:rPr>
        <w:t xml:space="preserve">2023 </w:t>
      </w:r>
      <w:r w:rsidRPr="0084054D">
        <w:rPr>
          <w:lang w:val="en-GB"/>
        </w:rPr>
        <w:t xml:space="preserve">Final Statement. </w:t>
      </w:r>
    </w:p>
    <w:p w14:paraId="3741E45B" w14:textId="2E7748AA" w:rsidR="00442826" w:rsidRDefault="00370C59" w:rsidP="00CB4304">
      <w:pPr>
        <w:pStyle w:val="OutlineNumbered1"/>
        <w:numPr>
          <w:ilvl w:val="0"/>
          <w:numId w:val="12"/>
        </w:numPr>
        <w:spacing w:before="240" w:after="0" w:line="280" w:lineRule="exact"/>
        <w:jc w:val="both"/>
      </w:pPr>
      <w:r>
        <w:t>Consistent with procedural fairness</w:t>
      </w:r>
      <w:r w:rsidR="001D6781">
        <w:t xml:space="preserve"> and the AusNCP complaint procedures</w:t>
      </w:r>
      <w:r>
        <w:t>,</w:t>
      </w:r>
      <w:r w:rsidR="001D6781">
        <w:rPr>
          <w:rStyle w:val="FootnoteReference"/>
        </w:rPr>
        <w:footnoteReference w:id="7"/>
      </w:r>
      <w:r>
        <w:t xml:space="preserve"> </w:t>
      </w:r>
      <w:r w:rsidR="00BB51DE">
        <w:t xml:space="preserve">this </w:t>
      </w:r>
      <w:r w:rsidR="69A35A51">
        <w:t>F</w:t>
      </w:r>
      <w:r w:rsidR="00BB51DE">
        <w:t>ollow</w:t>
      </w:r>
      <w:r w:rsidR="7A001AE9">
        <w:t xml:space="preserve"> </w:t>
      </w:r>
      <w:r w:rsidR="42064FE3">
        <w:t>U</w:t>
      </w:r>
      <w:r w:rsidR="00BB51DE">
        <w:t xml:space="preserve">p </w:t>
      </w:r>
      <w:r w:rsidR="3A89278B">
        <w:t>S</w:t>
      </w:r>
      <w:r w:rsidR="00BB51DE">
        <w:t xml:space="preserve">tatement focuses on the </w:t>
      </w:r>
      <w:r w:rsidR="008A667A">
        <w:t>Final Statement’s</w:t>
      </w:r>
      <w:r w:rsidR="00BB51DE">
        <w:t xml:space="preserve"> recommendations and the parties</w:t>
      </w:r>
      <w:r w:rsidR="001A2A8E">
        <w:t>’</w:t>
      </w:r>
      <w:r w:rsidR="00BB51DE">
        <w:t xml:space="preserve"> submissions regarding th</w:t>
      </w:r>
      <w:r w:rsidR="008A667A">
        <w:t>ose</w:t>
      </w:r>
      <w:r w:rsidR="00D76963">
        <w:t xml:space="preserve"> recommendations</w:t>
      </w:r>
      <w:r w:rsidR="00BB51DE">
        <w:t xml:space="preserve"> (which have been shared with each party). The </w:t>
      </w:r>
      <w:r w:rsidR="00A85496">
        <w:t>F</w:t>
      </w:r>
      <w:r w:rsidR="000B47A7">
        <w:t>ollow</w:t>
      </w:r>
      <w:r w:rsidR="00FF137D">
        <w:t xml:space="preserve"> </w:t>
      </w:r>
      <w:r w:rsidR="00A85496">
        <w:t>U</w:t>
      </w:r>
      <w:r w:rsidR="000B47A7">
        <w:t xml:space="preserve">p </w:t>
      </w:r>
      <w:r w:rsidR="00BB51DE">
        <w:t xml:space="preserve">does not </w:t>
      </w:r>
      <w:r w:rsidR="00D76963">
        <w:t>address</w:t>
      </w:r>
      <w:r w:rsidR="00BB51DE">
        <w:t xml:space="preserve"> new concerns raised by </w:t>
      </w:r>
      <w:r w:rsidR="00055107">
        <w:t>each</w:t>
      </w:r>
      <w:r w:rsidR="00BB51DE">
        <w:t xml:space="preserve"> party about the other</w:t>
      </w:r>
      <w:r w:rsidR="001A2A8E">
        <w:t>,</w:t>
      </w:r>
      <w:r w:rsidR="00BB51DE">
        <w:t xml:space="preserve"> nor </w:t>
      </w:r>
      <w:r w:rsidR="00997A72">
        <w:t>rely o</w:t>
      </w:r>
      <w:r w:rsidR="00BB51DE">
        <w:t>n material which the other has not had the opportunity to consider and address.</w:t>
      </w:r>
      <w:bookmarkStart w:id="25" w:name="_Ref136703061"/>
      <w:bookmarkEnd w:id="24"/>
    </w:p>
    <w:p w14:paraId="36A60539" w14:textId="75905BC1" w:rsidR="00055107" w:rsidRPr="00442826" w:rsidRDefault="00BB51DE" w:rsidP="00CB4304">
      <w:pPr>
        <w:pStyle w:val="OutlineNumbered1"/>
        <w:numPr>
          <w:ilvl w:val="0"/>
          <w:numId w:val="12"/>
        </w:numPr>
        <w:spacing w:before="240" w:after="0" w:line="280" w:lineRule="exact"/>
        <w:jc w:val="both"/>
      </w:pPr>
      <w:r>
        <w:t xml:space="preserve">The AusNCP </w:t>
      </w:r>
      <w:r w:rsidR="00372D1C">
        <w:t>complaint p</w:t>
      </w:r>
      <w:r>
        <w:t xml:space="preserve">rocedures require that a </w:t>
      </w:r>
      <w:r w:rsidR="47CC89B6">
        <w:t>F</w:t>
      </w:r>
      <w:r>
        <w:t>ollow</w:t>
      </w:r>
      <w:r w:rsidR="76EC91C6">
        <w:t xml:space="preserve"> </w:t>
      </w:r>
      <w:r w:rsidR="3749EE71">
        <w:t>U</w:t>
      </w:r>
      <w:r>
        <w:t xml:space="preserve">p </w:t>
      </w:r>
      <w:r w:rsidR="3308B3CA">
        <w:t>S</w:t>
      </w:r>
      <w:r>
        <w:t>tatement</w:t>
      </w:r>
      <w:r w:rsidR="000D588A">
        <w:t xml:space="preserve"> provide a summary of the updates received from each party</w:t>
      </w:r>
      <w:bookmarkEnd w:id="25"/>
      <w:r w:rsidR="00A57280" w:rsidRPr="00442826">
        <w:rPr>
          <w:lang w:val="en-GB"/>
        </w:rPr>
        <w:t>.</w:t>
      </w:r>
      <w:r w:rsidR="001A2A8E" w:rsidRPr="00442826">
        <w:rPr>
          <w:lang w:val="en-GB"/>
        </w:rPr>
        <w:t xml:space="preserve"> </w:t>
      </w:r>
      <w:r w:rsidR="00055107" w:rsidRPr="00442826">
        <w:rPr>
          <w:lang w:val="en-GB"/>
        </w:rPr>
        <w:t>In summary, t</w:t>
      </w:r>
      <w:r w:rsidR="000D588A" w:rsidRPr="00442826">
        <w:rPr>
          <w:lang w:val="en-GB"/>
        </w:rPr>
        <w:t>he notifiers</w:t>
      </w:r>
      <w:r w:rsidR="00055107" w:rsidRPr="00442826">
        <w:rPr>
          <w:lang w:val="en-GB"/>
        </w:rPr>
        <w:t xml:space="preserve"> raised the following issues:</w:t>
      </w:r>
    </w:p>
    <w:p w14:paraId="1A23261D" w14:textId="38E6E57E" w:rsidR="00055107" w:rsidRPr="0084054D" w:rsidRDefault="00055107" w:rsidP="0084054D">
      <w:pPr>
        <w:pStyle w:val="OutlineNumbered1"/>
        <w:numPr>
          <w:ilvl w:val="1"/>
          <w:numId w:val="12"/>
        </w:numPr>
        <w:spacing w:before="240" w:after="0" w:line="280" w:lineRule="exact"/>
      </w:pPr>
      <w:r w:rsidRPr="0084054D">
        <w:t xml:space="preserve">the enterprise has not disclosed the </w:t>
      </w:r>
      <w:r w:rsidR="008C2184" w:rsidRPr="0084054D">
        <w:t xml:space="preserve">2018 </w:t>
      </w:r>
      <w:r w:rsidRPr="0084054D">
        <w:t>dam break analysis</w:t>
      </w:r>
      <w:r w:rsidR="00E94CE4">
        <w:t>,</w:t>
      </w:r>
      <w:r w:rsidRPr="0084054D">
        <w:t xml:space="preserve"> but instead </w:t>
      </w:r>
      <w:r w:rsidR="00295DDB" w:rsidRPr="0084054D">
        <w:t xml:space="preserve">disclosed </w:t>
      </w:r>
      <w:r w:rsidRPr="0084054D">
        <w:t>a more recent document with different information</w:t>
      </w:r>
    </w:p>
    <w:p w14:paraId="5179E82C" w14:textId="625AA346" w:rsidR="00055107" w:rsidRPr="0084054D" w:rsidRDefault="00055107" w:rsidP="0084054D">
      <w:pPr>
        <w:pStyle w:val="OutlineNumbered1"/>
        <w:numPr>
          <w:ilvl w:val="1"/>
          <w:numId w:val="12"/>
        </w:numPr>
        <w:spacing w:before="240" w:after="0" w:line="280" w:lineRule="exact"/>
      </w:pPr>
      <w:r w:rsidRPr="0084054D">
        <w:t xml:space="preserve">various aspects of the 2023 </w:t>
      </w:r>
      <w:r w:rsidR="00D24AAA" w:rsidRPr="0084054D">
        <w:t>Final S</w:t>
      </w:r>
      <w:r w:rsidRPr="0084054D">
        <w:t xml:space="preserve">tatement </w:t>
      </w:r>
      <w:r w:rsidR="008D1525">
        <w:t>–</w:t>
      </w:r>
      <w:r w:rsidRPr="0084054D">
        <w:t xml:space="preserve"> separate from its recommendations </w:t>
      </w:r>
      <w:r w:rsidR="008D1525">
        <w:t>–</w:t>
      </w:r>
      <w:r w:rsidR="008D1525" w:rsidRPr="0084054D">
        <w:t xml:space="preserve"> </w:t>
      </w:r>
      <w:r w:rsidRPr="0084054D">
        <w:t xml:space="preserve">were incorrect and should be reconsidered in the </w:t>
      </w:r>
      <w:r w:rsidR="1DDA8416" w:rsidRPr="0033044E">
        <w:t>Follow Up Statement</w:t>
      </w:r>
      <w:r w:rsidR="008D1525">
        <w:t>,</w:t>
      </w:r>
      <w:r w:rsidR="45AACACB" w:rsidRPr="0033044E">
        <w:t xml:space="preserve"> </w:t>
      </w:r>
      <w:r w:rsidRPr="0084054D">
        <w:t xml:space="preserve">with </w:t>
      </w:r>
      <w:r w:rsidR="001C7A1E" w:rsidRPr="0084054D">
        <w:t>different explanations of the OECD Guidelines</w:t>
      </w:r>
      <w:r w:rsidR="008D1525">
        <w:t>,</w:t>
      </w:r>
      <w:r w:rsidR="001C7A1E" w:rsidRPr="0084054D">
        <w:t xml:space="preserve"> and </w:t>
      </w:r>
      <w:r w:rsidRPr="0084054D">
        <w:t xml:space="preserve">further observations on the </w:t>
      </w:r>
      <w:r w:rsidRPr="0033044E">
        <w:t>company</w:t>
      </w:r>
      <w:r w:rsidR="00763E87">
        <w:t>’</w:t>
      </w:r>
      <w:r w:rsidRPr="0033044E">
        <w:t>s</w:t>
      </w:r>
      <w:r w:rsidRPr="0084054D">
        <w:t xml:space="preserve"> actions and decisions</w:t>
      </w:r>
    </w:p>
    <w:p w14:paraId="4CCCBE52" w14:textId="093C54E9" w:rsidR="00055107" w:rsidRPr="0084054D" w:rsidRDefault="001A2A8E" w:rsidP="0084054D">
      <w:pPr>
        <w:pStyle w:val="OutlineNumbered1"/>
        <w:numPr>
          <w:ilvl w:val="1"/>
          <w:numId w:val="12"/>
        </w:numPr>
        <w:spacing w:before="240" w:after="0" w:line="280" w:lineRule="exact"/>
      </w:pPr>
      <w:r w:rsidRPr="0084054D">
        <w:t xml:space="preserve">the notifiers </w:t>
      </w:r>
      <w:r w:rsidR="00055107" w:rsidRPr="0084054D">
        <w:t>provid</w:t>
      </w:r>
      <w:r w:rsidRPr="0084054D">
        <w:t>ed</w:t>
      </w:r>
      <w:r w:rsidR="00055107" w:rsidRPr="0084054D">
        <w:t xml:space="preserve"> their observations on the </w:t>
      </w:r>
      <w:proofErr w:type="spellStart"/>
      <w:r w:rsidRPr="0084054D">
        <w:t>AusNCP’s</w:t>
      </w:r>
      <w:proofErr w:type="spellEnd"/>
      <w:r w:rsidRPr="0084054D">
        <w:t xml:space="preserve"> 2025 </w:t>
      </w:r>
      <w:r w:rsidR="00055107" w:rsidRPr="0084054D">
        <w:t xml:space="preserve">facilitated discussions (with </w:t>
      </w:r>
      <w:r w:rsidR="0083686A">
        <w:t xml:space="preserve">Independent </w:t>
      </w:r>
      <w:r w:rsidR="00055107" w:rsidRPr="0084054D">
        <w:t>Examiner Martin)</w:t>
      </w:r>
      <w:r w:rsidR="0081661E">
        <w:t>,</w:t>
      </w:r>
      <w:r w:rsidR="00055107" w:rsidRPr="0084054D">
        <w:t xml:space="preserve"> and why these did not resolve </w:t>
      </w:r>
      <w:r w:rsidR="0081661E">
        <w:t xml:space="preserve">the </w:t>
      </w:r>
      <w:r w:rsidR="00055107" w:rsidRPr="0084054D">
        <w:t>matters</w:t>
      </w:r>
    </w:p>
    <w:p w14:paraId="65AE1D90" w14:textId="5F19362E" w:rsidR="00CA66FE" w:rsidRPr="0084054D" w:rsidRDefault="00055107" w:rsidP="0084054D">
      <w:pPr>
        <w:pStyle w:val="OutlineNumbered1"/>
        <w:numPr>
          <w:ilvl w:val="1"/>
          <w:numId w:val="12"/>
        </w:numPr>
        <w:spacing w:before="240" w:after="0" w:line="280" w:lineRule="exact"/>
      </w:pPr>
      <w:r w:rsidRPr="0084054D">
        <w:t xml:space="preserve">the notifiers raised new matters of concern under the OECD Guidelines and </w:t>
      </w:r>
      <w:r w:rsidR="001C7A1E" w:rsidRPr="0084054D">
        <w:t>Papua New Guinea</w:t>
      </w:r>
      <w:r w:rsidR="0081661E">
        <w:t xml:space="preserve"> law</w:t>
      </w:r>
      <w:r w:rsidRPr="0084054D">
        <w:t xml:space="preserve">, and requested the </w:t>
      </w:r>
      <w:r w:rsidR="0083686A">
        <w:t xml:space="preserve">Independent </w:t>
      </w:r>
      <w:r w:rsidR="00C47BD4" w:rsidRPr="0033044E">
        <w:t>E</w:t>
      </w:r>
      <w:r w:rsidRPr="0033044E">
        <w:t>xaminer</w:t>
      </w:r>
      <w:r w:rsidR="00942E3C" w:rsidRPr="0033044E">
        <w:t>’</w:t>
      </w:r>
      <w:r w:rsidRPr="0033044E">
        <w:t>s</w:t>
      </w:r>
      <w:r w:rsidRPr="0084054D">
        <w:t xml:space="preserve"> </w:t>
      </w:r>
      <w:r w:rsidR="001C7A1E" w:rsidRPr="0084054D">
        <w:t xml:space="preserve">assessment and </w:t>
      </w:r>
      <w:r w:rsidRPr="0084054D">
        <w:t>statement on these</w:t>
      </w:r>
      <w:r w:rsidR="0024594C">
        <w:t xml:space="preserve"> matters</w:t>
      </w:r>
    </w:p>
    <w:p w14:paraId="63B10BFB" w14:textId="0CC25737" w:rsidR="00055107" w:rsidRPr="0084054D" w:rsidRDefault="00E832E5" w:rsidP="0084054D">
      <w:pPr>
        <w:pStyle w:val="OutlineNumbered1"/>
        <w:numPr>
          <w:ilvl w:val="1"/>
          <w:numId w:val="12"/>
        </w:numPr>
        <w:spacing w:before="240" w:after="0" w:line="280" w:lineRule="exact"/>
      </w:pPr>
      <w:r w:rsidRPr="0084054D">
        <w:t xml:space="preserve">the notifiers </w:t>
      </w:r>
      <w:r w:rsidR="00055107" w:rsidRPr="0084054D">
        <w:t xml:space="preserve">recommended the </w:t>
      </w:r>
      <w:r w:rsidR="00097562">
        <w:t xml:space="preserve">Independent </w:t>
      </w:r>
      <w:r w:rsidR="00C47BD4" w:rsidRPr="0033044E">
        <w:t>E</w:t>
      </w:r>
      <w:r w:rsidR="00055107" w:rsidRPr="0033044E">
        <w:t>xaminer</w:t>
      </w:r>
      <w:r w:rsidR="00055107" w:rsidRPr="0084054D">
        <w:t xml:space="preserve"> make observations on the enterprise’s compliance </w:t>
      </w:r>
      <w:r w:rsidR="001C7A1E" w:rsidRPr="0084054D">
        <w:t xml:space="preserve">with the OECD Guidelines </w:t>
      </w:r>
      <w:r w:rsidR="00055107" w:rsidRPr="0084054D">
        <w:t>and identify these to various Australian Government agencies.</w:t>
      </w:r>
    </w:p>
    <w:p w14:paraId="3B2325A5" w14:textId="14F0A238" w:rsidR="00D6276B" w:rsidRDefault="00055107" w:rsidP="00D6276B">
      <w:pPr>
        <w:pStyle w:val="OutlineNumbered1"/>
        <w:numPr>
          <w:ilvl w:val="0"/>
          <w:numId w:val="12"/>
        </w:numPr>
        <w:spacing w:before="240" w:after="0" w:line="280" w:lineRule="exact"/>
        <w:jc w:val="both"/>
        <w:rPr>
          <w:lang w:val="en-GB"/>
        </w:rPr>
      </w:pPr>
      <w:r>
        <w:rPr>
          <w:lang w:val="en-GB"/>
        </w:rPr>
        <w:t xml:space="preserve">In </w:t>
      </w:r>
      <w:r w:rsidRPr="00055107">
        <w:rPr>
          <w:lang w:val="en-GB"/>
        </w:rPr>
        <w:t>summary</w:t>
      </w:r>
      <w:r>
        <w:rPr>
          <w:lang w:val="en-GB"/>
        </w:rPr>
        <w:t xml:space="preserve">, the </w:t>
      </w:r>
      <w:r w:rsidRPr="00055107">
        <w:rPr>
          <w:lang w:val="en-GB"/>
        </w:rPr>
        <w:t xml:space="preserve">enterprise </w:t>
      </w:r>
      <w:r>
        <w:rPr>
          <w:lang w:val="en-GB"/>
        </w:rPr>
        <w:t>raised the following issues:</w:t>
      </w:r>
    </w:p>
    <w:p w14:paraId="1A2580E4" w14:textId="0BE7D683" w:rsidR="00D6276B" w:rsidRDefault="00055107" w:rsidP="00F02527">
      <w:pPr>
        <w:pStyle w:val="OutlineNumbered1"/>
        <w:numPr>
          <w:ilvl w:val="1"/>
          <w:numId w:val="12"/>
        </w:numPr>
        <w:spacing w:before="240" w:after="0" w:line="280" w:lineRule="exact"/>
        <w:rPr>
          <w:lang w:val="en-GB"/>
        </w:rPr>
      </w:pPr>
      <w:r w:rsidRPr="00D6276B">
        <w:rPr>
          <w:lang w:val="en-GB"/>
        </w:rPr>
        <w:t>described the company’s community engagement (more generally</w:t>
      </w:r>
      <w:r w:rsidR="0024594C">
        <w:rPr>
          <w:lang w:val="en-GB"/>
        </w:rPr>
        <w:t>,</w:t>
      </w:r>
      <w:r w:rsidRPr="00D6276B">
        <w:rPr>
          <w:lang w:val="en-GB"/>
        </w:rPr>
        <w:t xml:space="preserve"> and specifically with the notifiers)</w:t>
      </w:r>
    </w:p>
    <w:p w14:paraId="2BCE631A" w14:textId="3DF7B75F" w:rsidR="00D6276B" w:rsidRDefault="001D6781" w:rsidP="00F02527">
      <w:pPr>
        <w:pStyle w:val="OutlineNumbered1"/>
        <w:numPr>
          <w:ilvl w:val="1"/>
          <w:numId w:val="12"/>
        </w:numPr>
        <w:spacing w:before="240" w:after="0" w:line="280" w:lineRule="exact"/>
        <w:rPr>
          <w:lang w:val="en-GB"/>
        </w:rPr>
      </w:pPr>
      <w:r>
        <w:rPr>
          <w:lang w:val="en-GB"/>
        </w:rPr>
        <w:t xml:space="preserve">raised concerns </w:t>
      </w:r>
      <w:r w:rsidR="00055107" w:rsidRPr="00D6276B">
        <w:rPr>
          <w:lang w:val="en-GB"/>
        </w:rPr>
        <w:t>about various statements made by the notifiers</w:t>
      </w:r>
    </w:p>
    <w:p w14:paraId="27BC9FBC" w14:textId="0F2657C6" w:rsidR="00055107" w:rsidRPr="00D6276B" w:rsidRDefault="00055107" w:rsidP="00F02527">
      <w:pPr>
        <w:pStyle w:val="OutlineNumbered1"/>
        <w:numPr>
          <w:ilvl w:val="1"/>
          <w:numId w:val="12"/>
        </w:numPr>
        <w:spacing w:before="240" w:after="0" w:line="280" w:lineRule="exact"/>
        <w:rPr>
          <w:lang w:val="en-GB"/>
        </w:rPr>
      </w:pPr>
      <w:r w:rsidRPr="00D6276B">
        <w:rPr>
          <w:lang w:val="en-GB"/>
        </w:rPr>
        <w:lastRenderedPageBreak/>
        <w:t xml:space="preserve">explained its provision of a Dam Technical Report, and </w:t>
      </w:r>
      <w:r w:rsidR="00E701FC">
        <w:rPr>
          <w:lang w:val="en-GB"/>
        </w:rPr>
        <w:t xml:space="preserve">a </w:t>
      </w:r>
      <w:r w:rsidRPr="00D6276B">
        <w:rPr>
          <w:lang w:val="en-GB"/>
        </w:rPr>
        <w:t>summary available online in both English and Tok Pisin languages</w:t>
      </w:r>
    </w:p>
    <w:p w14:paraId="0641B98D" w14:textId="77777777" w:rsidR="00750AEB" w:rsidRDefault="00055107" w:rsidP="0084054D">
      <w:pPr>
        <w:pStyle w:val="OutlineNumbered1"/>
        <w:numPr>
          <w:ilvl w:val="1"/>
          <w:numId w:val="12"/>
        </w:numPr>
        <w:spacing w:before="240" w:after="0" w:line="280" w:lineRule="exact"/>
        <w:rPr>
          <w:lang w:val="en-GB"/>
        </w:rPr>
      </w:pPr>
      <w:r w:rsidRPr="00055107">
        <w:rPr>
          <w:lang w:val="en-GB"/>
        </w:rPr>
        <w:t xml:space="preserve">gave detail in relation to </w:t>
      </w:r>
      <w:r>
        <w:rPr>
          <w:lang w:val="en-GB"/>
        </w:rPr>
        <w:t xml:space="preserve">each of the </w:t>
      </w:r>
      <w:r w:rsidRPr="00055107">
        <w:rPr>
          <w:lang w:val="en-GB"/>
        </w:rPr>
        <w:t xml:space="preserve">recommendations </w:t>
      </w:r>
      <w:r>
        <w:rPr>
          <w:lang w:val="en-GB"/>
        </w:rPr>
        <w:t>to the enterprise</w:t>
      </w:r>
      <w:r w:rsidRPr="00055107">
        <w:rPr>
          <w:lang w:val="en-GB"/>
        </w:rPr>
        <w:t xml:space="preserve"> (which are included in the observations below)</w:t>
      </w:r>
      <w:r w:rsidR="001C7A1E">
        <w:rPr>
          <w:lang w:val="en-GB"/>
        </w:rPr>
        <w:t>.</w:t>
      </w:r>
      <w:bookmarkStart w:id="26" w:name="_Ref202948246"/>
    </w:p>
    <w:p w14:paraId="2DF5FFE6" w14:textId="47ECF6DC" w:rsidR="00D76963" w:rsidRPr="00750AEB" w:rsidRDefault="00D76963" w:rsidP="00FA1E95">
      <w:pPr>
        <w:pStyle w:val="OutlineNumbered1"/>
        <w:numPr>
          <w:ilvl w:val="0"/>
          <w:numId w:val="12"/>
        </w:numPr>
        <w:spacing w:before="240" w:after="0" w:line="280" w:lineRule="exact"/>
        <w:jc w:val="both"/>
        <w:rPr>
          <w:lang w:val="en-GB"/>
        </w:rPr>
      </w:pPr>
      <w:r w:rsidRPr="00750AEB">
        <w:rPr>
          <w:lang w:val="en-GB"/>
        </w:rPr>
        <w:t xml:space="preserve">Over the period from when this complaint was first lodged, to now, there have been changes to both the OECD Guidelines (updated in June 2023) and the AusNCP </w:t>
      </w:r>
      <w:r w:rsidR="00372D1C">
        <w:t xml:space="preserve">complaint </w:t>
      </w:r>
      <w:r w:rsidR="009F6C40">
        <w:t>procedures</w:t>
      </w:r>
      <w:r w:rsidRPr="00750AEB">
        <w:rPr>
          <w:lang w:val="en-GB"/>
        </w:rPr>
        <w:t xml:space="preserve"> (revised in April 2024). The </w:t>
      </w:r>
      <w:proofErr w:type="spellStart"/>
      <w:r w:rsidRPr="00750AEB">
        <w:rPr>
          <w:lang w:val="en-GB"/>
        </w:rPr>
        <w:t>AusNCP’s</w:t>
      </w:r>
      <w:proofErr w:type="spellEnd"/>
      <w:r w:rsidRPr="00750AEB">
        <w:rPr>
          <w:lang w:val="en-GB"/>
        </w:rPr>
        <w:t xml:space="preserve"> earlier examination</w:t>
      </w:r>
      <w:r w:rsidR="00FF4BAB">
        <w:rPr>
          <w:lang w:val="en-GB"/>
        </w:rPr>
        <w:t>,</w:t>
      </w:r>
      <w:r w:rsidRPr="00750AEB">
        <w:rPr>
          <w:lang w:val="en-GB"/>
        </w:rPr>
        <w:t xml:space="preserve"> which produced the 2023 Final Statement and its recommendations</w:t>
      </w:r>
      <w:r w:rsidR="00285320">
        <w:rPr>
          <w:lang w:val="en-GB"/>
        </w:rPr>
        <w:t>,</w:t>
      </w:r>
      <w:r w:rsidRPr="00750AEB">
        <w:rPr>
          <w:lang w:val="en-GB"/>
        </w:rPr>
        <w:t xml:space="preserve"> were assessed against the content of the 2011 </w:t>
      </w:r>
      <w:r w:rsidR="00FF4BAB">
        <w:rPr>
          <w:lang w:val="en-GB"/>
        </w:rPr>
        <w:t xml:space="preserve">OECD </w:t>
      </w:r>
      <w:r w:rsidRPr="00750AEB">
        <w:rPr>
          <w:lang w:val="en-GB"/>
        </w:rPr>
        <w:t>Guidelines</w:t>
      </w:r>
      <w:r w:rsidR="00FF4BAB">
        <w:rPr>
          <w:lang w:val="en-GB"/>
        </w:rPr>
        <w:t>,</w:t>
      </w:r>
      <w:r w:rsidRPr="00D76963">
        <w:rPr>
          <w:vertAlign w:val="superscript"/>
        </w:rPr>
        <w:footnoteReference w:id="8"/>
      </w:r>
      <w:r w:rsidR="00A40DB9">
        <w:rPr>
          <w:lang w:val="en-GB"/>
        </w:rPr>
        <w:t xml:space="preserve"> in determining the enterprise’s consistency with those expectations.</w:t>
      </w:r>
      <w:r w:rsidRPr="00750AEB">
        <w:rPr>
          <w:lang w:val="en-GB"/>
        </w:rPr>
        <w:t xml:space="preserve"> Th</w:t>
      </w:r>
      <w:r w:rsidR="008C3F9F" w:rsidRPr="00750AEB">
        <w:rPr>
          <w:lang w:val="en-GB"/>
        </w:rPr>
        <w:t>e</w:t>
      </w:r>
      <w:r w:rsidRPr="00750AEB">
        <w:rPr>
          <w:lang w:val="en-GB"/>
        </w:rPr>
        <w:t xml:space="preserve"> </w:t>
      </w:r>
      <w:r w:rsidRPr="00CB4304">
        <w:t>standards</w:t>
      </w:r>
      <w:r w:rsidRPr="00750AEB">
        <w:rPr>
          <w:lang w:val="en-GB"/>
        </w:rPr>
        <w:t xml:space="preserve"> formally used for this </w:t>
      </w:r>
      <w:r w:rsidR="00B73B24">
        <w:t>F</w:t>
      </w:r>
      <w:r w:rsidR="000B47A7">
        <w:t>ollow</w:t>
      </w:r>
      <w:r w:rsidR="00862BD7">
        <w:t xml:space="preserve"> </w:t>
      </w:r>
      <w:r w:rsidR="00B73B24">
        <w:t>U</w:t>
      </w:r>
      <w:r w:rsidR="000B47A7">
        <w:t>p</w:t>
      </w:r>
      <w:r w:rsidR="000B47A7" w:rsidRPr="0084054D">
        <w:t xml:space="preserve"> </w:t>
      </w:r>
      <w:r w:rsidRPr="00750AEB">
        <w:rPr>
          <w:lang w:val="en-GB"/>
        </w:rPr>
        <w:t xml:space="preserve">are the 2011 </w:t>
      </w:r>
      <w:r w:rsidR="00FF4BAB">
        <w:rPr>
          <w:lang w:val="en-GB"/>
        </w:rPr>
        <w:t xml:space="preserve">OECD </w:t>
      </w:r>
      <w:r w:rsidRPr="00750AEB">
        <w:rPr>
          <w:lang w:val="en-GB"/>
        </w:rPr>
        <w:t>Guidelines</w:t>
      </w:r>
      <w:r w:rsidR="0053050F">
        <w:rPr>
          <w:lang w:val="en-GB"/>
        </w:rPr>
        <w:t>,</w:t>
      </w:r>
      <w:r w:rsidRPr="00750AEB">
        <w:rPr>
          <w:lang w:val="en-GB"/>
        </w:rPr>
        <w:t xml:space="preserve"> and the procedure</w:t>
      </w:r>
      <w:r w:rsidR="00FF4BAB">
        <w:rPr>
          <w:lang w:val="en-GB"/>
        </w:rPr>
        <w:t>s</w:t>
      </w:r>
      <w:r w:rsidRPr="00750AEB">
        <w:rPr>
          <w:lang w:val="en-GB"/>
        </w:rPr>
        <w:t xml:space="preserve"> </w:t>
      </w:r>
      <w:r w:rsidR="00FF4BAB">
        <w:rPr>
          <w:lang w:val="en-GB"/>
        </w:rPr>
        <w:t>are</w:t>
      </w:r>
      <w:r w:rsidRPr="00750AEB">
        <w:rPr>
          <w:lang w:val="en-GB"/>
        </w:rPr>
        <w:t xml:space="preserve"> the 2024 AusNCP </w:t>
      </w:r>
      <w:r w:rsidR="00372D1C">
        <w:rPr>
          <w:lang w:val="en-GB"/>
        </w:rPr>
        <w:t>complaint p</w:t>
      </w:r>
      <w:r w:rsidRPr="00750AEB">
        <w:rPr>
          <w:lang w:val="en-GB"/>
        </w:rPr>
        <w:t>rocedures.</w:t>
      </w:r>
      <w:r w:rsidR="6B515142" w:rsidRPr="00750AEB">
        <w:rPr>
          <w:lang w:val="en-GB"/>
        </w:rPr>
        <w:t xml:space="preserve"> </w:t>
      </w:r>
      <w:r w:rsidR="00A40DB9">
        <w:rPr>
          <w:lang w:val="en-GB"/>
        </w:rPr>
        <w:t xml:space="preserve">In </w:t>
      </w:r>
      <w:r w:rsidRPr="00750AEB">
        <w:rPr>
          <w:lang w:val="en-GB"/>
        </w:rPr>
        <w:t>substance</w:t>
      </w:r>
      <w:r w:rsidR="00A40DB9">
        <w:rPr>
          <w:lang w:val="en-GB"/>
        </w:rPr>
        <w:t xml:space="preserve">, there is little difference regarding </w:t>
      </w:r>
      <w:r w:rsidRPr="00750AEB">
        <w:rPr>
          <w:lang w:val="en-GB"/>
        </w:rPr>
        <w:t>the main issues arising in</w:t>
      </w:r>
      <w:r w:rsidR="00A40DB9">
        <w:rPr>
          <w:lang w:val="en-GB"/>
        </w:rPr>
        <w:t xml:space="preserve"> this</w:t>
      </w:r>
      <w:r w:rsidRPr="00750AEB">
        <w:rPr>
          <w:lang w:val="en-GB"/>
        </w:rPr>
        <w:t xml:space="preserve"> </w:t>
      </w:r>
      <w:r w:rsidR="00B73B24">
        <w:t>F</w:t>
      </w:r>
      <w:r w:rsidR="000B47A7">
        <w:t>ollow</w:t>
      </w:r>
      <w:r w:rsidR="00862BD7">
        <w:t xml:space="preserve"> </w:t>
      </w:r>
      <w:r w:rsidR="00B73B24">
        <w:t>U</w:t>
      </w:r>
      <w:r w:rsidR="000B47A7">
        <w:t>p</w:t>
      </w:r>
      <w:r w:rsidR="000B47A7" w:rsidRPr="0084054D">
        <w:t xml:space="preserve"> </w:t>
      </w:r>
      <w:r w:rsidRPr="00750AEB">
        <w:rPr>
          <w:lang w:val="en-GB"/>
        </w:rPr>
        <w:t>(meaningful stakeholder engagement and FPIC)</w:t>
      </w:r>
      <w:r w:rsidR="0053050F">
        <w:rPr>
          <w:lang w:val="en-GB"/>
        </w:rPr>
        <w:t>,</w:t>
      </w:r>
      <w:r w:rsidRPr="00750AEB">
        <w:rPr>
          <w:lang w:val="en-GB"/>
        </w:rPr>
        <w:t xml:space="preserve"> </w:t>
      </w:r>
      <w:r w:rsidR="00A40DB9">
        <w:rPr>
          <w:lang w:val="en-GB"/>
        </w:rPr>
        <w:t>because the</w:t>
      </w:r>
      <w:r w:rsidRPr="00750AEB">
        <w:rPr>
          <w:lang w:val="en-GB"/>
        </w:rPr>
        <w:t xml:space="preserve"> </w:t>
      </w:r>
      <w:proofErr w:type="spellStart"/>
      <w:r w:rsidRPr="00750AEB">
        <w:rPr>
          <w:lang w:val="en-GB"/>
        </w:rPr>
        <w:t>AusNCP’s</w:t>
      </w:r>
      <w:proofErr w:type="spellEnd"/>
      <w:r w:rsidRPr="00750AEB">
        <w:rPr>
          <w:lang w:val="en-GB"/>
        </w:rPr>
        <w:t xml:space="preserve"> application of the </w:t>
      </w:r>
      <w:r w:rsidR="00A40DB9">
        <w:rPr>
          <w:lang w:val="en-GB"/>
        </w:rPr>
        <w:t xml:space="preserve">relevant </w:t>
      </w:r>
      <w:r w:rsidRPr="00750AEB">
        <w:rPr>
          <w:lang w:val="en-GB"/>
        </w:rPr>
        <w:t>OECD Guidelines</w:t>
      </w:r>
      <w:r w:rsidR="00A40DB9">
        <w:rPr>
          <w:lang w:val="en-GB"/>
        </w:rPr>
        <w:t xml:space="preserve"> have been similar between the 2011 and 2023 versions.</w:t>
      </w:r>
      <w:r w:rsidRPr="00D76963">
        <w:rPr>
          <w:vertAlign w:val="superscript"/>
        </w:rPr>
        <w:footnoteReference w:id="9"/>
      </w:r>
      <w:r w:rsidRPr="00750AEB">
        <w:rPr>
          <w:lang w:val="en-GB"/>
        </w:rPr>
        <w:t xml:space="preserve"> </w:t>
      </w:r>
      <w:r w:rsidR="00A40DB9">
        <w:rPr>
          <w:lang w:val="en-GB"/>
        </w:rPr>
        <w:t>There is also no relevant change in</w:t>
      </w:r>
      <w:r w:rsidRPr="00750AEB">
        <w:rPr>
          <w:lang w:val="en-GB"/>
        </w:rPr>
        <w:t xml:space="preserve"> the AusNCP </w:t>
      </w:r>
      <w:r w:rsidR="00B73B24">
        <w:t>F</w:t>
      </w:r>
      <w:r w:rsidR="000B47A7">
        <w:t>ollow</w:t>
      </w:r>
      <w:r w:rsidR="00862BD7">
        <w:t xml:space="preserve"> </w:t>
      </w:r>
      <w:r w:rsidR="00B73B24">
        <w:t>U</w:t>
      </w:r>
      <w:r w:rsidR="000B47A7">
        <w:t>p</w:t>
      </w:r>
      <w:r w:rsidR="000B47A7" w:rsidRPr="0084054D">
        <w:t xml:space="preserve"> </w:t>
      </w:r>
      <w:r w:rsidRPr="00750AEB">
        <w:rPr>
          <w:lang w:val="en-GB"/>
        </w:rPr>
        <w:t>proce</w:t>
      </w:r>
      <w:r w:rsidR="00BE6D49">
        <w:rPr>
          <w:lang w:val="en-GB"/>
        </w:rPr>
        <w:t>ss</w:t>
      </w:r>
      <w:r w:rsidR="00A40DB9">
        <w:rPr>
          <w:lang w:val="en-GB"/>
        </w:rPr>
        <w:t>.</w:t>
      </w:r>
      <w:r w:rsidRPr="00D76963">
        <w:rPr>
          <w:vertAlign w:val="superscript"/>
        </w:rPr>
        <w:footnoteReference w:id="10"/>
      </w:r>
      <w:bookmarkEnd w:id="26"/>
    </w:p>
    <w:p w14:paraId="0E2449FD" w14:textId="1C336021" w:rsidR="0056229F" w:rsidRPr="00FC248D" w:rsidRDefault="002F6BE1" w:rsidP="001C7A1E">
      <w:pPr>
        <w:pStyle w:val="Heading2"/>
        <w:spacing w:before="240" w:after="0"/>
        <w:rPr>
          <w:b/>
          <w:bCs/>
          <w:color w:val="2C384A"/>
        </w:rPr>
      </w:pPr>
      <w:bookmarkStart w:id="27" w:name="_Toc204167773"/>
      <w:bookmarkStart w:id="28" w:name="_Toc216870706"/>
      <w:bookmarkEnd w:id="1"/>
      <w:r w:rsidRPr="00FC248D">
        <w:rPr>
          <w:b/>
          <w:bCs/>
          <w:color w:val="2C384A"/>
        </w:rPr>
        <w:t>Observations</w:t>
      </w:r>
      <w:r w:rsidR="00E53F45" w:rsidRPr="00FC248D">
        <w:rPr>
          <w:b/>
          <w:bCs/>
          <w:color w:val="2C384A"/>
        </w:rPr>
        <w:t xml:space="preserve"> about the implementation of</w:t>
      </w:r>
      <w:r w:rsidR="00FC248D" w:rsidRPr="00FC248D">
        <w:rPr>
          <w:b/>
          <w:bCs/>
          <w:color w:val="2C384A"/>
        </w:rPr>
        <w:t xml:space="preserve"> </w:t>
      </w:r>
      <w:r w:rsidR="00E53F45" w:rsidRPr="00FC248D">
        <w:rPr>
          <w:b/>
          <w:bCs/>
          <w:color w:val="2C384A"/>
        </w:rPr>
        <w:t>recommendations</w:t>
      </w:r>
      <w:bookmarkEnd w:id="27"/>
      <w:bookmarkEnd w:id="28"/>
    </w:p>
    <w:p w14:paraId="37D7D323" w14:textId="2E002FCE" w:rsidR="005A2FBE" w:rsidRDefault="00D76963" w:rsidP="00442826">
      <w:pPr>
        <w:pStyle w:val="OutlineNumbered1"/>
        <w:numPr>
          <w:ilvl w:val="0"/>
          <w:numId w:val="12"/>
        </w:numPr>
        <w:spacing w:before="240" w:after="0" w:line="280" w:lineRule="exact"/>
        <w:jc w:val="both"/>
      </w:pPr>
      <w:r>
        <w:t xml:space="preserve">Both parties provided extensive submissions to the AusNCP about perceived deficiencies in the other sides’ engagement in matters unrelated to the implementation of the </w:t>
      </w:r>
      <w:proofErr w:type="gramStart"/>
      <w:r>
        <w:t>recommendations</w:t>
      </w:r>
      <w:r w:rsidR="00F82618">
        <w:t>, and</w:t>
      </w:r>
      <w:proofErr w:type="gramEnd"/>
      <w:r w:rsidR="00F82618">
        <w:t xml:space="preserve"> urged the AusNCP to reprimand the other party</w:t>
      </w:r>
      <w:r>
        <w:t xml:space="preserve">. As the objective of </w:t>
      </w:r>
      <w:r w:rsidR="00BE6D49">
        <w:t xml:space="preserve">the </w:t>
      </w:r>
      <w:r w:rsidR="001A3967">
        <w:t>F</w:t>
      </w:r>
      <w:r w:rsidR="008B203B">
        <w:t>ollow</w:t>
      </w:r>
      <w:r w:rsidR="00862BD7">
        <w:t xml:space="preserve"> </w:t>
      </w:r>
      <w:r w:rsidR="001A3967">
        <w:t>U</w:t>
      </w:r>
      <w:r w:rsidR="008B203B">
        <w:t xml:space="preserve">p </w:t>
      </w:r>
      <w:r w:rsidR="00BE6D49">
        <w:t>process</w:t>
      </w:r>
      <w:r>
        <w:t xml:space="preserve"> is to examine the extent to which the recommendations </w:t>
      </w:r>
      <w:r w:rsidR="00AB67FB">
        <w:t>of the previous Final Statement</w:t>
      </w:r>
      <w:r>
        <w:t xml:space="preserve"> have been implemented, many of these additional points are not detailed in this </w:t>
      </w:r>
      <w:r w:rsidR="00E46ABA">
        <w:t>s</w:t>
      </w:r>
      <w:r>
        <w:t xml:space="preserve">tatement. </w:t>
      </w:r>
      <w:r w:rsidRPr="00F86CF4">
        <w:t>However</w:t>
      </w:r>
      <w:r w:rsidR="21B4B2D0" w:rsidRPr="00F86CF4">
        <w:t>,</w:t>
      </w:r>
      <w:r w:rsidRPr="00F86CF4">
        <w:t xml:space="preserve"> the AusNCP notes that each party has been provided with </w:t>
      </w:r>
      <w:r w:rsidR="00E07FF6">
        <w:t xml:space="preserve">relevant parts of </w:t>
      </w:r>
      <w:r w:rsidRPr="00F86CF4">
        <w:t>the other’s submissions</w:t>
      </w:r>
      <w:r w:rsidR="0054144A">
        <w:t>,</w:t>
      </w:r>
      <w:r w:rsidRPr="00F86CF4">
        <w:t xml:space="preserve"> outlining their concerns and what they consider </w:t>
      </w:r>
      <w:r w:rsidR="006236BE">
        <w:t xml:space="preserve">to be </w:t>
      </w:r>
      <w:r w:rsidRPr="00F86CF4">
        <w:t xml:space="preserve">the other’s </w:t>
      </w:r>
      <w:r w:rsidR="006236BE">
        <w:t>shortcomings</w:t>
      </w:r>
      <w:r w:rsidRPr="00F86CF4">
        <w:t>.</w:t>
      </w:r>
      <w:r>
        <w:t xml:space="preserve"> To the extent that the parties genuinely seek meaningful engagement, those submissions will help each </w:t>
      </w:r>
      <w:r w:rsidR="6F6DEBEA">
        <w:t xml:space="preserve">party to </w:t>
      </w:r>
      <w:r>
        <w:t xml:space="preserve">better understand and engage </w:t>
      </w:r>
      <w:r w:rsidR="00FD6DAD">
        <w:t>with the other</w:t>
      </w:r>
      <w:r>
        <w:t xml:space="preserve">. </w:t>
      </w:r>
    </w:p>
    <w:p w14:paraId="39F320B3" w14:textId="4CF6F81F" w:rsidR="00120BD7" w:rsidRDefault="005A2FBE" w:rsidP="00A25F0B">
      <w:pPr>
        <w:pStyle w:val="OutlineNumbered1"/>
        <w:numPr>
          <w:ilvl w:val="0"/>
          <w:numId w:val="12"/>
        </w:numPr>
        <w:spacing w:before="240" w:after="0" w:line="280" w:lineRule="exact"/>
        <w:jc w:val="both"/>
      </w:pPr>
      <w:r>
        <w:t>The enterprise raised concerns about a statement made by a representative of the notifiers at a conference in November 2024,</w:t>
      </w:r>
      <w:r w:rsidR="00C10416">
        <w:rPr>
          <w:rStyle w:val="FootnoteReference"/>
        </w:rPr>
        <w:footnoteReference w:id="11"/>
      </w:r>
      <w:r>
        <w:t xml:space="preserve"> </w:t>
      </w:r>
      <w:r w:rsidR="00F269E0">
        <w:t>when speaking in a panel about ‘</w:t>
      </w:r>
      <w:r w:rsidR="00F269E0">
        <w:rPr>
          <w:lang w:val="en-US"/>
        </w:rPr>
        <w:t>The Climate Crisis and Disinformation’</w:t>
      </w:r>
      <w:r w:rsidR="00293EF8">
        <w:rPr>
          <w:lang w:val="en-US"/>
        </w:rPr>
        <w:t>,</w:t>
      </w:r>
      <w:r w:rsidR="00F269E0">
        <w:t xml:space="preserve"> </w:t>
      </w:r>
      <w:r>
        <w:t xml:space="preserve">which is publicly available online. </w:t>
      </w:r>
      <w:r w:rsidR="00F269E0">
        <w:t>The representative explained</w:t>
      </w:r>
      <w:r w:rsidR="00F269E0" w:rsidRPr="00F269E0">
        <w:t xml:space="preserve"> the difficulties and frustrations they have in engaging with government, companies, the OECD’s NCP process</w:t>
      </w:r>
      <w:r w:rsidR="00293EF8">
        <w:t>,</w:t>
      </w:r>
      <w:r w:rsidR="00F269E0" w:rsidRPr="00F269E0">
        <w:t xml:space="preserve"> and particularly the progress of this AusNCP complaint. </w:t>
      </w:r>
      <w:r w:rsidR="00305C8A">
        <w:t>The representative</w:t>
      </w:r>
      <w:r w:rsidR="00F269E0" w:rsidRPr="00F269E0">
        <w:t xml:space="preserve"> emphasi</w:t>
      </w:r>
      <w:r w:rsidR="00DE0064">
        <w:t>s</w:t>
      </w:r>
      <w:r w:rsidR="00F269E0" w:rsidRPr="00F269E0">
        <w:t xml:space="preserve">ed the vastly different resources and perspectives </w:t>
      </w:r>
      <w:r w:rsidR="00F269E0">
        <w:t>of the parties</w:t>
      </w:r>
      <w:r w:rsidR="00F269E0" w:rsidRPr="00F269E0">
        <w:t xml:space="preserve">. At one point, talking about the AusNCP process, </w:t>
      </w:r>
      <w:r w:rsidR="00305C8A">
        <w:t>the representative</w:t>
      </w:r>
      <w:r w:rsidR="00F269E0" w:rsidRPr="00F269E0">
        <w:t xml:space="preserve"> stated</w:t>
      </w:r>
      <w:r w:rsidR="00305C8A">
        <w:t xml:space="preserve"> that</w:t>
      </w:r>
      <w:r w:rsidR="00F269E0" w:rsidRPr="00F269E0">
        <w:t xml:space="preserve">: </w:t>
      </w:r>
      <w:r w:rsidR="00F269E0">
        <w:t>‘</w:t>
      </w:r>
      <w:r w:rsidR="00F269E0" w:rsidRPr="00F269E0">
        <w:t>in the last two weeks, they applied to the independent investigator and the independent investigator deleted and erased all our evidence</w:t>
      </w:r>
      <w:r w:rsidR="00F269E0">
        <w:t>’</w:t>
      </w:r>
      <w:r w:rsidR="00F269E0" w:rsidRPr="00F269E0">
        <w:t>.</w:t>
      </w:r>
      <w:r w:rsidR="00F269E0">
        <w:rPr>
          <w:rStyle w:val="FootnoteReference"/>
        </w:rPr>
        <w:footnoteReference w:id="12"/>
      </w:r>
      <w:r w:rsidR="00F269E0" w:rsidRPr="00F269E0">
        <w:t xml:space="preserve"> The video </w:t>
      </w:r>
      <w:r w:rsidR="00F269E0" w:rsidRPr="00F269E0">
        <w:lastRenderedPageBreak/>
        <w:t xml:space="preserve">then appears </w:t>
      </w:r>
      <w:r w:rsidR="0067318F">
        <w:t>to</w:t>
      </w:r>
      <w:r w:rsidR="00F269E0" w:rsidRPr="00F269E0">
        <w:t xml:space="preserve"> cut after that statement, and the next point is about something different, suggesting more may have been said on this point</w:t>
      </w:r>
      <w:r w:rsidR="0067318F">
        <w:t>,</w:t>
      </w:r>
      <w:r w:rsidR="00F269E0" w:rsidRPr="00F269E0">
        <w:t xml:space="preserve"> but it is not available on the video.</w:t>
      </w:r>
      <w:r w:rsidR="00F269E0">
        <w:t xml:space="preserve"> The </w:t>
      </w:r>
      <w:r w:rsidR="00097562">
        <w:t xml:space="preserve">Independent </w:t>
      </w:r>
      <w:r w:rsidR="00C47BD4">
        <w:t>E</w:t>
      </w:r>
      <w:r w:rsidR="00F269E0">
        <w:t xml:space="preserve">xaminer understands the representative to be expressing frustration that not everything the notifiers provided and alleged to the AusNCP was acted upon or reflected in public statements. The AusNCP </w:t>
      </w:r>
      <w:r w:rsidR="00097562">
        <w:t xml:space="preserve">Independent </w:t>
      </w:r>
      <w:r w:rsidR="00F269E0">
        <w:t>Examiners</w:t>
      </w:r>
      <w:r w:rsidR="00097562">
        <w:t>,</w:t>
      </w:r>
      <w:r w:rsidR="00F269E0">
        <w:t xml:space="preserve"> in dealing with this matter (both in the earlier Final Statement process, and in this </w:t>
      </w:r>
      <w:r w:rsidR="001A3967">
        <w:t>F</w:t>
      </w:r>
      <w:r w:rsidR="00F269E0">
        <w:t>ollow</w:t>
      </w:r>
      <w:r w:rsidR="004F3F55">
        <w:t xml:space="preserve"> </w:t>
      </w:r>
      <w:r w:rsidR="001A3967">
        <w:t>U</w:t>
      </w:r>
      <w:r w:rsidR="00293EF8">
        <w:t>p</w:t>
      </w:r>
      <w:r w:rsidR="00F269E0">
        <w:t xml:space="preserve"> process)</w:t>
      </w:r>
      <w:r w:rsidR="00097562">
        <w:t>,</w:t>
      </w:r>
      <w:r w:rsidR="00F269E0">
        <w:t xml:space="preserve"> have directed the parties</w:t>
      </w:r>
      <w:r w:rsidR="00171FDD">
        <w:t xml:space="preserve"> to</w:t>
      </w:r>
      <w:r w:rsidR="00F269E0">
        <w:t xml:space="preserve"> focus on what is required and relevant for the OECD</w:t>
      </w:r>
      <w:r w:rsidR="00FF4BAB">
        <w:t> </w:t>
      </w:r>
      <w:r w:rsidR="00F269E0">
        <w:t xml:space="preserve">Guidelines, or determining whether the 2023 recommendations have been implemented. This is evident in the </w:t>
      </w:r>
      <w:r w:rsidR="00171FDD">
        <w:t xml:space="preserve">previous </w:t>
      </w:r>
      <w:r w:rsidR="00F269E0">
        <w:t>Final Statement</w:t>
      </w:r>
      <w:r w:rsidR="00EE3D9A">
        <w:t>,</w:t>
      </w:r>
      <w:r w:rsidR="00120BD7">
        <w:rPr>
          <w:rStyle w:val="FootnoteReference"/>
        </w:rPr>
        <w:footnoteReference w:id="13"/>
      </w:r>
      <w:r w:rsidR="00F269E0">
        <w:t xml:space="preserve"> </w:t>
      </w:r>
      <w:proofErr w:type="gramStart"/>
      <w:r w:rsidR="00F269E0">
        <w:t>and also</w:t>
      </w:r>
      <w:proofErr w:type="gramEnd"/>
      <w:r w:rsidR="00F269E0">
        <w:t xml:space="preserve"> the paragraph above in this Follow Up </w:t>
      </w:r>
      <w:r w:rsidR="000B47A7">
        <w:t>S</w:t>
      </w:r>
      <w:r w:rsidR="00F269E0">
        <w:t xml:space="preserve">tatement. </w:t>
      </w:r>
      <w:r w:rsidR="00303CE0">
        <w:t xml:space="preserve">The AusNCP was also clear – and the parties agreed </w:t>
      </w:r>
      <w:r w:rsidR="00171FDD">
        <w:t>–</w:t>
      </w:r>
      <w:r w:rsidR="00303CE0">
        <w:t xml:space="preserve"> that any information or material they exchanged in the facilitated discussions (which remain</w:t>
      </w:r>
      <w:r w:rsidR="00171FDD">
        <w:t>s</w:t>
      </w:r>
      <w:r w:rsidR="00303CE0">
        <w:t xml:space="preserve"> confidential to the parties and </w:t>
      </w:r>
      <w:r w:rsidR="00EE3D9A">
        <w:t xml:space="preserve">Independent </w:t>
      </w:r>
      <w:r w:rsidR="00303CE0">
        <w:t xml:space="preserve">Examiner Martin) would not be used in the </w:t>
      </w:r>
      <w:r w:rsidR="005B65D4">
        <w:t>F</w:t>
      </w:r>
      <w:r w:rsidR="00303CE0">
        <w:t>ollow</w:t>
      </w:r>
      <w:r w:rsidR="002C1421">
        <w:t xml:space="preserve"> </w:t>
      </w:r>
      <w:r w:rsidR="005B65D4">
        <w:t>U</w:t>
      </w:r>
      <w:r w:rsidR="00303CE0">
        <w:t xml:space="preserve">p. </w:t>
      </w:r>
      <w:r w:rsidR="00120BD7">
        <w:t>The parties ha</w:t>
      </w:r>
      <w:r w:rsidR="00303CE0">
        <w:t>d</w:t>
      </w:r>
      <w:r w:rsidR="00120BD7">
        <w:t xml:space="preserve"> an opportunity, through submissions</w:t>
      </w:r>
      <w:r w:rsidR="00303CE0">
        <w:t xml:space="preserve"> to </w:t>
      </w:r>
      <w:r w:rsidR="00EE3D9A">
        <w:t xml:space="preserve">Independent </w:t>
      </w:r>
      <w:r w:rsidR="00303CE0">
        <w:t>Examiner Southalan</w:t>
      </w:r>
      <w:r w:rsidR="00120BD7">
        <w:t xml:space="preserve">, to explain what material and issues should inform </w:t>
      </w:r>
      <w:r w:rsidR="00303CE0">
        <w:t>his</w:t>
      </w:r>
      <w:r w:rsidR="00120BD7">
        <w:t xml:space="preserve"> </w:t>
      </w:r>
      <w:r w:rsidR="005B65D4">
        <w:t>F</w:t>
      </w:r>
      <w:r w:rsidR="00171FDD">
        <w:t xml:space="preserve">ollow </w:t>
      </w:r>
      <w:r w:rsidR="005B65D4">
        <w:t>U</w:t>
      </w:r>
      <w:r w:rsidR="00171FDD">
        <w:t xml:space="preserve">p </w:t>
      </w:r>
      <w:r w:rsidR="00293EF8">
        <w:t>assessment</w:t>
      </w:r>
      <w:r w:rsidR="00486C05">
        <w:t>,</w:t>
      </w:r>
      <w:r w:rsidR="00120BD7">
        <w:t xml:space="preserve"> and both parties identified various aspects of the other</w:t>
      </w:r>
      <w:r w:rsidR="00293EF8">
        <w:t>’s material</w:t>
      </w:r>
      <w:r w:rsidR="00120BD7">
        <w:t xml:space="preserve"> as irrelevant or wrong. The </w:t>
      </w:r>
      <w:r w:rsidR="00EE3D9A">
        <w:t xml:space="preserve">Independent </w:t>
      </w:r>
      <w:r w:rsidR="00293EF8">
        <w:t>E</w:t>
      </w:r>
      <w:r w:rsidR="00120BD7">
        <w:t xml:space="preserve">xaminer understands that parties can be frustrated when arguments or material they provide </w:t>
      </w:r>
      <w:r w:rsidR="00486C05">
        <w:t xml:space="preserve">to </w:t>
      </w:r>
      <w:r w:rsidR="00120BD7">
        <w:t xml:space="preserve">the AusNCP are not accepted or reflected in the </w:t>
      </w:r>
      <w:r w:rsidR="00780F4A">
        <w:t xml:space="preserve">Independent </w:t>
      </w:r>
      <w:r w:rsidR="00293EF8">
        <w:t>E</w:t>
      </w:r>
      <w:r w:rsidR="00120BD7">
        <w:t xml:space="preserve">xaminer’s decisions and statements. </w:t>
      </w:r>
      <w:r w:rsidR="00EF6428">
        <w:t>However, f</w:t>
      </w:r>
      <w:r w:rsidR="00303CE0">
        <w:t xml:space="preserve">or the sake of clarity, </w:t>
      </w:r>
      <w:r w:rsidR="00120BD7">
        <w:t>it has not been the case that the enterprise ‘</w:t>
      </w:r>
      <w:r w:rsidR="00120BD7" w:rsidRPr="00F269E0">
        <w:t xml:space="preserve">applied to the </w:t>
      </w:r>
      <w:r w:rsidR="00120BD7">
        <w:t>[AusNCP]</w:t>
      </w:r>
      <w:r w:rsidR="00120BD7" w:rsidRPr="00F269E0">
        <w:t xml:space="preserve"> and the </w:t>
      </w:r>
      <w:r w:rsidR="00120BD7">
        <w:t>[AusNCP]</w:t>
      </w:r>
      <w:r w:rsidR="00120BD7" w:rsidRPr="00F269E0">
        <w:t xml:space="preserve"> deleted and erased all </w:t>
      </w:r>
      <w:r w:rsidR="00BB1266">
        <w:t>[of the notifiers</w:t>
      </w:r>
      <w:r w:rsidR="00601AB1">
        <w:t>’]</w:t>
      </w:r>
      <w:r w:rsidR="00120BD7" w:rsidRPr="00F269E0">
        <w:t xml:space="preserve"> evidence</w:t>
      </w:r>
      <w:r w:rsidR="00120BD7">
        <w:t>’.</w:t>
      </w:r>
    </w:p>
    <w:p w14:paraId="5445F1E3" w14:textId="3210134A" w:rsidR="0047540F" w:rsidRDefault="0047540F" w:rsidP="00394D0C">
      <w:pPr>
        <w:pStyle w:val="OutlineNumbered1"/>
        <w:numPr>
          <w:ilvl w:val="0"/>
          <w:numId w:val="12"/>
        </w:numPr>
        <w:spacing w:before="240" w:after="0" w:line="280" w:lineRule="exact"/>
        <w:jc w:val="both"/>
      </w:pPr>
      <w:r>
        <w:t xml:space="preserve">The notifiers raised concerns regarding an online media </w:t>
      </w:r>
      <w:r w:rsidR="00AF37FE">
        <w:t xml:space="preserve">article, from the </w:t>
      </w:r>
      <w:r w:rsidR="00AF37FE" w:rsidRPr="00AF37FE">
        <w:t>Papua New Guinea Post</w:t>
      </w:r>
      <w:r w:rsidR="00601AB1">
        <w:noBreakHyphen/>
      </w:r>
      <w:r w:rsidR="00AF37FE" w:rsidRPr="00AF37FE">
        <w:t>Courier</w:t>
      </w:r>
      <w:r w:rsidR="00AF37FE">
        <w:t>,</w:t>
      </w:r>
      <w:r>
        <w:t xml:space="preserve"> </w:t>
      </w:r>
      <w:r w:rsidR="00AF37FE">
        <w:t>about</w:t>
      </w:r>
      <w:r>
        <w:t xml:space="preserve"> the AusNCP proceedings</w:t>
      </w:r>
      <w:r w:rsidR="00C93871">
        <w:t>,</w:t>
      </w:r>
      <w:r w:rsidR="00394D0C">
        <w:t xml:space="preserve"> after the parties had been provided with the draft Follow Up Statement</w:t>
      </w:r>
      <w:r w:rsidR="00AF37FE">
        <w:t xml:space="preserve">. The article is no longer available on the </w:t>
      </w:r>
      <w:r w:rsidR="00AF37FE" w:rsidRPr="00AF37FE">
        <w:t>Post-Courier</w:t>
      </w:r>
      <w:r w:rsidR="00AF37FE">
        <w:t>’s website.</w:t>
      </w:r>
      <w:r w:rsidR="00AF37FE">
        <w:rPr>
          <w:rStyle w:val="FootnoteReference"/>
        </w:rPr>
        <w:footnoteReference w:id="14"/>
      </w:r>
      <w:r w:rsidR="00AF37FE">
        <w:t xml:space="preserve"> An internet archive / cache search of what is available </w:t>
      </w:r>
      <w:r w:rsidR="00394D0C">
        <w:t>reveals</w:t>
      </w:r>
      <w:r w:rsidR="00AF37FE">
        <w:t xml:space="preserve"> a story headlined ‘AusNCP cleared Frieda River Project: OECD guidelines met, complaint rejected’</w:t>
      </w:r>
      <w:r w:rsidR="00394D0C">
        <w:t>.</w:t>
      </w:r>
      <w:r w:rsidR="00AF37FE">
        <w:rPr>
          <w:rStyle w:val="FootnoteReference"/>
        </w:rPr>
        <w:footnoteReference w:id="15"/>
      </w:r>
      <w:r w:rsidR="00394D0C">
        <w:t xml:space="preserve"> This </w:t>
      </w:r>
      <w:r w:rsidR="007C4656">
        <w:t xml:space="preserve">article </w:t>
      </w:r>
      <w:r w:rsidR="00394D0C">
        <w:t>state</w:t>
      </w:r>
      <w:r w:rsidR="007C4656">
        <w:t>d that</w:t>
      </w:r>
      <w:r w:rsidR="00394D0C">
        <w:t xml:space="preserve"> (1) </w:t>
      </w:r>
      <w:r w:rsidR="008B2754">
        <w:t>a</w:t>
      </w:r>
      <w:r w:rsidR="00394D0C">
        <w:t xml:space="preserve"> ‘Frieda River Limited Country Manager ... confirmed that the matter had been reviewed by the... AusNCP’, (2) ‘the AusNCP Examiner released a Final Statement rejecting the complaint lodged against </w:t>
      </w:r>
      <w:proofErr w:type="spellStart"/>
      <w:r w:rsidR="00394D0C">
        <w:t>PanAust</w:t>
      </w:r>
      <w:proofErr w:type="spellEnd"/>
      <w:r w:rsidR="00394D0C">
        <w:t>’, and (3) ‘</w:t>
      </w:r>
      <w:r w:rsidR="008B2754">
        <w:t>[t]</w:t>
      </w:r>
      <w:r w:rsidR="00394D0C">
        <w:t>he decision concluded that the Frieda River Project had not breached OECD guidelines’. It is not clear, from this article, what the company official said</w:t>
      </w:r>
      <w:r w:rsidR="008B2754">
        <w:t>,</w:t>
      </w:r>
      <w:r w:rsidR="00394D0C">
        <w:t xml:space="preserve"> and what may be the journalist’s words. It is also </w:t>
      </w:r>
      <w:r w:rsidR="000F061B">
        <w:t>ambiguous whether</w:t>
      </w:r>
      <w:r w:rsidR="00394D0C">
        <w:t xml:space="preserve"> this article concerns this Follow Up </w:t>
      </w:r>
      <w:r w:rsidR="005B65D4">
        <w:t>S</w:t>
      </w:r>
      <w:r w:rsidR="00394D0C">
        <w:t>tatement</w:t>
      </w:r>
      <w:r w:rsidR="002138D7">
        <w:t>,</w:t>
      </w:r>
      <w:r w:rsidR="00394D0C">
        <w:t xml:space="preserve"> or the 2023 Final Statement. For the sake of clarity however, it is not the case that the ‘complaint was rejected’.</w:t>
      </w:r>
    </w:p>
    <w:p w14:paraId="476C078E" w14:textId="20308F21" w:rsidR="009B54E6" w:rsidRDefault="00DC05FB" w:rsidP="00FA1E95">
      <w:pPr>
        <w:pStyle w:val="OutlineNumbered1"/>
        <w:numPr>
          <w:ilvl w:val="0"/>
          <w:numId w:val="12"/>
        </w:numPr>
        <w:spacing w:before="240" w:after="0" w:line="280" w:lineRule="exact"/>
        <w:jc w:val="both"/>
      </w:pPr>
      <w:bookmarkStart w:id="29" w:name="_Ref209433141"/>
      <w:r>
        <w:t xml:space="preserve">The notifiers, in their response to the draft Follow Up </w:t>
      </w:r>
      <w:r w:rsidR="000B47A7">
        <w:t>S</w:t>
      </w:r>
      <w:r>
        <w:t xml:space="preserve">tatement, </w:t>
      </w:r>
      <w:r w:rsidR="0047540F">
        <w:t xml:space="preserve">also </w:t>
      </w:r>
      <w:r>
        <w:t xml:space="preserve">reiterated concerns and disagreement with </w:t>
      </w:r>
      <w:r w:rsidRPr="00FA1E95">
        <w:rPr>
          <w:lang w:val="en-GB"/>
        </w:rPr>
        <w:t>the</w:t>
      </w:r>
      <w:r>
        <w:t xml:space="preserve"> Final Statement’s assessment of environmental impact</w:t>
      </w:r>
      <w:r w:rsidR="00303CE0">
        <w:t>s</w:t>
      </w:r>
      <w:r>
        <w:t xml:space="preserve"> and FPIC. The </w:t>
      </w:r>
      <w:proofErr w:type="spellStart"/>
      <w:r w:rsidR="00303CE0">
        <w:t>AusNCP’s</w:t>
      </w:r>
      <w:proofErr w:type="spellEnd"/>
      <w:r w:rsidR="00303CE0">
        <w:t xml:space="preserve"> </w:t>
      </w:r>
      <w:r w:rsidR="005B65D4">
        <w:t>F</w:t>
      </w:r>
      <w:r>
        <w:t>ollow</w:t>
      </w:r>
      <w:r w:rsidR="002C1421">
        <w:t xml:space="preserve"> </w:t>
      </w:r>
      <w:r w:rsidR="005B65D4">
        <w:t>U</w:t>
      </w:r>
      <w:r>
        <w:t xml:space="preserve">p process </w:t>
      </w:r>
      <w:r w:rsidR="00303CE0">
        <w:t>(</w:t>
      </w:r>
      <w:r w:rsidR="00293EF8">
        <w:t>where</w:t>
      </w:r>
      <w:r w:rsidR="00303CE0">
        <w:t xml:space="preserve"> further mediation has not led to a different outcome) is about the recommendations made in the earlier </w:t>
      </w:r>
      <w:r w:rsidR="004D444B">
        <w:t>F</w:t>
      </w:r>
      <w:r w:rsidR="00303CE0">
        <w:t xml:space="preserve">inal </w:t>
      </w:r>
      <w:r w:rsidR="004D444B">
        <w:t>S</w:t>
      </w:r>
      <w:r w:rsidR="00303CE0">
        <w:t>tatement</w:t>
      </w:r>
      <w:r w:rsidR="002138D7">
        <w:t>,</w:t>
      </w:r>
      <w:r w:rsidR="00303CE0">
        <w:t xml:space="preserve"> and whether they have been implemented.</w:t>
      </w:r>
      <w:r w:rsidR="00303CE0">
        <w:rPr>
          <w:rStyle w:val="FootnoteReference"/>
        </w:rPr>
        <w:footnoteReference w:id="16"/>
      </w:r>
      <w:r w:rsidR="00303CE0">
        <w:t xml:space="preserve"> It is not about reviewing </w:t>
      </w:r>
      <w:r w:rsidR="009B54E6">
        <w:t xml:space="preserve">other </w:t>
      </w:r>
      <w:r w:rsidR="00303CE0">
        <w:t xml:space="preserve">aspects of the </w:t>
      </w:r>
      <w:r w:rsidR="009B54E6">
        <w:t xml:space="preserve">earlier </w:t>
      </w:r>
      <w:r w:rsidR="00303CE0">
        <w:t>Final Statement</w:t>
      </w:r>
      <w:r w:rsidR="009B54E6">
        <w:t>. Relevantly here</w:t>
      </w:r>
      <w:r w:rsidR="1648AEBA">
        <w:t xml:space="preserve"> i</w:t>
      </w:r>
      <w:r w:rsidR="00303CE0">
        <w:t xml:space="preserve">s whether the notifiers (or any persons they represent) </w:t>
      </w:r>
      <w:r w:rsidR="009B54E6">
        <w:t>are impacted to the extent that their FPIC would be required before relevant developments proceed.</w:t>
      </w:r>
      <w:r w:rsidR="009B54E6">
        <w:rPr>
          <w:rStyle w:val="FootnoteReference"/>
        </w:rPr>
        <w:footnoteReference w:id="17"/>
      </w:r>
      <w:r w:rsidR="009B54E6">
        <w:t xml:space="preserve"> </w:t>
      </w:r>
      <w:r w:rsidR="00303CE0">
        <w:t xml:space="preserve">For the sake of clarity, however, the </w:t>
      </w:r>
      <w:r w:rsidR="00780F4A">
        <w:t xml:space="preserve">Independent </w:t>
      </w:r>
      <w:r w:rsidR="00C47BD4">
        <w:t>E</w:t>
      </w:r>
      <w:r w:rsidR="009B54E6">
        <w:t>xaminer repeats three paragraphs from the Final Statement</w:t>
      </w:r>
      <w:bookmarkEnd w:id="29"/>
      <w:r w:rsidR="00FA1E95">
        <w:t>:</w:t>
      </w:r>
    </w:p>
    <w:p w14:paraId="76160E88" w14:textId="5DED3F03" w:rsidR="00DC05FB" w:rsidRDefault="009B54E6" w:rsidP="009B54E6">
      <w:pPr>
        <w:pStyle w:val="OutlineNumbered1"/>
        <w:numPr>
          <w:ilvl w:val="0"/>
          <w:numId w:val="0"/>
        </w:numPr>
        <w:spacing w:before="120" w:after="0" w:line="280" w:lineRule="exact"/>
        <w:ind w:left="1134" w:hanging="567"/>
        <w:rPr>
          <w:i/>
          <w:iCs/>
        </w:rPr>
      </w:pPr>
      <w:r>
        <w:rPr>
          <w:i/>
          <w:iCs/>
        </w:rPr>
        <w:lastRenderedPageBreak/>
        <w:t>[88]</w:t>
      </w:r>
      <w:r>
        <w:rPr>
          <w:i/>
          <w:iCs/>
        </w:rPr>
        <w:tab/>
      </w:r>
      <w:r w:rsidRPr="004D4BED">
        <w:rPr>
          <w:i/>
          <w:iCs/>
        </w:rPr>
        <w:t>The enterprise informed the AusNCP that it ‘has been</w:t>
      </w:r>
      <w:r>
        <w:rPr>
          <w:i/>
          <w:iCs/>
        </w:rPr>
        <w:t xml:space="preserve"> </w:t>
      </w:r>
      <w:r w:rsidRPr="00B77542">
        <w:rPr>
          <w:i/>
          <w:iCs/>
        </w:rPr>
        <w:t>undertaking stakeholder engagement with the ultimate aim of satisfying all legislative and policy</w:t>
      </w:r>
      <w:r>
        <w:rPr>
          <w:i/>
          <w:iCs/>
        </w:rPr>
        <w:t xml:space="preserve"> </w:t>
      </w:r>
      <w:r w:rsidRPr="00B77542">
        <w:rPr>
          <w:i/>
          <w:iCs/>
        </w:rPr>
        <w:t>requirements, including the requirement to seek FPIC from relevant affected landholders – before</w:t>
      </w:r>
      <w:r>
        <w:rPr>
          <w:i/>
          <w:iCs/>
        </w:rPr>
        <w:t xml:space="preserve"> </w:t>
      </w:r>
      <w:r w:rsidRPr="00B77542">
        <w:rPr>
          <w:i/>
          <w:iCs/>
        </w:rPr>
        <w:t>development commences’. The examiner’s assessment, and conclusions, have been made in</w:t>
      </w:r>
      <w:r>
        <w:rPr>
          <w:i/>
          <w:iCs/>
        </w:rPr>
        <w:t xml:space="preserve"> </w:t>
      </w:r>
      <w:r w:rsidRPr="00B77542">
        <w:rPr>
          <w:i/>
          <w:iCs/>
        </w:rPr>
        <w:t>express reliance on that statement and commitment by the enterprise.</w:t>
      </w:r>
    </w:p>
    <w:p w14:paraId="6E997851" w14:textId="6BBE4A0A" w:rsidR="009B54E6" w:rsidRDefault="009B54E6" w:rsidP="00B77542">
      <w:pPr>
        <w:pStyle w:val="OutlineNumbered1"/>
        <w:numPr>
          <w:ilvl w:val="0"/>
          <w:numId w:val="0"/>
        </w:numPr>
        <w:spacing w:after="0" w:line="280" w:lineRule="exact"/>
        <w:ind w:left="1134" w:hanging="567"/>
        <w:rPr>
          <w:i/>
          <w:iCs/>
        </w:rPr>
      </w:pPr>
      <w:r>
        <w:rPr>
          <w:i/>
          <w:iCs/>
        </w:rPr>
        <w:t>...</w:t>
      </w:r>
    </w:p>
    <w:p w14:paraId="5B2BF99E" w14:textId="184DAA76" w:rsidR="009B54E6" w:rsidRDefault="009B54E6" w:rsidP="00B77542">
      <w:pPr>
        <w:pStyle w:val="OutlineNumbered1"/>
        <w:numPr>
          <w:ilvl w:val="0"/>
          <w:numId w:val="0"/>
        </w:numPr>
        <w:spacing w:after="0" w:line="280" w:lineRule="exact"/>
        <w:ind w:left="1134" w:hanging="567"/>
        <w:rPr>
          <w:i/>
          <w:iCs/>
        </w:rPr>
      </w:pPr>
      <w:r>
        <w:rPr>
          <w:i/>
          <w:iCs/>
        </w:rPr>
        <w:t>[92]</w:t>
      </w:r>
      <w:r>
        <w:rPr>
          <w:i/>
          <w:iCs/>
        </w:rPr>
        <w:tab/>
        <w:t>...[T]</w:t>
      </w:r>
      <w:r w:rsidRPr="009B54E6">
        <w:rPr>
          <w:i/>
          <w:iCs/>
        </w:rPr>
        <w:t>he enterprise’s actions to date are not</w:t>
      </w:r>
      <w:r>
        <w:rPr>
          <w:i/>
          <w:iCs/>
        </w:rPr>
        <w:t xml:space="preserve"> </w:t>
      </w:r>
      <w:r w:rsidRPr="009B54E6">
        <w:rPr>
          <w:i/>
          <w:iCs/>
        </w:rPr>
        <w:t>inconsistent with it obtaining any necessary FPIC in the future.</w:t>
      </w:r>
      <w:r>
        <w:rPr>
          <w:i/>
          <w:iCs/>
        </w:rPr>
        <w:t xml:space="preserve"> T</w:t>
      </w:r>
      <w:r w:rsidRPr="009B54E6">
        <w:rPr>
          <w:i/>
          <w:iCs/>
        </w:rPr>
        <w:t>he enterprise will need to obtain FPIC from various communities if it is to proceed with the</w:t>
      </w:r>
      <w:r>
        <w:rPr>
          <w:i/>
          <w:iCs/>
        </w:rPr>
        <w:t xml:space="preserve"> </w:t>
      </w:r>
      <w:r w:rsidRPr="009B54E6">
        <w:rPr>
          <w:i/>
          <w:iCs/>
        </w:rPr>
        <w:t>proposed project because of the significance of the impacts on them. However, there was</w:t>
      </w:r>
      <w:r>
        <w:rPr>
          <w:i/>
          <w:iCs/>
        </w:rPr>
        <w:t xml:space="preserve"> </w:t>
      </w:r>
      <w:r w:rsidRPr="009B54E6">
        <w:rPr>
          <w:i/>
          <w:iCs/>
        </w:rPr>
        <w:t>not enough information provided to the examiner in the context of this complaint to</w:t>
      </w:r>
      <w:r>
        <w:rPr>
          <w:i/>
          <w:iCs/>
        </w:rPr>
        <w:t xml:space="preserve"> </w:t>
      </w:r>
      <w:r w:rsidRPr="009B54E6">
        <w:rPr>
          <w:i/>
          <w:iCs/>
        </w:rPr>
        <w:t>determine that FPIC is needed from the notifiers or the Sepik River communities they</w:t>
      </w:r>
      <w:r>
        <w:rPr>
          <w:i/>
          <w:iCs/>
        </w:rPr>
        <w:t xml:space="preserve"> </w:t>
      </w:r>
      <w:r w:rsidRPr="009B54E6">
        <w:rPr>
          <w:i/>
          <w:iCs/>
        </w:rPr>
        <w:t>represent.</w:t>
      </w:r>
    </w:p>
    <w:p w14:paraId="119459D6" w14:textId="609908EE" w:rsidR="009B54E6" w:rsidRDefault="009B54E6" w:rsidP="00B77542">
      <w:pPr>
        <w:pStyle w:val="OutlineNumbered1"/>
        <w:numPr>
          <w:ilvl w:val="0"/>
          <w:numId w:val="0"/>
        </w:numPr>
        <w:spacing w:after="0" w:line="280" w:lineRule="exact"/>
        <w:ind w:left="1134" w:hanging="567"/>
        <w:rPr>
          <w:i/>
          <w:iCs/>
        </w:rPr>
      </w:pPr>
      <w:r>
        <w:rPr>
          <w:i/>
          <w:iCs/>
        </w:rPr>
        <w:t>...</w:t>
      </w:r>
    </w:p>
    <w:p w14:paraId="3E481296" w14:textId="064A50AE" w:rsidR="009B54E6" w:rsidRPr="00B77542" w:rsidRDefault="009B54E6" w:rsidP="004475FC">
      <w:pPr>
        <w:pStyle w:val="OutlineNumbered1"/>
        <w:numPr>
          <w:ilvl w:val="0"/>
          <w:numId w:val="0"/>
        </w:numPr>
        <w:spacing w:before="120" w:after="0" w:line="280" w:lineRule="exact"/>
        <w:ind w:left="1134" w:hanging="567"/>
        <w:rPr>
          <w:i/>
          <w:iCs/>
        </w:rPr>
      </w:pPr>
      <w:r>
        <w:rPr>
          <w:i/>
          <w:iCs/>
        </w:rPr>
        <w:t>[89]</w:t>
      </w:r>
      <w:r>
        <w:rPr>
          <w:i/>
          <w:iCs/>
        </w:rPr>
        <w:tab/>
      </w:r>
      <w:r w:rsidRPr="009B54E6">
        <w:rPr>
          <w:i/>
          <w:iCs/>
        </w:rPr>
        <w:t xml:space="preserve">The presence, or absence, of FPIC </w:t>
      </w:r>
      <w:r>
        <w:rPr>
          <w:i/>
          <w:iCs/>
        </w:rPr>
        <w:t xml:space="preserve">... </w:t>
      </w:r>
      <w:r w:rsidRPr="009B54E6">
        <w:rPr>
          <w:i/>
          <w:iCs/>
        </w:rPr>
        <w:t>cannot be determined</w:t>
      </w:r>
      <w:r>
        <w:rPr>
          <w:i/>
          <w:iCs/>
        </w:rPr>
        <w:t xml:space="preserve"> </w:t>
      </w:r>
      <w:r w:rsidRPr="009B54E6">
        <w:rPr>
          <w:i/>
          <w:iCs/>
        </w:rPr>
        <w:t>simply by one party’s assertion that they are Indigenous and what their opinion is. Instead, it</w:t>
      </w:r>
      <w:r>
        <w:rPr>
          <w:i/>
          <w:iCs/>
        </w:rPr>
        <w:t xml:space="preserve"> </w:t>
      </w:r>
      <w:r w:rsidRPr="009B54E6">
        <w:rPr>
          <w:i/>
          <w:iCs/>
        </w:rPr>
        <w:t>depends on:</w:t>
      </w:r>
      <w:r>
        <w:rPr>
          <w:i/>
          <w:iCs/>
        </w:rPr>
        <w:t xml:space="preserve"> [1] </w:t>
      </w:r>
      <w:r w:rsidRPr="009B54E6">
        <w:rPr>
          <w:i/>
          <w:iCs/>
        </w:rPr>
        <w:t>an objective understanding of the physical impacts;</w:t>
      </w:r>
      <w:r>
        <w:rPr>
          <w:i/>
          <w:iCs/>
        </w:rPr>
        <w:t xml:space="preserve"> [2] </w:t>
      </w:r>
      <w:r w:rsidRPr="009B54E6">
        <w:rPr>
          <w:i/>
          <w:iCs/>
        </w:rPr>
        <w:t>a subjective understanding of the cultural impacts - referenced to the relevant Indigenous</w:t>
      </w:r>
      <w:r>
        <w:rPr>
          <w:i/>
          <w:iCs/>
        </w:rPr>
        <w:t xml:space="preserve"> </w:t>
      </w:r>
      <w:r w:rsidRPr="009B54E6">
        <w:rPr>
          <w:i/>
          <w:iCs/>
        </w:rPr>
        <w:t>culture and credibly substantiated within that;</w:t>
      </w:r>
      <w:r>
        <w:rPr>
          <w:i/>
          <w:iCs/>
        </w:rPr>
        <w:t xml:space="preserve"> [3] </w:t>
      </w:r>
      <w:r w:rsidRPr="009B54E6">
        <w:rPr>
          <w:i/>
          <w:iCs/>
        </w:rPr>
        <w:t>consideration of whether either of those types of impacts are of such significance that FPIC</w:t>
      </w:r>
      <w:r>
        <w:rPr>
          <w:i/>
          <w:iCs/>
        </w:rPr>
        <w:t xml:space="preserve"> </w:t>
      </w:r>
      <w:r w:rsidRPr="009B54E6">
        <w:rPr>
          <w:i/>
          <w:iCs/>
        </w:rPr>
        <w:t xml:space="preserve">would be required </w:t>
      </w:r>
      <w:r>
        <w:rPr>
          <w:i/>
          <w:iCs/>
        </w:rPr>
        <w:t>...</w:t>
      </w:r>
      <w:r w:rsidRPr="009B54E6">
        <w:rPr>
          <w:i/>
          <w:iCs/>
        </w:rPr>
        <w:t>; and</w:t>
      </w:r>
      <w:r>
        <w:rPr>
          <w:i/>
          <w:iCs/>
        </w:rPr>
        <w:t xml:space="preserve"> [4] </w:t>
      </w:r>
      <w:r w:rsidRPr="009B54E6">
        <w:rPr>
          <w:i/>
          <w:iCs/>
        </w:rPr>
        <w:t>the relevant group’s views after appropriate engagement.</w:t>
      </w:r>
    </w:p>
    <w:p w14:paraId="4158F31F" w14:textId="0F70D7E9" w:rsidR="00D76963" w:rsidRDefault="00D76963" w:rsidP="00442826">
      <w:pPr>
        <w:pStyle w:val="OutlineNumbered1"/>
        <w:numPr>
          <w:ilvl w:val="0"/>
          <w:numId w:val="12"/>
        </w:numPr>
        <w:spacing w:before="240" w:after="0" w:line="280" w:lineRule="exact"/>
        <w:jc w:val="both"/>
      </w:pPr>
      <w:r>
        <w:t>The remainder of this statement focuse</w:t>
      </w:r>
      <w:r w:rsidR="00DC36F7">
        <w:t>s</w:t>
      </w:r>
      <w:r>
        <w:t xml:space="preserve"> on the recommendations from the </w:t>
      </w:r>
      <w:r w:rsidR="2E68ACC7">
        <w:t>F</w:t>
      </w:r>
      <w:r>
        <w:t xml:space="preserve">inal </w:t>
      </w:r>
      <w:r w:rsidR="3B12298E">
        <w:t>S</w:t>
      </w:r>
      <w:r>
        <w:t xml:space="preserve">tatement </w:t>
      </w:r>
      <w:r w:rsidR="00BE6D49">
        <w:t>(</w:t>
      </w:r>
      <w:r w:rsidR="00047BE6">
        <w:t>five</w:t>
      </w:r>
      <w:r w:rsidR="00C86666">
        <w:t> </w:t>
      </w:r>
      <w:r w:rsidR="00BE6D49">
        <w:t>to the enterprise and three to the notifiers) and their</w:t>
      </w:r>
      <w:r>
        <w:t xml:space="preserve"> implementation.</w:t>
      </w:r>
    </w:p>
    <w:p w14:paraId="29E38A44" w14:textId="79C909FF" w:rsidR="006612FD" w:rsidRPr="0026203E" w:rsidRDefault="006612FD" w:rsidP="005508E6">
      <w:pPr>
        <w:pStyle w:val="Heading3"/>
        <w:spacing w:before="360"/>
        <w:rPr>
          <w:rFonts w:asciiTheme="minorHAnsi" w:hAnsiTheme="minorHAnsi" w:cstheme="minorHAnsi"/>
          <w:color w:val="212121"/>
          <w:sz w:val="27"/>
          <w:szCs w:val="27"/>
        </w:rPr>
      </w:pPr>
      <w:bookmarkStart w:id="30" w:name="_Toc204167774"/>
      <w:bookmarkStart w:id="31" w:name="_Toc216870707"/>
      <w:r w:rsidRPr="0026203E">
        <w:rPr>
          <w:rFonts w:asciiTheme="minorHAnsi" w:hAnsiTheme="minorHAnsi" w:cstheme="minorHAnsi"/>
          <w:color w:val="212121"/>
          <w:sz w:val="27"/>
          <w:szCs w:val="27"/>
        </w:rPr>
        <w:t>1. Enterprise</w:t>
      </w:r>
      <w:r w:rsidR="00C63DF3" w:rsidRPr="0026203E">
        <w:rPr>
          <w:rFonts w:asciiTheme="minorHAnsi" w:hAnsiTheme="minorHAnsi" w:cstheme="minorHAnsi"/>
          <w:color w:val="212121"/>
          <w:sz w:val="27"/>
          <w:szCs w:val="27"/>
        </w:rPr>
        <w:t>’s</w:t>
      </w:r>
      <w:r w:rsidRPr="0026203E">
        <w:rPr>
          <w:rFonts w:asciiTheme="minorHAnsi" w:hAnsiTheme="minorHAnsi" w:cstheme="minorHAnsi"/>
          <w:color w:val="212121"/>
          <w:sz w:val="27"/>
          <w:szCs w:val="27"/>
        </w:rPr>
        <w:t xml:space="preserve"> ‘meaningful engagement’ with notifiers</w:t>
      </w:r>
      <w:bookmarkEnd w:id="30"/>
      <w:bookmarkEnd w:id="31"/>
    </w:p>
    <w:p w14:paraId="4FE34318" w14:textId="75AC5691" w:rsidR="00C63DF3" w:rsidRDefault="006612FD" w:rsidP="00C63DF3">
      <w:pPr>
        <w:pStyle w:val="OutlineNumbered1"/>
        <w:numPr>
          <w:ilvl w:val="0"/>
          <w:numId w:val="12"/>
        </w:numPr>
        <w:spacing w:before="240" w:after="0" w:line="280" w:lineRule="exact"/>
        <w:jc w:val="both"/>
      </w:pPr>
      <w:bookmarkStart w:id="32" w:name="_Ref205975635"/>
      <w:r>
        <w:t xml:space="preserve">The 2023 </w:t>
      </w:r>
      <w:r w:rsidR="003F0417">
        <w:t>Final S</w:t>
      </w:r>
      <w:r>
        <w:t xml:space="preserve">tatement recommended </w:t>
      </w:r>
      <w:r w:rsidR="00BE6D49">
        <w:t xml:space="preserve">that both parties </w:t>
      </w:r>
      <w:r w:rsidRPr="006612FD">
        <w:t xml:space="preserve">review </w:t>
      </w:r>
      <w:r w:rsidR="00BE6D49">
        <w:t>their</w:t>
      </w:r>
      <w:r w:rsidRPr="006612FD">
        <w:t xml:space="preserve"> interaction and consider the role and use of meaningful engagement per the OECD Guidelines and </w:t>
      </w:r>
      <w:r w:rsidR="000800D7">
        <w:t xml:space="preserve">various </w:t>
      </w:r>
      <w:r w:rsidR="009D4BDA">
        <w:t xml:space="preserve">OECD Due Diligence </w:t>
      </w:r>
      <w:r w:rsidRPr="006612FD">
        <w:t>Guidance</w:t>
      </w:r>
      <w:r w:rsidR="009D4BDA">
        <w:t xml:space="preserve"> documents</w:t>
      </w:r>
      <w:r>
        <w:t>.</w:t>
      </w:r>
      <w:r w:rsidR="00F43661">
        <w:t xml:space="preserve"> </w:t>
      </w:r>
      <w:r w:rsidR="00290745">
        <w:t xml:space="preserve">The </w:t>
      </w:r>
      <w:r w:rsidR="006F2AD9">
        <w:t xml:space="preserve">2023 </w:t>
      </w:r>
      <w:r w:rsidR="00786FA8">
        <w:t>Final S</w:t>
      </w:r>
      <w:r w:rsidR="00290745">
        <w:t xml:space="preserve">tatement </w:t>
      </w:r>
      <w:r w:rsidR="00290745" w:rsidRPr="00D76963">
        <w:t>identified the relevant guidance as to what meaningful engagement involves</w:t>
      </w:r>
      <w:r w:rsidR="00FD6DAD">
        <w:t>,</w:t>
      </w:r>
      <w:r w:rsidR="00290745" w:rsidRPr="00D76963">
        <w:rPr>
          <w:rStyle w:val="FootnoteReference"/>
        </w:rPr>
        <w:footnoteReference w:id="18"/>
      </w:r>
      <w:r w:rsidR="00290745" w:rsidRPr="00D76963">
        <w:t xml:space="preserve"> </w:t>
      </w:r>
      <w:r w:rsidR="009F0316">
        <w:t xml:space="preserve">and </w:t>
      </w:r>
      <w:r w:rsidR="00BD4F96">
        <w:t>acknowledged</w:t>
      </w:r>
      <w:r w:rsidR="009F0316">
        <w:t xml:space="preserve"> </w:t>
      </w:r>
      <w:r w:rsidR="00144DF1">
        <w:t>that</w:t>
      </w:r>
      <w:r w:rsidR="00FD6DAD">
        <w:t>:</w:t>
      </w:r>
      <w:bookmarkEnd w:id="32"/>
    </w:p>
    <w:p w14:paraId="78A54542" w14:textId="4A12103E" w:rsidR="00C63DF3" w:rsidRDefault="000C5726" w:rsidP="00F02527">
      <w:pPr>
        <w:pStyle w:val="OutlineNumbered1"/>
        <w:numPr>
          <w:ilvl w:val="1"/>
          <w:numId w:val="12"/>
        </w:numPr>
        <w:spacing w:before="240" w:after="0" w:line="280" w:lineRule="exact"/>
      </w:pPr>
      <w:r>
        <w:t>t</w:t>
      </w:r>
      <w:r w:rsidR="004D408B" w:rsidRPr="004D408B">
        <w:t>he OECD Guidelines expect companies to engage with stakeholders</w:t>
      </w:r>
      <w:r w:rsidR="006757A1">
        <w:t>, with</w:t>
      </w:r>
      <w:r w:rsidR="004D408B" w:rsidRPr="004D408B">
        <w:t xml:space="preserve"> Chapter 2 </w:t>
      </w:r>
      <w:r w:rsidR="0042290D">
        <w:t>noting</w:t>
      </w:r>
      <w:r w:rsidR="00152E55">
        <w:t xml:space="preserve"> that </w:t>
      </w:r>
      <w:r w:rsidR="004D408B" w:rsidRPr="004D408B">
        <w:t xml:space="preserve">meaningful </w:t>
      </w:r>
      <w:r w:rsidR="005F2BB0">
        <w:t>e</w:t>
      </w:r>
      <w:r w:rsidR="004D408B" w:rsidRPr="004D408B">
        <w:t>ngage</w:t>
      </w:r>
      <w:r w:rsidR="00152E55">
        <w:t>ment</w:t>
      </w:r>
      <w:r w:rsidR="004D408B" w:rsidRPr="004D408B">
        <w:t xml:space="preserve"> </w:t>
      </w:r>
      <w:r w:rsidR="00152E55">
        <w:t xml:space="preserve">is important </w:t>
      </w:r>
      <w:r w:rsidR="00EC3C87">
        <w:t>for</w:t>
      </w:r>
      <w:r w:rsidR="00152E55">
        <w:t xml:space="preserve"> </w:t>
      </w:r>
      <w:r w:rsidR="00F720FD">
        <w:t xml:space="preserve">companies to </w:t>
      </w:r>
      <w:r w:rsidR="004D408B" w:rsidRPr="004D408B">
        <w:t>provid</w:t>
      </w:r>
      <w:r w:rsidR="00F720FD">
        <w:t>e</w:t>
      </w:r>
      <w:r w:rsidR="004D408B" w:rsidRPr="004D408B">
        <w:t xml:space="preserve"> opportunities for the views </w:t>
      </w:r>
      <w:r w:rsidR="00D84F3C">
        <w:t xml:space="preserve">of relevant stakeholders </w:t>
      </w:r>
      <w:r w:rsidR="004D408B" w:rsidRPr="004D408B">
        <w:t xml:space="preserve">to be </w:t>
      </w:r>
      <w:r w:rsidR="00776B7A" w:rsidRPr="004D408B">
        <w:t>considered</w:t>
      </w:r>
      <w:r w:rsidR="00AA1BC3">
        <w:t>, particularly</w:t>
      </w:r>
      <w:r w:rsidR="004D408B" w:rsidRPr="004D408B">
        <w:t xml:space="preserve"> </w:t>
      </w:r>
      <w:r w:rsidR="00FE5498">
        <w:t>around</w:t>
      </w:r>
      <w:r w:rsidR="004D408B" w:rsidRPr="004D408B">
        <w:t xml:space="preserve"> planning and decision</w:t>
      </w:r>
      <w:r w:rsidR="00854669">
        <w:noBreakHyphen/>
      </w:r>
      <w:r w:rsidR="004D408B" w:rsidRPr="004D408B">
        <w:t xml:space="preserve">making for </w:t>
      </w:r>
      <w:r w:rsidR="00FE5498">
        <w:t xml:space="preserve">projects or </w:t>
      </w:r>
      <w:r w:rsidR="004D408B" w:rsidRPr="004D408B">
        <w:t xml:space="preserve">activities that </w:t>
      </w:r>
      <w:r w:rsidR="00776B7A">
        <w:t>could</w:t>
      </w:r>
      <w:r w:rsidR="004D408B" w:rsidRPr="004D408B">
        <w:t xml:space="preserve"> significantly impact local communities</w:t>
      </w:r>
    </w:p>
    <w:p w14:paraId="0A552E7C" w14:textId="488B489C" w:rsidR="00C63DF3" w:rsidRDefault="0011345A" w:rsidP="0011345A">
      <w:pPr>
        <w:pStyle w:val="OutlineNumbered1"/>
        <w:numPr>
          <w:ilvl w:val="1"/>
          <w:numId w:val="12"/>
        </w:numPr>
        <w:spacing w:before="240" w:after="0" w:line="280" w:lineRule="exact"/>
      </w:pPr>
      <w:r>
        <w:t>t</w:t>
      </w:r>
      <w:r w:rsidR="004D408B">
        <w:t xml:space="preserve">he OECD </w:t>
      </w:r>
      <w:r w:rsidR="009516FB">
        <w:t>Due Diligence G</w:t>
      </w:r>
      <w:r w:rsidR="004D408B">
        <w:t>uidance</w:t>
      </w:r>
      <w:r>
        <w:t xml:space="preserve"> </w:t>
      </w:r>
      <w:r w:rsidR="009516FB">
        <w:t>for R</w:t>
      </w:r>
      <w:r>
        <w:t xml:space="preserve">esponsible </w:t>
      </w:r>
      <w:r w:rsidR="009516FB">
        <w:t>B</w:t>
      </w:r>
      <w:r>
        <w:t xml:space="preserve">usiness </w:t>
      </w:r>
      <w:r w:rsidR="009516FB">
        <w:t>C</w:t>
      </w:r>
      <w:r>
        <w:t>onduct</w:t>
      </w:r>
      <w:r>
        <w:rPr>
          <w:rStyle w:val="FootnoteReference"/>
        </w:rPr>
        <w:footnoteReference w:id="19"/>
      </w:r>
      <w:r w:rsidR="004D408B">
        <w:t xml:space="preserve"> explains </w:t>
      </w:r>
      <w:r w:rsidR="009516FB">
        <w:t xml:space="preserve">that </w:t>
      </w:r>
      <w:r w:rsidR="004D408B">
        <w:t>meaningful stakeholder engagement is important throughout the due diligence process</w:t>
      </w:r>
      <w:r w:rsidR="007719DD">
        <w:t>,</w:t>
      </w:r>
      <w:r w:rsidR="004D408B">
        <w:t xml:space="preserve"> and </w:t>
      </w:r>
      <w:r w:rsidR="00804E49">
        <w:t xml:space="preserve">‘in </w:t>
      </w:r>
      <w:r w:rsidR="004D408B">
        <w:t xml:space="preserve">some cases, stakeholder engagement or consultation is a right in and of </w:t>
      </w:r>
      <w:r w:rsidR="00804E49">
        <w:t>itself’</w:t>
      </w:r>
      <w:r w:rsidR="00C85926">
        <w:t>,</w:t>
      </w:r>
      <w:r w:rsidR="00804E49">
        <w:t xml:space="preserve"> </w:t>
      </w:r>
      <w:r w:rsidR="004D408B">
        <w:t>referencing the U</w:t>
      </w:r>
      <w:r w:rsidR="00687359">
        <w:t xml:space="preserve">nited </w:t>
      </w:r>
      <w:r w:rsidR="004D408B">
        <w:t>N</w:t>
      </w:r>
      <w:r w:rsidR="00687359">
        <w:t xml:space="preserve">ations </w:t>
      </w:r>
      <w:r w:rsidR="004D408B">
        <w:t>D</w:t>
      </w:r>
      <w:r w:rsidR="00687359">
        <w:t xml:space="preserve">eclaration </w:t>
      </w:r>
      <w:r w:rsidR="007C10F7">
        <w:t xml:space="preserve">on the </w:t>
      </w:r>
      <w:r w:rsidR="004D408B">
        <w:t>R</w:t>
      </w:r>
      <w:r w:rsidR="007C10F7">
        <w:t xml:space="preserve">ights of </w:t>
      </w:r>
      <w:r w:rsidR="004D408B">
        <w:t>I</w:t>
      </w:r>
      <w:r w:rsidR="007C10F7">
        <w:t xml:space="preserve">ndigenous </w:t>
      </w:r>
      <w:r w:rsidR="004D408B">
        <w:t>P</w:t>
      </w:r>
      <w:r w:rsidR="007C10F7">
        <w:t>ersons</w:t>
      </w:r>
      <w:r w:rsidR="004D408B">
        <w:t xml:space="preserve"> and </w:t>
      </w:r>
      <w:r w:rsidR="00911DF4">
        <w:t xml:space="preserve">the </w:t>
      </w:r>
      <w:r w:rsidR="004D408B">
        <w:t>I</w:t>
      </w:r>
      <w:r w:rsidR="007C10F7">
        <w:t xml:space="preserve">nternational </w:t>
      </w:r>
      <w:r w:rsidR="004D408B">
        <w:t>L</w:t>
      </w:r>
      <w:r w:rsidR="007C10F7">
        <w:t>abou</w:t>
      </w:r>
      <w:r>
        <w:t>r</w:t>
      </w:r>
      <w:r w:rsidR="007C10F7">
        <w:t xml:space="preserve"> </w:t>
      </w:r>
      <w:r w:rsidR="0007350C" w:rsidRPr="0007350C">
        <w:t xml:space="preserve">Organization </w:t>
      </w:r>
      <w:r w:rsidR="00E7739D">
        <w:t>Convention No.</w:t>
      </w:r>
      <w:r w:rsidR="004D408B">
        <w:t xml:space="preserve"> 169 provisions. These OECD documents </w:t>
      </w:r>
      <w:r>
        <w:t>(</w:t>
      </w:r>
      <w:r w:rsidR="00E005B6">
        <w:t xml:space="preserve">the </w:t>
      </w:r>
      <w:r w:rsidRPr="006612FD">
        <w:t>OECD</w:t>
      </w:r>
      <w:r w:rsidR="003E667A">
        <w:t> </w:t>
      </w:r>
      <w:r w:rsidRPr="006612FD">
        <w:t xml:space="preserve">Guidelines and </w:t>
      </w:r>
      <w:r w:rsidR="00E005B6">
        <w:t>OECD</w:t>
      </w:r>
      <w:r w:rsidRPr="006612FD">
        <w:t xml:space="preserve"> </w:t>
      </w:r>
      <w:r>
        <w:t xml:space="preserve">Due Diligence </w:t>
      </w:r>
      <w:r w:rsidRPr="006612FD">
        <w:t>Guidance</w:t>
      </w:r>
      <w:r>
        <w:t xml:space="preserve">) </w:t>
      </w:r>
      <w:r w:rsidR="004D408B">
        <w:t xml:space="preserve">are broadly </w:t>
      </w:r>
      <w:proofErr w:type="gramStart"/>
      <w:r w:rsidR="004D408B">
        <w:t>similar to</w:t>
      </w:r>
      <w:proofErr w:type="gramEnd"/>
      <w:r w:rsidR="004D408B">
        <w:t xml:space="preserve"> the UN</w:t>
      </w:r>
      <w:r>
        <w:t>G</w:t>
      </w:r>
      <w:r w:rsidR="004D408B">
        <w:t>Ps</w:t>
      </w:r>
      <w:r w:rsidR="00C85926">
        <w:t>,</w:t>
      </w:r>
      <w:r w:rsidR="004D408B">
        <w:t xml:space="preserve"> which should also inform company actions and decisions</w:t>
      </w:r>
    </w:p>
    <w:p w14:paraId="1613979D" w14:textId="21FEDC58" w:rsidR="004D408B" w:rsidRPr="00D76963" w:rsidRDefault="000C5726" w:rsidP="00F02527">
      <w:pPr>
        <w:pStyle w:val="OutlineNumbered1"/>
        <w:numPr>
          <w:ilvl w:val="1"/>
          <w:numId w:val="12"/>
        </w:numPr>
        <w:spacing w:before="240" w:after="0" w:line="280" w:lineRule="exact"/>
      </w:pPr>
      <w:r>
        <w:lastRenderedPageBreak/>
        <w:t>i</w:t>
      </w:r>
      <w:r w:rsidR="004D408B">
        <w:t>t is evident that the enterprise and the notifiers do not have meaningful engagement as is understood by the OECD Guidelines, which emphasises ongoing engagement that is two-way, conducted in good faith and responsive.</w:t>
      </w:r>
    </w:p>
    <w:p w14:paraId="680DD773" w14:textId="77777777" w:rsidR="00D6276B" w:rsidRDefault="00D76963" w:rsidP="00D6276B">
      <w:pPr>
        <w:pStyle w:val="OutlineNumbered1"/>
        <w:numPr>
          <w:ilvl w:val="0"/>
          <w:numId w:val="12"/>
        </w:numPr>
        <w:spacing w:before="240" w:after="0" w:line="280" w:lineRule="exact"/>
        <w:jc w:val="both"/>
      </w:pPr>
      <w:bookmarkStart w:id="33" w:name="_Ref202959260"/>
      <w:r w:rsidRPr="00D76963">
        <w:t>The enterprise explained that, since the 2023 Final Statement, it has:</w:t>
      </w:r>
      <w:bookmarkEnd w:id="33"/>
    </w:p>
    <w:p w14:paraId="760F3E53" w14:textId="54AAEF27" w:rsidR="00D6276B" w:rsidRDefault="00D76963" w:rsidP="00F02527">
      <w:pPr>
        <w:pStyle w:val="OutlineNumbered1"/>
        <w:numPr>
          <w:ilvl w:val="1"/>
          <w:numId w:val="12"/>
        </w:numPr>
        <w:spacing w:before="240" w:after="0" w:line="280" w:lineRule="exact"/>
      </w:pPr>
      <w:r w:rsidRPr="00D76963">
        <w:t xml:space="preserve">engaged a </w:t>
      </w:r>
      <w:r w:rsidRPr="00D6276B">
        <w:rPr>
          <w:lang w:val="en-US"/>
        </w:rPr>
        <w:t>law</w:t>
      </w:r>
      <w:r w:rsidRPr="00D76963">
        <w:t xml:space="preserve"> firm, experienced in the</w:t>
      </w:r>
      <w:r w:rsidR="00402ED1">
        <w:t xml:space="preserve"> OECD</w:t>
      </w:r>
      <w:r w:rsidRPr="00D76963">
        <w:t xml:space="preserve"> Guidelines, to review its </w:t>
      </w:r>
      <w:r w:rsidR="00BE6D49" w:rsidRPr="00D76963">
        <w:t>Stakeholder Engagement Policy</w:t>
      </w:r>
      <w:r w:rsidRPr="00D76963">
        <w:t xml:space="preserve"> and advise on the OECD Guidelines</w:t>
      </w:r>
    </w:p>
    <w:p w14:paraId="1F49DF60" w14:textId="21777DE7" w:rsidR="002D293B" w:rsidRDefault="00D76963" w:rsidP="00F02527">
      <w:pPr>
        <w:pStyle w:val="OutlineNumbered1"/>
        <w:numPr>
          <w:ilvl w:val="1"/>
          <w:numId w:val="12"/>
        </w:numPr>
        <w:spacing w:before="240" w:after="0" w:line="280" w:lineRule="exact"/>
      </w:pPr>
      <w:r w:rsidRPr="00D76963">
        <w:t xml:space="preserve">considered </w:t>
      </w:r>
      <w:r w:rsidRPr="00D6276B">
        <w:rPr>
          <w:lang w:val="en-US"/>
        </w:rPr>
        <w:t>and</w:t>
      </w:r>
      <w:r w:rsidRPr="00D76963">
        <w:t xml:space="preserve"> revised its Stakeholder Engagement Policy</w:t>
      </w:r>
      <w:r w:rsidR="00B217D5">
        <w:t>,</w:t>
      </w:r>
      <w:r w:rsidRPr="00D76963">
        <w:t xml:space="preserve"> including expanding guidance on non-governmental organisations and updating its “Stakeholder Engagement Principles”</w:t>
      </w:r>
      <w:r w:rsidR="00B217D5">
        <w:t>,</w:t>
      </w:r>
      <w:r w:rsidRPr="00D76963">
        <w:t xml:space="preserve"> which are to be followed by the enterprise and subsidiary personnel when engaging with stakeholders</w:t>
      </w:r>
    </w:p>
    <w:p w14:paraId="6EDE10FE" w14:textId="6E876A0C" w:rsidR="002D293B" w:rsidRDefault="00D76963" w:rsidP="00F02527">
      <w:pPr>
        <w:pStyle w:val="OutlineNumbered1"/>
        <w:numPr>
          <w:ilvl w:val="1"/>
          <w:numId w:val="12"/>
        </w:numPr>
        <w:spacing w:before="240" w:after="0" w:line="280" w:lineRule="exact"/>
      </w:pPr>
      <w:r w:rsidRPr="00D76963">
        <w:t>expanded its community engagement, including with communities along the Sepik River</w:t>
      </w:r>
      <w:r w:rsidR="00CB4304">
        <w:t>, which the enterprise described as ‘c</w:t>
      </w:r>
      <w:r w:rsidR="00CB4304" w:rsidRPr="00CB4304">
        <w:t>onducting additional, in-depth engagement with communities along the Sepik River to reflect observations made by the Independent Examiner</w:t>
      </w:r>
      <w:r w:rsidR="00CB4304">
        <w:t>’, and is further detailed below</w:t>
      </w:r>
    </w:p>
    <w:p w14:paraId="583ED3A9" w14:textId="238D89BC" w:rsidR="002D293B" w:rsidRDefault="00B96AB2" w:rsidP="00F02527">
      <w:pPr>
        <w:pStyle w:val="OutlineNumbered1"/>
        <w:numPr>
          <w:ilvl w:val="1"/>
          <w:numId w:val="12"/>
        </w:numPr>
        <w:spacing w:before="240" w:after="0" w:line="280" w:lineRule="exact"/>
      </w:pPr>
      <w:r>
        <w:t>i</w:t>
      </w:r>
      <w:r w:rsidR="004D408B">
        <w:t>n February 2024, the enterprise (and its subsidiary)</w:t>
      </w:r>
      <w:r w:rsidR="2B3F6474">
        <w:t xml:space="preserve"> met</w:t>
      </w:r>
      <w:r w:rsidR="00D76963">
        <w:t xml:space="preserve"> with community leaders from the near-mine communities, including </w:t>
      </w:r>
      <w:proofErr w:type="spellStart"/>
      <w:r w:rsidR="00D76963">
        <w:t>Wabia</w:t>
      </w:r>
      <w:proofErr w:type="spellEnd"/>
      <w:r w:rsidR="00D76963">
        <w:t xml:space="preserve"> and Ok Isai, under the auspices of a Community Leaders Forum – to provide information and understand peoples’ views on the proposals</w:t>
      </w:r>
      <w:r w:rsidR="00101CC6">
        <w:t xml:space="preserve"> for the mine, dam and associated infrastructure</w:t>
      </w:r>
    </w:p>
    <w:p w14:paraId="3E4565DD" w14:textId="679621A4" w:rsidR="00101CC6" w:rsidRDefault="00D76963" w:rsidP="00F02527">
      <w:pPr>
        <w:pStyle w:val="OutlineNumbered1"/>
        <w:numPr>
          <w:ilvl w:val="1"/>
          <w:numId w:val="12"/>
        </w:numPr>
        <w:spacing w:before="240" w:after="0" w:line="280" w:lineRule="exact"/>
      </w:pPr>
      <w:r w:rsidRPr="00D76963">
        <w:t xml:space="preserve">met with Haus </w:t>
      </w:r>
      <w:proofErr w:type="spellStart"/>
      <w:r w:rsidRPr="00D76963">
        <w:t>Tambaran</w:t>
      </w:r>
      <w:proofErr w:type="spellEnd"/>
      <w:r w:rsidRPr="00D76963">
        <w:t xml:space="preserve"> representatives and local leaders to seek permission to conduct engagement sessions and speak with 44 villages along the Upper and Middle Sepik River</w:t>
      </w:r>
    </w:p>
    <w:p w14:paraId="7D4AF01A" w14:textId="1788F5EA" w:rsidR="002D293B" w:rsidRDefault="00C50C06" w:rsidP="00C50C06">
      <w:pPr>
        <w:pStyle w:val="OutlineNumbered1"/>
        <w:numPr>
          <w:ilvl w:val="2"/>
          <w:numId w:val="12"/>
        </w:numPr>
        <w:spacing w:before="240" w:after="0" w:line="280" w:lineRule="exact"/>
      </w:pPr>
      <w:r>
        <w:t>A</w:t>
      </w:r>
      <w:r w:rsidR="00101CC6">
        <w:t>fter receiving that permission, the</w:t>
      </w:r>
      <w:r w:rsidR="00101CC6" w:rsidRPr="00D76963">
        <w:t xml:space="preserve"> sessions </w:t>
      </w:r>
      <w:r w:rsidR="00D76963" w:rsidRPr="00D76963">
        <w:t>were conducted in July 2024</w:t>
      </w:r>
      <w:r>
        <w:t>.</w:t>
      </w:r>
    </w:p>
    <w:p w14:paraId="3EEA235C" w14:textId="157B6F5B" w:rsidR="00D6276B" w:rsidRDefault="00D76963" w:rsidP="0084054D">
      <w:pPr>
        <w:pStyle w:val="OutlineNumbered1"/>
        <w:numPr>
          <w:ilvl w:val="1"/>
          <w:numId w:val="12"/>
        </w:numPr>
        <w:spacing w:before="120" w:after="0" w:line="280" w:lineRule="exact"/>
      </w:pPr>
      <w:r>
        <w:t xml:space="preserve">taken steps to ensure that meetings accord with the cultural norms of the villages and communities with which it is engaging (with the enterprise </w:t>
      </w:r>
      <w:r w:rsidR="004E0BB4">
        <w:t>advising that</w:t>
      </w:r>
      <w:r>
        <w:t xml:space="preserve"> its internal procedures include identify</w:t>
      </w:r>
      <w:r w:rsidR="5C174018">
        <w:t>ing</w:t>
      </w:r>
      <w:r>
        <w:t xml:space="preserve"> a risk of ‘disregarding or ignoring Local Customs and traditions of the local people’</w:t>
      </w:r>
      <w:r w:rsidR="004E0BB4">
        <w:t>,</w:t>
      </w:r>
      <w:r>
        <w:t xml:space="preserve"> and that controls include ‘</w:t>
      </w:r>
      <w:r w:rsidR="2C97C924">
        <w:t>o</w:t>
      </w:r>
      <w:r>
        <w:t>nce aware of the traditions and customs, team to respect all aspects of it regardless of status’)</w:t>
      </w:r>
      <w:bookmarkStart w:id="34" w:name="_Ref202959340"/>
    </w:p>
    <w:p w14:paraId="375B5B76" w14:textId="1DB87288" w:rsidR="00D76963" w:rsidRPr="00D76963" w:rsidRDefault="00D76963" w:rsidP="00F02527">
      <w:pPr>
        <w:pStyle w:val="OutlineNumbered1"/>
        <w:numPr>
          <w:ilvl w:val="1"/>
          <w:numId w:val="12"/>
        </w:numPr>
        <w:spacing w:before="120" w:after="0" w:line="280" w:lineRule="exact"/>
      </w:pPr>
      <w:r w:rsidRPr="00D76963">
        <w:t xml:space="preserve">in May 2025, after an invitation from ‘village elders and cultural leaders from the Murik Lakes area of the Lower Sepik region … to visit their villages and discuss the Project’, the enterprise </w:t>
      </w:r>
      <w:r w:rsidR="00101CC6">
        <w:t>(</w:t>
      </w:r>
      <w:r w:rsidRPr="00D76963">
        <w:t>and its subsidiary</w:t>
      </w:r>
      <w:r w:rsidR="00101CC6">
        <w:t>)</w:t>
      </w:r>
      <w:r w:rsidRPr="00D76963">
        <w:t xml:space="preserve"> met with leaders and visited villages of Murik Lakes, </w:t>
      </w:r>
      <w:proofErr w:type="spellStart"/>
      <w:r w:rsidRPr="00D76963">
        <w:t>Kopar</w:t>
      </w:r>
      <w:proofErr w:type="spellEnd"/>
      <w:r w:rsidRPr="00D76963">
        <w:t xml:space="preserve">, </w:t>
      </w:r>
      <w:proofErr w:type="spellStart"/>
      <w:r w:rsidRPr="00D76963">
        <w:t>Watam</w:t>
      </w:r>
      <w:proofErr w:type="spellEnd"/>
      <w:r w:rsidRPr="00D76963">
        <w:t xml:space="preserve">, Bin, Mabuk, and </w:t>
      </w:r>
      <w:proofErr w:type="spellStart"/>
      <w:r w:rsidRPr="00D76963">
        <w:t>Sigrin</w:t>
      </w:r>
      <w:proofErr w:type="spellEnd"/>
      <w:r w:rsidR="005508E6">
        <w:t>.</w:t>
      </w:r>
      <w:bookmarkEnd w:id="34"/>
    </w:p>
    <w:p w14:paraId="46D08BF1" w14:textId="20C38EDA" w:rsidR="00D76963" w:rsidRPr="00D76963" w:rsidRDefault="541E100D" w:rsidP="004E30A8">
      <w:pPr>
        <w:pStyle w:val="OutlineNumbered1"/>
        <w:numPr>
          <w:ilvl w:val="0"/>
          <w:numId w:val="12"/>
        </w:numPr>
        <w:spacing w:before="240" w:after="0" w:line="280" w:lineRule="exact"/>
        <w:jc w:val="both"/>
      </w:pPr>
      <w:r w:rsidRPr="00D76963">
        <w:t xml:space="preserve">The enterprise also explained it has </w:t>
      </w:r>
      <w:proofErr w:type="gramStart"/>
      <w:r w:rsidRPr="00D76963">
        <w:t>provided assistance for</w:t>
      </w:r>
      <w:proofErr w:type="gramEnd"/>
      <w:r w:rsidRPr="00D76963">
        <w:t xml:space="preserve"> various actions</w:t>
      </w:r>
      <w:r w:rsidR="00B83DF0">
        <w:t xml:space="preserve">, </w:t>
      </w:r>
      <w:r w:rsidRPr="00D76963">
        <w:t xml:space="preserve">including funding for specialist health and surgical services to communities, </w:t>
      </w:r>
      <w:r w:rsidR="02E38E5F">
        <w:t xml:space="preserve">providing </w:t>
      </w:r>
      <w:r w:rsidRPr="00D76963">
        <w:t xml:space="preserve">sporting goods </w:t>
      </w:r>
      <w:r w:rsidR="02E38E5F">
        <w:t>and</w:t>
      </w:r>
      <w:r w:rsidRPr="00D76963">
        <w:t xml:space="preserve"> subsidising school fees for students from </w:t>
      </w:r>
      <w:r w:rsidR="02E38E5F">
        <w:t>local areas</w:t>
      </w:r>
      <w:r w:rsidRPr="00D76963">
        <w:t>,</w:t>
      </w:r>
      <w:r w:rsidR="02E38E5F">
        <w:t xml:space="preserve"> </w:t>
      </w:r>
      <w:r w:rsidRPr="00D76963">
        <w:t xml:space="preserve">providing skills training to interested community members, and providing logistical support for registration with the Papua New Guinea National Identification scheme </w:t>
      </w:r>
      <w:r w:rsidR="00B83DF0">
        <w:t>(</w:t>
      </w:r>
      <w:r w:rsidRPr="00D76963">
        <w:t>which assists in access</w:t>
      </w:r>
      <w:r w:rsidR="004F5EF7">
        <w:t>ing</w:t>
      </w:r>
      <w:r w:rsidRPr="00D76963">
        <w:t xml:space="preserve"> some government services). These initiatives are not ignored </w:t>
      </w:r>
      <w:r w:rsidDel="00D76963">
        <w:t>n</w:t>
      </w:r>
      <w:r w:rsidRPr="00D76963">
        <w:t>or criticised by the AusNCP, as they can be examples of the OECD Guidelines</w:t>
      </w:r>
      <w:r w:rsidR="4EA6D129">
        <w:t>’</w:t>
      </w:r>
      <w:r w:rsidRPr="00D76963">
        <w:t xml:space="preserve"> expectation that enterprises should ‘</w:t>
      </w:r>
      <w:r w:rsidR="593D700A">
        <w:t>c</w:t>
      </w:r>
      <w:r w:rsidRPr="00D76963">
        <w:t>ontribute to economic, environmental and social progress with a view to achieving sustainable development’.</w:t>
      </w:r>
      <w:r w:rsidR="005508E6">
        <w:rPr>
          <w:rStyle w:val="FootnoteReference"/>
        </w:rPr>
        <w:footnoteReference w:id="20"/>
      </w:r>
      <w:r w:rsidRPr="00D76963">
        <w:t xml:space="preserve"> However these types of activities are different to the purpose of this recommendation</w:t>
      </w:r>
      <w:r w:rsidR="004F5EF7">
        <w:t>,</w:t>
      </w:r>
      <w:r w:rsidRPr="00D76963">
        <w:t xml:space="preserve"> which concerned the </w:t>
      </w:r>
      <w:r w:rsidR="003E667A">
        <w:t>OECD</w:t>
      </w:r>
      <w:r w:rsidRPr="00D76963">
        <w:t xml:space="preserve"> Guidelines</w:t>
      </w:r>
      <w:r w:rsidR="4EA6D129">
        <w:t>’</w:t>
      </w:r>
      <w:r w:rsidRPr="00D76963">
        <w:t xml:space="preserve"> </w:t>
      </w:r>
      <w:r w:rsidRPr="00D76963">
        <w:lastRenderedPageBreak/>
        <w:t>expectation about ‘</w:t>
      </w:r>
      <w:proofErr w:type="spellStart"/>
      <w:r w:rsidRPr="00D76963">
        <w:t>provid</w:t>
      </w:r>
      <w:proofErr w:type="spellEnd"/>
      <w:r w:rsidRPr="00D76963">
        <w:t>[</w:t>
      </w:r>
      <w:proofErr w:type="spellStart"/>
      <w:r w:rsidRPr="00D76963">
        <w:t>ing</w:t>
      </w:r>
      <w:proofErr w:type="spellEnd"/>
      <w:r w:rsidRPr="00D76963">
        <w:t>] meaningful opportunities for …[stakeholders] views to be taken into account in relation to planning and decision</w:t>
      </w:r>
      <w:r w:rsidR="00763E87">
        <w:t xml:space="preserve"> </w:t>
      </w:r>
      <w:r w:rsidRPr="00D76963">
        <w:t xml:space="preserve">making for projects or other activities that may significantly impact local </w:t>
      </w:r>
      <w:r w:rsidR="00804E49" w:rsidRPr="00D76963">
        <w:t>communities</w:t>
      </w:r>
      <w:r w:rsidR="00804E49">
        <w:t>’</w:t>
      </w:r>
      <w:r w:rsidRPr="00D76963">
        <w:t>.</w:t>
      </w:r>
      <w:r w:rsidR="00D76963" w:rsidRPr="00D76963">
        <w:rPr>
          <w:rStyle w:val="FootnoteReference"/>
        </w:rPr>
        <w:footnoteReference w:id="21"/>
      </w:r>
      <w:r w:rsidR="00101CC6">
        <w:t xml:space="preserve"> Accordingly, these activities were not considered regarding this recommendation.</w:t>
      </w:r>
    </w:p>
    <w:p w14:paraId="22934291" w14:textId="37F14218" w:rsidR="00DA0234" w:rsidRDefault="00D76963" w:rsidP="00442826">
      <w:pPr>
        <w:pStyle w:val="OutlineNumbered1"/>
        <w:numPr>
          <w:ilvl w:val="0"/>
          <w:numId w:val="12"/>
        </w:numPr>
        <w:spacing w:before="240" w:after="0" w:line="280" w:lineRule="exact"/>
        <w:jc w:val="both"/>
      </w:pPr>
      <w:r>
        <w:t xml:space="preserve">In their submissions for the </w:t>
      </w:r>
      <w:r w:rsidR="005B65D4">
        <w:t>F</w:t>
      </w:r>
      <w:r w:rsidR="008B203B">
        <w:t>ollow</w:t>
      </w:r>
      <w:r w:rsidR="00862BD7">
        <w:t xml:space="preserve"> </w:t>
      </w:r>
      <w:r w:rsidR="005B65D4">
        <w:t>U</w:t>
      </w:r>
      <w:r w:rsidR="008B203B">
        <w:t xml:space="preserve">p </w:t>
      </w:r>
      <w:r w:rsidR="00C63DF3">
        <w:t>p</w:t>
      </w:r>
      <w:r>
        <w:t>rocess, the notifiers provided no statement or information contrary to the above points. The notifiers did raise concerns regarding the facilitated discussions through the AusNCP in 2025 (but that is not what this recommendation concerned)</w:t>
      </w:r>
      <w:r w:rsidR="00B83DF0">
        <w:t>,</w:t>
      </w:r>
      <w:r>
        <w:t xml:space="preserve"> and the engagement regarding the dam</w:t>
      </w:r>
      <w:r w:rsidR="00D1404B">
        <w:t xml:space="preserve"> </w:t>
      </w:r>
      <w:r>
        <w:t>break analysis (</w:t>
      </w:r>
      <w:r w:rsidR="004D408B">
        <w:t>which</w:t>
      </w:r>
      <w:r>
        <w:t xml:space="preserve"> is addressed below).</w:t>
      </w:r>
    </w:p>
    <w:p w14:paraId="07785A28" w14:textId="17E7EF5E" w:rsidR="00D76963" w:rsidRPr="00D76963" w:rsidRDefault="00D76963" w:rsidP="00442826">
      <w:pPr>
        <w:pStyle w:val="OutlineNumbered1"/>
        <w:numPr>
          <w:ilvl w:val="0"/>
          <w:numId w:val="12"/>
        </w:numPr>
        <w:spacing w:before="240" w:after="0" w:line="280" w:lineRule="exact"/>
        <w:jc w:val="both"/>
      </w:pPr>
      <w:r w:rsidRPr="00D76963">
        <w:t xml:space="preserve">The </w:t>
      </w:r>
      <w:r w:rsidR="00C8390D">
        <w:t xml:space="preserve">Independent </w:t>
      </w:r>
      <w:r w:rsidR="00B8670D">
        <w:t>Examiner</w:t>
      </w:r>
      <w:r w:rsidR="00B8670D" w:rsidRPr="00D76963">
        <w:t xml:space="preserve"> </w:t>
      </w:r>
      <w:r w:rsidRPr="00D76963">
        <w:t>is satisfied that the enterprise has implemented this recommendation</w:t>
      </w:r>
      <w:r w:rsidR="008C3F9F">
        <w:t xml:space="preserve"> on the basis of </w:t>
      </w:r>
      <w:r w:rsidRPr="00D76963">
        <w:t xml:space="preserve">the </w:t>
      </w:r>
      <w:r w:rsidR="005508E6">
        <w:t>gener</w:t>
      </w:r>
      <w:r w:rsidR="005508E6" w:rsidRPr="00920392">
        <w:t xml:space="preserve">al </w:t>
      </w:r>
      <w:r w:rsidRPr="00920392">
        <w:t>actions summarised above</w:t>
      </w:r>
      <w:r w:rsidR="003B400B">
        <w:t>,</w:t>
      </w:r>
      <w:r w:rsidRPr="00920392">
        <w:t xml:space="preserve"> and also other actions </w:t>
      </w:r>
      <w:r w:rsidR="005508E6" w:rsidRPr="00920392">
        <w:t xml:space="preserve">concerning specific </w:t>
      </w:r>
      <w:r w:rsidRPr="00920392">
        <w:t>engagement</w:t>
      </w:r>
      <w:r w:rsidR="00B96AB2" w:rsidRPr="00920392">
        <w:t xml:space="preserve"> with the notifiers</w:t>
      </w:r>
      <w:r w:rsidRPr="00920392">
        <w:t xml:space="preserve"> (</w:t>
      </w:r>
      <w:r w:rsidR="00B96AB2" w:rsidRPr="00920392">
        <w:t xml:space="preserve">addressed </w:t>
      </w:r>
      <w:r w:rsidR="005508E6" w:rsidRPr="00920392">
        <w:t xml:space="preserve">in </w:t>
      </w:r>
      <w:r w:rsidR="00B96AB2" w:rsidRPr="003E0A08">
        <w:fldChar w:fldCharType="begin"/>
      </w:r>
      <w:r w:rsidR="00B96AB2" w:rsidRPr="003E0A08">
        <w:instrText xml:space="preserve"> REF _Ref204172891 \r \h </w:instrText>
      </w:r>
      <w:r w:rsidR="00B77542" w:rsidRPr="003E0A08">
        <w:instrText xml:space="preserve"> \* MERGEFORMAT </w:instrText>
      </w:r>
      <w:r w:rsidR="00B96AB2" w:rsidRPr="003E0A08">
        <w:fldChar w:fldCharType="separate"/>
      </w:r>
      <w:r w:rsidR="003D5B39">
        <w:t>34</w:t>
      </w:r>
      <w:r w:rsidR="00B96AB2" w:rsidRPr="003E0A08">
        <w:fldChar w:fldCharType="end"/>
      </w:r>
      <w:r w:rsidR="00B96AB2" w:rsidRPr="003E0A08">
        <w:t>-</w:t>
      </w:r>
      <w:r w:rsidR="00B96AB2" w:rsidRPr="003E0A08">
        <w:fldChar w:fldCharType="begin"/>
      </w:r>
      <w:r w:rsidR="00B96AB2" w:rsidRPr="003E0A08">
        <w:instrText xml:space="preserve"> REF _Ref204172902 \r \h </w:instrText>
      </w:r>
      <w:r w:rsidR="00B77542" w:rsidRPr="003E0A08">
        <w:instrText xml:space="preserve"> \* MERGEFORMAT </w:instrText>
      </w:r>
      <w:r w:rsidR="00B96AB2" w:rsidRPr="003E0A08">
        <w:fldChar w:fldCharType="separate"/>
      </w:r>
      <w:r w:rsidR="003D5B39">
        <w:t>36</w:t>
      </w:r>
      <w:r w:rsidR="00B96AB2" w:rsidRPr="003E0A08">
        <w:fldChar w:fldCharType="end"/>
      </w:r>
      <w:r w:rsidR="00C63DF3" w:rsidRPr="003E0A08">
        <w:t xml:space="preserve"> </w:t>
      </w:r>
      <w:r w:rsidR="00B96AB2" w:rsidRPr="003E0A08">
        <w:t>below</w:t>
      </w:r>
      <w:r w:rsidRPr="00920392">
        <w:t>).</w:t>
      </w:r>
    </w:p>
    <w:p w14:paraId="19B1E8B8" w14:textId="7F43740E" w:rsidR="006612FD" w:rsidRPr="0026203E" w:rsidRDefault="006612FD" w:rsidP="005508E6">
      <w:pPr>
        <w:pStyle w:val="Heading3"/>
        <w:spacing w:before="360"/>
        <w:rPr>
          <w:rFonts w:asciiTheme="minorHAnsi" w:hAnsiTheme="minorHAnsi" w:cstheme="minorHAnsi"/>
          <w:color w:val="212121"/>
          <w:sz w:val="27"/>
          <w:szCs w:val="27"/>
        </w:rPr>
      </w:pPr>
      <w:bookmarkStart w:id="35" w:name="_Toc204167775"/>
      <w:bookmarkStart w:id="36" w:name="_Toc216870708"/>
      <w:r w:rsidRPr="0026203E">
        <w:rPr>
          <w:rFonts w:asciiTheme="minorHAnsi" w:hAnsiTheme="minorHAnsi" w:cstheme="minorHAnsi"/>
          <w:color w:val="212121"/>
          <w:sz w:val="27"/>
          <w:szCs w:val="27"/>
        </w:rPr>
        <w:t xml:space="preserve">2. </w:t>
      </w:r>
      <w:r w:rsidR="00E87266" w:rsidRPr="0026203E">
        <w:rPr>
          <w:rFonts w:asciiTheme="minorHAnsi" w:hAnsiTheme="minorHAnsi" w:cstheme="minorHAnsi"/>
          <w:color w:val="212121"/>
          <w:sz w:val="27"/>
          <w:szCs w:val="27"/>
        </w:rPr>
        <w:t>S</w:t>
      </w:r>
      <w:r w:rsidRPr="0026203E">
        <w:rPr>
          <w:rFonts w:asciiTheme="minorHAnsi" w:hAnsiTheme="minorHAnsi" w:cstheme="minorHAnsi"/>
          <w:color w:val="212121"/>
          <w:sz w:val="27"/>
          <w:szCs w:val="27"/>
        </w:rPr>
        <w:t>ecurity</w:t>
      </w:r>
      <w:r w:rsidR="00E87266" w:rsidRPr="0026203E">
        <w:rPr>
          <w:rFonts w:asciiTheme="minorHAnsi" w:hAnsiTheme="minorHAnsi" w:cstheme="minorHAnsi"/>
          <w:color w:val="212121"/>
          <w:sz w:val="27"/>
          <w:szCs w:val="27"/>
        </w:rPr>
        <w:t xml:space="preserve"> and the</w:t>
      </w:r>
      <w:r w:rsidRPr="0026203E">
        <w:rPr>
          <w:rFonts w:asciiTheme="minorHAnsi" w:hAnsiTheme="minorHAnsi" w:cstheme="minorHAnsi"/>
          <w:color w:val="212121"/>
          <w:sz w:val="27"/>
          <w:szCs w:val="27"/>
        </w:rPr>
        <w:t xml:space="preserve"> </w:t>
      </w:r>
      <w:r w:rsidR="00BB51DE" w:rsidRPr="0026203E">
        <w:rPr>
          <w:rFonts w:asciiTheme="minorHAnsi" w:hAnsiTheme="minorHAnsi" w:cstheme="minorHAnsi"/>
          <w:color w:val="212121"/>
          <w:sz w:val="27"/>
          <w:szCs w:val="27"/>
        </w:rPr>
        <w:t>enterprise</w:t>
      </w:r>
      <w:r w:rsidR="00E87266" w:rsidRPr="0026203E">
        <w:rPr>
          <w:rFonts w:asciiTheme="minorHAnsi" w:hAnsiTheme="minorHAnsi" w:cstheme="minorHAnsi"/>
          <w:color w:val="212121"/>
          <w:sz w:val="27"/>
          <w:szCs w:val="27"/>
        </w:rPr>
        <w:t>’s</w:t>
      </w:r>
      <w:r w:rsidR="00BB51DE" w:rsidRPr="0026203E">
        <w:rPr>
          <w:rFonts w:asciiTheme="minorHAnsi" w:hAnsiTheme="minorHAnsi" w:cstheme="minorHAnsi"/>
          <w:color w:val="212121"/>
          <w:sz w:val="27"/>
          <w:szCs w:val="27"/>
        </w:rPr>
        <w:t xml:space="preserve"> </w:t>
      </w:r>
      <w:r w:rsidRPr="0026203E">
        <w:rPr>
          <w:rFonts w:asciiTheme="minorHAnsi" w:hAnsiTheme="minorHAnsi" w:cstheme="minorHAnsi"/>
          <w:color w:val="212121"/>
          <w:sz w:val="27"/>
          <w:szCs w:val="27"/>
        </w:rPr>
        <w:t xml:space="preserve">use </w:t>
      </w:r>
      <w:r w:rsidR="00BB51DE" w:rsidRPr="0026203E">
        <w:rPr>
          <w:rFonts w:asciiTheme="minorHAnsi" w:hAnsiTheme="minorHAnsi" w:cstheme="minorHAnsi"/>
          <w:color w:val="212121"/>
          <w:sz w:val="27"/>
          <w:szCs w:val="27"/>
        </w:rPr>
        <w:t xml:space="preserve">of </w:t>
      </w:r>
      <w:r w:rsidRPr="0026203E">
        <w:rPr>
          <w:rFonts w:asciiTheme="minorHAnsi" w:hAnsiTheme="minorHAnsi" w:cstheme="minorHAnsi"/>
          <w:color w:val="212121"/>
          <w:sz w:val="27"/>
          <w:szCs w:val="27"/>
        </w:rPr>
        <w:t>2022 toolkit of Voluntary Principles Initiative</w:t>
      </w:r>
      <w:bookmarkEnd w:id="35"/>
      <w:r w:rsidR="00EE7BB2" w:rsidRPr="0026203E">
        <w:rPr>
          <w:rFonts w:asciiTheme="minorHAnsi" w:hAnsiTheme="minorHAnsi" w:cstheme="minorHAnsi"/>
          <w:color w:val="212121"/>
          <w:sz w:val="27"/>
          <w:szCs w:val="27"/>
        </w:rPr>
        <w:t xml:space="preserve"> </w:t>
      </w:r>
      <w:r w:rsidR="00154797" w:rsidRPr="0026203E">
        <w:rPr>
          <w:rFonts w:asciiTheme="minorHAnsi" w:hAnsiTheme="minorHAnsi" w:cstheme="minorHAnsi"/>
          <w:color w:val="212121"/>
          <w:sz w:val="27"/>
          <w:szCs w:val="27"/>
        </w:rPr>
        <w:t>on Security and Human Rights</w:t>
      </w:r>
      <w:bookmarkEnd w:id="36"/>
    </w:p>
    <w:p w14:paraId="539028E9" w14:textId="5286DAD7" w:rsidR="005508E6" w:rsidRPr="005508E6" w:rsidRDefault="005508E6" w:rsidP="005508E6">
      <w:pPr>
        <w:pStyle w:val="OutlineNumbered1"/>
        <w:numPr>
          <w:ilvl w:val="0"/>
          <w:numId w:val="12"/>
        </w:numPr>
        <w:spacing w:before="240" w:after="0" w:line="280" w:lineRule="exact"/>
        <w:jc w:val="both"/>
      </w:pPr>
      <w:r w:rsidRPr="005508E6">
        <w:t xml:space="preserve">The 2023 </w:t>
      </w:r>
      <w:r w:rsidR="009229FA">
        <w:t>Final S</w:t>
      </w:r>
      <w:r w:rsidRPr="005508E6">
        <w:t>tatement recommended that, i</w:t>
      </w:r>
      <w:r w:rsidR="004D408B">
        <w:t>f</w:t>
      </w:r>
      <w:r w:rsidRPr="005508E6">
        <w:t xml:space="preserve"> dealing with issues about security personnel, the enterprise should consider and use the 2022 toolkit of the </w:t>
      </w:r>
      <w:r w:rsidRPr="005508E6">
        <w:rPr>
          <w:i/>
          <w:iCs/>
        </w:rPr>
        <w:t xml:space="preserve">Voluntary Principles </w:t>
      </w:r>
      <w:r w:rsidR="00C91797">
        <w:rPr>
          <w:i/>
          <w:iCs/>
        </w:rPr>
        <w:t>Initiative</w:t>
      </w:r>
      <w:r w:rsidRPr="005508E6">
        <w:rPr>
          <w:i/>
          <w:iCs/>
        </w:rPr>
        <w:t>.</w:t>
      </w:r>
    </w:p>
    <w:p w14:paraId="5C7E66B5" w14:textId="77777777" w:rsidR="00D6276B" w:rsidRDefault="005508E6" w:rsidP="00D6276B">
      <w:pPr>
        <w:pStyle w:val="OutlineNumbered1"/>
        <w:numPr>
          <w:ilvl w:val="0"/>
          <w:numId w:val="12"/>
        </w:numPr>
        <w:spacing w:before="240" w:after="0" w:line="280" w:lineRule="exact"/>
        <w:jc w:val="both"/>
      </w:pPr>
      <w:r w:rsidRPr="005508E6">
        <w:t>The enterprise explained that:</w:t>
      </w:r>
    </w:p>
    <w:p w14:paraId="78371574" w14:textId="270B3028" w:rsidR="00D6276B" w:rsidRDefault="005508E6" w:rsidP="00D6276B">
      <w:pPr>
        <w:pStyle w:val="OutlineNumbered1"/>
        <w:numPr>
          <w:ilvl w:val="1"/>
          <w:numId w:val="12"/>
        </w:numPr>
        <w:spacing w:before="240" w:after="0" w:line="280" w:lineRule="exact"/>
        <w:jc w:val="both"/>
      </w:pPr>
      <w:r w:rsidRPr="005508E6">
        <w:t xml:space="preserve">it has been a member of the </w:t>
      </w:r>
      <w:r w:rsidRPr="00607561">
        <w:rPr>
          <w:i/>
        </w:rPr>
        <w:t>Voluntary Principles Initiative</w:t>
      </w:r>
      <w:r w:rsidR="00EF6543" w:rsidRPr="00607561">
        <w:rPr>
          <w:i/>
        </w:rPr>
        <w:t xml:space="preserve"> </w:t>
      </w:r>
      <w:r w:rsidRPr="005508E6">
        <w:t>since 2013</w:t>
      </w:r>
    </w:p>
    <w:p w14:paraId="743EEBF6" w14:textId="74923647" w:rsidR="00D6276B" w:rsidRDefault="005508E6" w:rsidP="00D6276B">
      <w:pPr>
        <w:pStyle w:val="OutlineNumbered1"/>
        <w:numPr>
          <w:ilvl w:val="1"/>
          <w:numId w:val="12"/>
        </w:numPr>
        <w:spacing w:before="240" w:after="0" w:line="280" w:lineRule="exact"/>
        <w:jc w:val="both"/>
      </w:pPr>
      <w:r>
        <w:t>it regularly conducts risk assessments in respect of its operations in Papua New Guinea (with the most recent, regarding stakeholder engagement, conducted in May 2025)</w:t>
      </w:r>
      <w:r w:rsidR="00607561">
        <w:t>,</w:t>
      </w:r>
      <w:r>
        <w:t xml:space="preserve"> which include</w:t>
      </w:r>
      <w:r w:rsidR="1CFA8E0F">
        <w:t>s</w:t>
      </w:r>
      <w:r>
        <w:t xml:space="preserve"> consideration of the </w:t>
      </w:r>
      <w:r w:rsidRPr="00D6276B">
        <w:rPr>
          <w:i/>
          <w:iCs/>
        </w:rPr>
        <w:t>Voluntary Principles on Security and Human Rights</w:t>
      </w:r>
      <w:r>
        <w:t xml:space="preserve"> and use of the associated toolkit</w:t>
      </w:r>
    </w:p>
    <w:p w14:paraId="2CEF4111" w14:textId="276911BF" w:rsidR="00D6276B" w:rsidRDefault="005508E6" w:rsidP="00D6276B">
      <w:pPr>
        <w:pStyle w:val="OutlineNumbered1"/>
        <w:numPr>
          <w:ilvl w:val="1"/>
          <w:numId w:val="12"/>
        </w:numPr>
        <w:spacing w:before="240" w:after="0" w:line="280" w:lineRule="exact"/>
        <w:jc w:val="both"/>
      </w:pPr>
      <w:r w:rsidRPr="005508E6">
        <w:t xml:space="preserve"> it does not engage private security firms in Papua New Guinea</w:t>
      </w:r>
    </w:p>
    <w:p w14:paraId="719FF706" w14:textId="60D86A1C" w:rsidR="00D6276B" w:rsidRDefault="005508E6" w:rsidP="00D6276B">
      <w:pPr>
        <w:pStyle w:val="OutlineNumbered1"/>
        <w:numPr>
          <w:ilvl w:val="1"/>
          <w:numId w:val="12"/>
        </w:numPr>
        <w:spacing w:before="240" w:after="0" w:line="280" w:lineRule="exact"/>
        <w:jc w:val="both"/>
      </w:pPr>
      <w:r>
        <w:t xml:space="preserve">where law enforcement officials accompany </w:t>
      </w:r>
      <w:r w:rsidR="00C91797">
        <w:t xml:space="preserve">personnel </w:t>
      </w:r>
      <w:r>
        <w:t>from the enterprise</w:t>
      </w:r>
      <w:r w:rsidR="7EB3E3EB">
        <w:t xml:space="preserve"> or</w:t>
      </w:r>
      <w:r w:rsidR="00C91797">
        <w:t xml:space="preserve"> its</w:t>
      </w:r>
      <w:r w:rsidR="7EB3E3EB">
        <w:t xml:space="preserve"> </w:t>
      </w:r>
      <w:r>
        <w:t xml:space="preserve">subsidiary during Sepik Engagement Programs, the enterprise ‘communicates its expectation that those officials act in a manner consistent with human rights and company policies regarding </w:t>
      </w:r>
      <w:proofErr w:type="gramStart"/>
      <w:r>
        <w:t>ethics’</w:t>
      </w:r>
      <w:proofErr w:type="gramEnd"/>
      <w:r w:rsidR="004C1C55">
        <w:t>,</w:t>
      </w:r>
      <w:r>
        <w:t xml:space="preserve"> and ‘are given briefings and training on appropriate conduct, security measures and human rights before each engagement campaign, and their performance is monitored’</w:t>
      </w:r>
    </w:p>
    <w:p w14:paraId="6E7BDE93" w14:textId="62F41B4A" w:rsidR="00D6276B" w:rsidRDefault="005508E6" w:rsidP="00D6276B">
      <w:pPr>
        <w:pStyle w:val="OutlineNumbered1"/>
        <w:numPr>
          <w:ilvl w:val="1"/>
          <w:numId w:val="12"/>
        </w:numPr>
        <w:spacing w:before="240" w:after="0" w:line="280" w:lineRule="exact"/>
        <w:jc w:val="both"/>
      </w:pPr>
      <w:r w:rsidRPr="005508E6">
        <w:t xml:space="preserve">it also ‘communicates regularly its expectation to the Government of Papua New Guinea that law enforcement personnel: </w:t>
      </w:r>
    </w:p>
    <w:p w14:paraId="7CE0A68A" w14:textId="76CC8C24" w:rsidR="005508E6" w:rsidRPr="005508E6" w:rsidRDefault="0011345A" w:rsidP="0011345A">
      <w:pPr>
        <w:pStyle w:val="OutlineNumbered1"/>
        <w:numPr>
          <w:ilvl w:val="0"/>
          <w:numId w:val="0"/>
        </w:numPr>
        <w:tabs>
          <w:tab w:val="left" w:pos="851"/>
        </w:tabs>
        <w:spacing w:before="240" w:after="0" w:line="280" w:lineRule="exact"/>
        <w:ind w:left="360"/>
        <w:jc w:val="both"/>
      </w:pPr>
      <w:r>
        <w:tab/>
      </w:r>
      <w:r w:rsidR="008D1525">
        <w:tab/>
      </w:r>
      <w:r w:rsidR="005508E6" w:rsidRPr="005508E6">
        <w:t>(</w:t>
      </w:r>
      <w:proofErr w:type="spellStart"/>
      <w:r w:rsidR="005508E6" w:rsidRPr="005508E6">
        <w:t>i</w:t>
      </w:r>
      <w:proofErr w:type="spellEnd"/>
      <w:r w:rsidR="005508E6" w:rsidRPr="005508E6">
        <w:t xml:space="preserve">) must refrain from using force except where </w:t>
      </w:r>
      <w:proofErr w:type="gramStart"/>
      <w:r w:rsidR="005508E6" w:rsidRPr="005508E6">
        <w:t>absolutely necessary</w:t>
      </w:r>
      <w:proofErr w:type="gramEnd"/>
      <w:r w:rsidR="005508E6" w:rsidRPr="005508E6">
        <w:t xml:space="preserve"> </w:t>
      </w:r>
    </w:p>
    <w:p w14:paraId="20D496D2" w14:textId="46EB0E57" w:rsidR="005508E6" w:rsidRPr="005508E6" w:rsidRDefault="005508E6" w:rsidP="0084054D">
      <w:pPr>
        <w:pStyle w:val="OutlineNumbered1"/>
        <w:numPr>
          <w:ilvl w:val="0"/>
          <w:numId w:val="0"/>
        </w:numPr>
        <w:spacing w:before="120" w:after="0" w:line="280" w:lineRule="exact"/>
        <w:ind w:left="720" w:firstLine="720"/>
      </w:pPr>
      <w:r w:rsidRPr="005508E6">
        <w:t>(ii) must not prevent members of the public from peacefully exercising their rights’.</w:t>
      </w:r>
    </w:p>
    <w:p w14:paraId="16AAB0A9" w14:textId="141AAF6B" w:rsidR="005508E6" w:rsidRPr="005508E6" w:rsidRDefault="005508E6" w:rsidP="00442826">
      <w:pPr>
        <w:pStyle w:val="OutlineNumbered1"/>
        <w:numPr>
          <w:ilvl w:val="0"/>
          <w:numId w:val="12"/>
        </w:numPr>
        <w:spacing w:before="240" w:after="0" w:line="280" w:lineRule="exact"/>
        <w:jc w:val="both"/>
      </w:pPr>
      <w:r w:rsidRPr="005508E6">
        <w:t xml:space="preserve">In their submissions for the </w:t>
      </w:r>
      <w:r w:rsidR="00206C0B">
        <w:t>F</w:t>
      </w:r>
      <w:r w:rsidR="008B203B">
        <w:t>ollow</w:t>
      </w:r>
      <w:r w:rsidR="00862BD7">
        <w:t xml:space="preserve"> </w:t>
      </w:r>
      <w:r w:rsidR="00206C0B">
        <w:t>U</w:t>
      </w:r>
      <w:r w:rsidR="008B203B">
        <w:t xml:space="preserve">p </w:t>
      </w:r>
      <w:r w:rsidR="00C63DF3">
        <w:t>p</w:t>
      </w:r>
      <w:r w:rsidR="176FF78D">
        <w:t>rocess</w:t>
      </w:r>
      <w:r w:rsidRPr="005508E6">
        <w:t xml:space="preserve">, the notifiers provided no statement or information contrary </w:t>
      </w:r>
      <w:r w:rsidR="008C3F9F">
        <w:t>to</w:t>
      </w:r>
      <w:r w:rsidRPr="005508E6">
        <w:t xml:space="preserve"> the above points. </w:t>
      </w:r>
    </w:p>
    <w:p w14:paraId="2D4809FA" w14:textId="56E16B61" w:rsidR="005508E6" w:rsidRPr="005508E6" w:rsidRDefault="005508E6" w:rsidP="005508E6">
      <w:pPr>
        <w:pStyle w:val="OutlineNumbered1"/>
        <w:numPr>
          <w:ilvl w:val="0"/>
          <w:numId w:val="12"/>
        </w:numPr>
        <w:spacing w:before="240" w:after="0" w:line="280" w:lineRule="exact"/>
        <w:jc w:val="both"/>
      </w:pPr>
      <w:r w:rsidRPr="005508E6">
        <w:lastRenderedPageBreak/>
        <w:t xml:space="preserve">The </w:t>
      </w:r>
      <w:r w:rsidR="00C8390D">
        <w:t xml:space="preserve">Independent </w:t>
      </w:r>
      <w:r w:rsidR="00B8670D">
        <w:t>Examiner</w:t>
      </w:r>
      <w:r w:rsidR="00B8670D" w:rsidRPr="005508E6">
        <w:t xml:space="preserve"> </w:t>
      </w:r>
      <w:r w:rsidRPr="005508E6">
        <w:t>is satisfied</w:t>
      </w:r>
      <w:r w:rsidR="00C91797">
        <w:t xml:space="preserve">, </w:t>
      </w:r>
      <w:proofErr w:type="gramStart"/>
      <w:r w:rsidR="00C91797">
        <w:t>on the basis of</w:t>
      </w:r>
      <w:proofErr w:type="gramEnd"/>
      <w:r w:rsidR="00C91797">
        <w:t xml:space="preserve"> the information provided by the parties,</w:t>
      </w:r>
      <w:r w:rsidRPr="005508E6">
        <w:t xml:space="preserve"> that the enterprise has implemented this recommendation.</w:t>
      </w:r>
    </w:p>
    <w:p w14:paraId="357888DC" w14:textId="1DF4F585" w:rsidR="006612FD" w:rsidRPr="0026203E" w:rsidRDefault="006612FD" w:rsidP="005508E6">
      <w:pPr>
        <w:pStyle w:val="Heading3"/>
        <w:spacing w:before="360"/>
        <w:rPr>
          <w:rFonts w:asciiTheme="minorHAnsi" w:hAnsiTheme="minorHAnsi" w:cstheme="minorHAnsi"/>
          <w:color w:val="212121"/>
          <w:sz w:val="27"/>
          <w:szCs w:val="27"/>
        </w:rPr>
      </w:pPr>
      <w:bookmarkStart w:id="37" w:name="_Toc204167776"/>
      <w:bookmarkStart w:id="38" w:name="_Toc216870709"/>
      <w:r w:rsidRPr="0026203E">
        <w:rPr>
          <w:rFonts w:asciiTheme="minorHAnsi" w:hAnsiTheme="minorHAnsi" w:cstheme="minorHAnsi"/>
          <w:color w:val="212121"/>
          <w:sz w:val="27"/>
          <w:szCs w:val="27"/>
        </w:rPr>
        <w:t xml:space="preserve">3. </w:t>
      </w:r>
      <w:r w:rsidR="00C63DF3" w:rsidRPr="0026203E">
        <w:rPr>
          <w:rFonts w:asciiTheme="minorHAnsi" w:hAnsiTheme="minorHAnsi" w:cstheme="minorHAnsi"/>
          <w:color w:val="212121"/>
          <w:sz w:val="27"/>
          <w:szCs w:val="27"/>
        </w:rPr>
        <w:t>Use of an understandable language w</w:t>
      </w:r>
      <w:r w:rsidRPr="0026203E">
        <w:rPr>
          <w:rFonts w:asciiTheme="minorHAnsi" w:hAnsiTheme="minorHAnsi" w:cstheme="minorHAnsi"/>
          <w:color w:val="212121"/>
          <w:sz w:val="27"/>
          <w:szCs w:val="27"/>
        </w:rPr>
        <w:t>here FPIC</w:t>
      </w:r>
      <w:r w:rsidR="00604171" w:rsidRPr="0026203E">
        <w:rPr>
          <w:rFonts w:asciiTheme="minorHAnsi" w:hAnsiTheme="minorHAnsi" w:cstheme="minorHAnsi"/>
          <w:color w:val="212121"/>
          <w:sz w:val="27"/>
          <w:szCs w:val="27"/>
        </w:rPr>
        <w:t xml:space="preserve"> </w:t>
      </w:r>
      <w:r w:rsidR="004D408B" w:rsidRPr="0026203E">
        <w:rPr>
          <w:rFonts w:asciiTheme="minorHAnsi" w:hAnsiTheme="minorHAnsi" w:cstheme="minorHAnsi"/>
          <w:color w:val="212121"/>
          <w:sz w:val="27"/>
          <w:szCs w:val="27"/>
        </w:rPr>
        <w:t xml:space="preserve">is </w:t>
      </w:r>
      <w:r w:rsidRPr="0026203E">
        <w:rPr>
          <w:rFonts w:asciiTheme="minorHAnsi" w:hAnsiTheme="minorHAnsi" w:cstheme="minorHAnsi"/>
          <w:color w:val="212121"/>
          <w:sz w:val="27"/>
          <w:szCs w:val="27"/>
        </w:rPr>
        <w:t>required</w:t>
      </w:r>
      <w:bookmarkEnd w:id="37"/>
      <w:bookmarkEnd w:id="38"/>
    </w:p>
    <w:p w14:paraId="62474176" w14:textId="0C95FE79" w:rsidR="005508E6" w:rsidRDefault="005508E6" w:rsidP="005508E6">
      <w:pPr>
        <w:pStyle w:val="OutlineNumbered1"/>
        <w:numPr>
          <w:ilvl w:val="0"/>
          <w:numId w:val="12"/>
        </w:numPr>
        <w:spacing w:before="240" w:after="0" w:line="280" w:lineRule="exact"/>
        <w:jc w:val="both"/>
      </w:pPr>
      <w:r>
        <w:t xml:space="preserve">The 2023 </w:t>
      </w:r>
      <w:r w:rsidR="00745A91">
        <w:t>Final S</w:t>
      </w:r>
      <w:r>
        <w:t>tatement recommended the enterprise ensure that, for any Indigenous group from which FPIC is required, that engagement occurs in a language easily understood by th</w:t>
      </w:r>
      <w:r w:rsidR="00C63DF3">
        <w:t>e</w:t>
      </w:r>
      <w:r>
        <w:t xml:space="preserve"> group </w:t>
      </w:r>
      <w:r w:rsidR="00C63DF3">
        <w:t xml:space="preserve">concerned </w:t>
      </w:r>
      <w:r>
        <w:t xml:space="preserve">(which may mean more languages than Tok Pisin or English). </w:t>
      </w:r>
    </w:p>
    <w:p w14:paraId="62A72DCC" w14:textId="5590FF77" w:rsidR="005508E6" w:rsidRDefault="005508E6" w:rsidP="005508E6">
      <w:pPr>
        <w:pStyle w:val="OutlineNumbered1"/>
        <w:numPr>
          <w:ilvl w:val="0"/>
          <w:numId w:val="12"/>
        </w:numPr>
        <w:spacing w:before="240" w:after="0" w:line="280" w:lineRule="exact"/>
        <w:jc w:val="both"/>
      </w:pPr>
      <w:r>
        <w:t xml:space="preserve">The enterprise reaffirmed the position it explained in the original examination, that it understands FPIC will be required for some communities and Indigenous persons, because of the extent of the impact of the proposed developments. The enterprise also noted its express agreement with the </w:t>
      </w:r>
      <w:proofErr w:type="spellStart"/>
      <w:r>
        <w:t>AusNCP’s</w:t>
      </w:r>
      <w:proofErr w:type="spellEnd"/>
      <w:r>
        <w:t xml:space="preserve"> observation in the 2023 </w:t>
      </w:r>
      <w:r w:rsidR="003E36FB">
        <w:t>F</w:t>
      </w:r>
      <w:r>
        <w:t xml:space="preserve">inal </w:t>
      </w:r>
      <w:r w:rsidR="003E36FB">
        <w:t>S</w:t>
      </w:r>
      <w:r>
        <w:t>tatement that ‘</w:t>
      </w:r>
      <w:r w:rsidRPr="00601994">
        <w:t>[</w:t>
      </w:r>
      <w:proofErr w:type="spellStart"/>
      <w:r w:rsidRPr="00601994">
        <w:t>i</w:t>
      </w:r>
      <w:proofErr w:type="spellEnd"/>
      <w:r w:rsidRPr="00601994">
        <w:t>]</w:t>
      </w:r>
      <w:proofErr w:type="spellStart"/>
      <w:r w:rsidRPr="00601994">
        <w:t>nformed</w:t>
      </w:r>
      <w:proofErr w:type="spellEnd"/>
      <w:r w:rsidRPr="00601994">
        <w:t xml:space="preserve"> consent requires engagement in a manner and language which the relevant community can understand</w:t>
      </w:r>
      <w:r>
        <w:t>’.</w:t>
      </w:r>
    </w:p>
    <w:p w14:paraId="7EAB1030" w14:textId="77D6BB89" w:rsidR="00FB3989" w:rsidRDefault="005508E6" w:rsidP="00FA1E95">
      <w:pPr>
        <w:pStyle w:val="OutlineNumbered1"/>
        <w:numPr>
          <w:ilvl w:val="0"/>
          <w:numId w:val="12"/>
        </w:numPr>
        <w:spacing w:before="240" w:after="0" w:line="280" w:lineRule="exact"/>
        <w:jc w:val="both"/>
      </w:pPr>
      <w:r>
        <w:t>The enterprise explain</w:t>
      </w:r>
      <w:r w:rsidR="00FB3989">
        <w:t xml:space="preserve">ed </w:t>
      </w:r>
      <w:r w:rsidR="00DC36F7">
        <w:t>that</w:t>
      </w:r>
      <w:r w:rsidR="00FB3989">
        <w:t xml:space="preserve"> since the 2023 Final Statement, </w:t>
      </w:r>
      <w:r w:rsidR="00DC36F7">
        <w:t>it has</w:t>
      </w:r>
      <w:r w:rsidR="00356BF4">
        <w:t xml:space="preserve"> </w:t>
      </w:r>
      <w:r w:rsidR="00FB3989">
        <w:t>revised the language protocol in its Stakeho</w:t>
      </w:r>
      <w:r w:rsidR="00FB3989" w:rsidRPr="001060E1">
        <w:t xml:space="preserve">lder Engagement Plan, and </w:t>
      </w:r>
      <w:r w:rsidR="00356BF4">
        <w:t xml:space="preserve">has </w:t>
      </w:r>
      <w:r w:rsidR="00FB3989" w:rsidRPr="001060E1">
        <w:t>provided some extracts (emphasis from the original):</w:t>
      </w:r>
    </w:p>
    <w:p w14:paraId="03990923" w14:textId="77777777" w:rsidR="00FB3989" w:rsidRPr="00FB3989" w:rsidRDefault="00FB3989" w:rsidP="00DC36F7">
      <w:pPr>
        <w:pStyle w:val="OutlineNumbered1"/>
        <w:numPr>
          <w:ilvl w:val="0"/>
          <w:numId w:val="0"/>
        </w:numPr>
        <w:spacing w:before="120" w:after="0" w:line="280" w:lineRule="exact"/>
        <w:ind w:left="851"/>
        <w:rPr>
          <w:i/>
          <w:iCs/>
        </w:rPr>
      </w:pPr>
      <w:r w:rsidRPr="00FB3989">
        <w:rPr>
          <w:i/>
          <w:iCs/>
        </w:rPr>
        <w:t>The design and implementation of stakeholder engagement activities under this Engagement Plan must be undertaken in a way that is consistent with the following cultural and language protocols.</w:t>
      </w:r>
    </w:p>
    <w:p w14:paraId="21003565" w14:textId="77777777" w:rsidR="00FB3989" w:rsidRPr="00FB3989" w:rsidRDefault="00FB3989" w:rsidP="00FB3989">
      <w:pPr>
        <w:pStyle w:val="OutlineNumbered1"/>
        <w:numPr>
          <w:ilvl w:val="0"/>
          <w:numId w:val="0"/>
        </w:numPr>
        <w:spacing w:before="120" w:after="0" w:line="280" w:lineRule="exact"/>
        <w:ind w:left="1134"/>
        <w:rPr>
          <w:i/>
          <w:iCs/>
        </w:rPr>
      </w:pPr>
      <w:r w:rsidRPr="00FB3989">
        <w:rPr>
          <w:b/>
          <w:bCs/>
          <w:i/>
          <w:iCs/>
        </w:rPr>
        <w:t>Language</w:t>
      </w:r>
      <w:r w:rsidRPr="00FB3989">
        <w:rPr>
          <w:i/>
          <w:iCs/>
        </w:rPr>
        <w:t xml:space="preserve"> – </w:t>
      </w:r>
      <w:r w:rsidRPr="00FB3989">
        <w:rPr>
          <w:i/>
          <w:iCs/>
          <w:u w:val="single"/>
        </w:rPr>
        <w:t>Engagement activities must be planned and undertaken taking into consideration the language of the stakeholders</w:t>
      </w:r>
      <w:r w:rsidRPr="00FB3989">
        <w:rPr>
          <w:i/>
          <w:iCs/>
        </w:rPr>
        <w:t>.</w:t>
      </w:r>
    </w:p>
    <w:p w14:paraId="200D2794" w14:textId="77777777" w:rsidR="00FB3989" w:rsidRPr="00FB3989" w:rsidRDefault="00FB3989" w:rsidP="00FB3989">
      <w:pPr>
        <w:pStyle w:val="OutlineNumbered1"/>
        <w:numPr>
          <w:ilvl w:val="0"/>
          <w:numId w:val="0"/>
        </w:numPr>
        <w:spacing w:before="120" w:after="0" w:line="280" w:lineRule="exact"/>
        <w:ind w:left="1134"/>
        <w:rPr>
          <w:i/>
          <w:iCs/>
        </w:rPr>
      </w:pPr>
      <w:proofErr w:type="gramStart"/>
      <w:r w:rsidRPr="00FB3989">
        <w:rPr>
          <w:i/>
          <w:iCs/>
        </w:rPr>
        <w:t>The majority of</w:t>
      </w:r>
      <w:proofErr w:type="gramEnd"/>
      <w:r w:rsidRPr="00FB3989">
        <w:rPr>
          <w:i/>
          <w:iCs/>
        </w:rPr>
        <w:t xml:space="preserve"> villages related to the Project can speak or understand the national language of Tok Pisin. English speakers are however few and often reside with a small number of community leaders.</w:t>
      </w:r>
    </w:p>
    <w:p w14:paraId="62A7752D" w14:textId="03BD8247" w:rsidR="005508E6" w:rsidRPr="00FB3989" w:rsidRDefault="00FB3989" w:rsidP="00DC36F7">
      <w:pPr>
        <w:pStyle w:val="OutlineNumbered1"/>
        <w:numPr>
          <w:ilvl w:val="0"/>
          <w:numId w:val="0"/>
        </w:numPr>
        <w:spacing w:before="120" w:after="0" w:line="280" w:lineRule="exact"/>
        <w:ind w:left="851"/>
        <w:rPr>
          <w:i/>
          <w:iCs/>
        </w:rPr>
      </w:pPr>
      <w:r w:rsidRPr="00FB3989">
        <w:rPr>
          <w:i/>
          <w:iCs/>
        </w:rPr>
        <w:t xml:space="preserve">Where English or Tok Pisin are not understood in a village </w:t>
      </w:r>
      <w:r w:rsidRPr="00FB3989">
        <w:rPr>
          <w:i/>
          <w:iCs/>
          <w:u w:val="single"/>
        </w:rPr>
        <w:t>and</w:t>
      </w:r>
      <w:r w:rsidRPr="00FB3989">
        <w:rPr>
          <w:i/>
          <w:iCs/>
        </w:rPr>
        <w:t xml:space="preserve"> FPIC is required from that community, materials provided to stakeholders in that village should be written in the local language and oral translations provided at the village. The oral translations should be provided by a certified interpreter approved by the stakeholders. Where a certified translator is not available, </w:t>
      </w:r>
      <w:proofErr w:type="spellStart"/>
      <w:r w:rsidRPr="00FB3989">
        <w:rPr>
          <w:i/>
          <w:iCs/>
        </w:rPr>
        <w:t>PanAust</w:t>
      </w:r>
      <w:proofErr w:type="spellEnd"/>
      <w:r w:rsidRPr="00FB3989">
        <w:rPr>
          <w:i/>
          <w:iCs/>
        </w:rPr>
        <w:t xml:space="preserve">/FRL </w:t>
      </w:r>
      <w:r w:rsidR="00917E1B" w:rsidRPr="005E375E">
        <w:t>[</w:t>
      </w:r>
      <w:r w:rsidR="00917E1B" w:rsidRPr="005E375E">
        <w:rPr>
          <w:b/>
          <w:bCs/>
        </w:rPr>
        <w:t>FRL</w:t>
      </w:r>
      <w:r w:rsidR="00917E1B" w:rsidRPr="005E375E">
        <w:t xml:space="preserve"> is the</w:t>
      </w:r>
      <w:r w:rsidR="00917E1B" w:rsidRPr="00A17CBF">
        <w:t xml:space="preserve"> subsidiary company of </w:t>
      </w:r>
      <w:proofErr w:type="spellStart"/>
      <w:r w:rsidR="00917E1B" w:rsidRPr="00A17CBF">
        <w:t>PanAust</w:t>
      </w:r>
      <w:proofErr w:type="spellEnd"/>
      <w:r w:rsidR="00917E1B" w:rsidRPr="00A17CBF">
        <w:t>]</w:t>
      </w:r>
      <w:r w:rsidR="00917E1B">
        <w:rPr>
          <w:i/>
          <w:iCs/>
        </w:rPr>
        <w:t xml:space="preserve"> </w:t>
      </w:r>
      <w:r w:rsidRPr="00FB3989">
        <w:rPr>
          <w:i/>
          <w:iCs/>
        </w:rPr>
        <w:t>should document the steps it has taken to engage a certified interpreter, why an interpreter cannot be obtained and how translation services were provided to the village, including whether the interpreter was approved by the stakeholders.</w:t>
      </w:r>
    </w:p>
    <w:p w14:paraId="5A374696" w14:textId="789C0F65" w:rsidR="00FB3989" w:rsidRPr="005508E6" w:rsidRDefault="00FB3989" w:rsidP="00442826">
      <w:pPr>
        <w:pStyle w:val="OutlineNumbered1"/>
        <w:numPr>
          <w:ilvl w:val="0"/>
          <w:numId w:val="12"/>
        </w:numPr>
        <w:spacing w:before="240" w:after="0" w:line="280" w:lineRule="exact"/>
        <w:jc w:val="both"/>
      </w:pPr>
      <w:r w:rsidRPr="005508E6">
        <w:t xml:space="preserve">In their submissions for the </w:t>
      </w:r>
      <w:r w:rsidR="140A6495">
        <w:t xml:space="preserve">Follow Up </w:t>
      </w:r>
      <w:r w:rsidR="00C63DF3">
        <w:t>p</w:t>
      </w:r>
      <w:r w:rsidR="140A6495">
        <w:t>rocess</w:t>
      </w:r>
      <w:r w:rsidRPr="005508E6">
        <w:t xml:space="preserve">, the notifiers provided no statement or information contrary </w:t>
      </w:r>
      <w:r w:rsidR="008C3F9F">
        <w:t>to</w:t>
      </w:r>
      <w:r w:rsidRPr="005508E6">
        <w:t xml:space="preserve"> the above points. </w:t>
      </w:r>
    </w:p>
    <w:p w14:paraId="159BC721" w14:textId="6114D6D2" w:rsidR="00FB3989" w:rsidRPr="005508E6" w:rsidRDefault="00FB3989" w:rsidP="00FB3989">
      <w:pPr>
        <w:pStyle w:val="OutlineNumbered1"/>
        <w:numPr>
          <w:ilvl w:val="0"/>
          <w:numId w:val="12"/>
        </w:numPr>
        <w:spacing w:before="240" w:after="0" w:line="280" w:lineRule="exact"/>
        <w:jc w:val="both"/>
      </w:pPr>
      <w:r w:rsidRPr="005508E6">
        <w:t xml:space="preserve">The </w:t>
      </w:r>
      <w:r w:rsidR="00C8390D">
        <w:t xml:space="preserve">Independent </w:t>
      </w:r>
      <w:r w:rsidR="00EC7845">
        <w:t>Examiner</w:t>
      </w:r>
      <w:r w:rsidR="00EC7845" w:rsidRPr="005508E6">
        <w:t xml:space="preserve"> </w:t>
      </w:r>
      <w:r w:rsidRPr="005508E6">
        <w:t>is satisfied</w:t>
      </w:r>
      <w:r w:rsidR="00C91797">
        <w:t xml:space="preserve">, </w:t>
      </w:r>
      <w:proofErr w:type="gramStart"/>
      <w:r w:rsidR="00C91797">
        <w:t>on the basis of</w:t>
      </w:r>
      <w:proofErr w:type="gramEnd"/>
      <w:r w:rsidR="00C91797">
        <w:t xml:space="preserve"> the information provided by the parties,</w:t>
      </w:r>
      <w:r w:rsidRPr="005508E6">
        <w:t xml:space="preserve"> that the enterprise has implemented this recommendation.</w:t>
      </w:r>
    </w:p>
    <w:p w14:paraId="6981FB2C" w14:textId="786C2B38" w:rsidR="006612FD" w:rsidRPr="00472593" w:rsidRDefault="006612FD" w:rsidP="00DB06B4">
      <w:pPr>
        <w:pStyle w:val="Heading3"/>
        <w:spacing w:before="360"/>
        <w:rPr>
          <w:rFonts w:asciiTheme="minorHAnsi" w:hAnsiTheme="minorHAnsi" w:cstheme="minorHAnsi"/>
          <w:color w:val="212121"/>
          <w:sz w:val="27"/>
          <w:szCs w:val="27"/>
        </w:rPr>
      </w:pPr>
      <w:bookmarkStart w:id="39" w:name="_Toc204167777"/>
      <w:bookmarkStart w:id="40" w:name="_Toc216870710"/>
      <w:r w:rsidRPr="00472593">
        <w:rPr>
          <w:rFonts w:asciiTheme="minorHAnsi" w:hAnsiTheme="minorHAnsi" w:cstheme="minorHAnsi"/>
          <w:color w:val="212121"/>
          <w:sz w:val="27"/>
          <w:szCs w:val="27"/>
        </w:rPr>
        <w:t>4. Ensure enterprise procedures regarding FPIC</w:t>
      </w:r>
      <w:r w:rsidR="003F11C9" w:rsidRPr="00472593">
        <w:rPr>
          <w:rFonts w:asciiTheme="minorHAnsi" w:hAnsiTheme="minorHAnsi" w:cstheme="minorHAnsi"/>
          <w:color w:val="212121"/>
          <w:sz w:val="27"/>
          <w:szCs w:val="27"/>
        </w:rPr>
        <w:t xml:space="preserve"> are</w:t>
      </w:r>
      <w:r w:rsidRPr="00472593">
        <w:rPr>
          <w:rFonts w:asciiTheme="minorHAnsi" w:hAnsiTheme="minorHAnsi" w:cstheme="minorHAnsi"/>
          <w:color w:val="212121"/>
          <w:sz w:val="27"/>
          <w:szCs w:val="27"/>
        </w:rPr>
        <w:t xml:space="preserve"> consistent with international standards</w:t>
      </w:r>
      <w:bookmarkEnd w:id="39"/>
      <w:bookmarkEnd w:id="40"/>
    </w:p>
    <w:p w14:paraId="5DC3C374" w14:textId="46B61FCF" w:rsidR="00FB3989" w:rsidRDefault="31947602" w:rsidP="00442826">
      <w:pPr>
        <w:pStyle w:val="OutlineNumbered1"/>
        <w:numPr>
          <w:ilvl w:val="0"/>
          <w:numId w:val="12"/>
        </w:numPr>
        <w:spacing w:before="240" w:after="0" w:line="280" w:lineRule="exact"/>
        <w:jc w:val="both"/>
      </w:pPr>
      <w:r>
        <w:t xml:space="preserve">The 2023 </w:t>
      </w:r>
      <w:r w:rsidR="00BC8301">
        <w:t>Final</w:t>
      </w:r>
      <w:r w:rsidR="00DA0234">
        <w:t xml:space="preserve"> </w:t>
      </w:r>
      <w:r w:rsidR="6651A32E">
        <w:t>S</w:t>
      </w:r>
      <w:r>
        <w:t xml:space="preserve">tatement recommended the enterprise </w:t>
      </w:r>
      <w:r w:rsidR="002F5FE2">
        <w:t>review</w:t>
      </w:r>
      <w:r w:rsidR="0019139A">
        <w:t xml:space="preserve"> its internal company procedures</w:t>
      </w:r>
      <w:r w:rsidR="00213DC5">
        <w:t>,</w:t>
      </w:r>
      <w:r>
        <w:t xml:space="preserve"> which suggested that compensation can be a mitigation instead of obtaining a group’s FPIC where that would otherwise be required.</w:t>
      </w:r>
    </w:p>
    <w:p w14:paraId="59BEB43C" w14:textId="5F837766" w:rsidR="00FB3989" w:rsidRDefault="00FB3989" w:rsidP="00FB3989">
      <w:pPr>
        <w:pStyle w:val="OutlineNumbered1"/>
        <w:numPr>
          <w:ilvl w:val="0"/>
          <w:numId w:val="12"/>
        </w:numPr>
        <w:spacing w:before="240" w:after="0" w:line="280" w:lineRule="exact"/>
        <w:jc w:val="both"/>
      </w:pPr>
      <w:r>
        <w:lastRenderedPageBreak/>
        <w:t>The enterprise’s submissions explained the following in relation</w:t>
      </w:r>
      <w:r w:rsidR="0019139A">
        <w:t xml:space="preserve"> </w:t>
      </w:r>
      <w:r>
        <w:t>to this issue:</w:t>
      </w:r>
    </w:p>
    <w:p w14:paraId="1423E3F3" w14:textId="77777777" w:rsidR="00A103B4" w:rsidRPr="00A103B4" w:rsidRDefault="00A103B4" w:rsidP="00DC36F7">
      <w:pPr>
        <w:pStyle w:val="OutlineNumbered1"/>
        <w:numPr>
          <w:ilvl w:val="0"/>
          <w:numId w:val="0"/>
        </w:numPr>
        <w:spacing w:before="120" w:after="0" w:line="280" w:lineRule="exact"/>
        <w:ind w:left="851"/>
        <w:rPr>
          <w:i/>
          <w:iCs/>
        </w:rPr>
      </w:pPr>
      <w:proofErr w:type="spellStart"/>
      <w:r w:rsidRPr="00A103B4">
        <w:rPr>
          <w:i/>
          <w:iCs/>
        </w:rPr>
        <w:t>PanAust</w:t>
      </w:r>
      <w:proofErr w:type="spellEnd"/>
      <w:r w:rsidRPr="00A103B4">
        <w:rPr>
          <w:i/>
          <w:iCs/>
        </w:rPr>
        <w:t xml:space="preserve"> has revised its internal guidance and training on FPIC to remove any reference to compensation being an alternative to FPIC. This includes, for example, amendment of </w:t>
      </w:r>
      <w:proofErr w:type="spellStart"/>
      <w:r w:rsidRPr="00A103B4">
        <w:rPr>
          <w:i/>
          <w:iCs/>
        </w:rPr>
        <w:t>PanAust’s</w:t>
      </w:r>
      <w:proofErr w:type="spellEnd"/>
      <w:r w:rsidRPr="00A103B4">
        <w:rPr>
          <w:i/>
          <w:iCs/>
        </w:rPr>
        <w:t xml:space="preserve"> Stakeholder Engagement Plan.</w:t>
      </w:r>
    </w:p>
    <w:p w14:paraId="3FECA4F0" w14:textId="24BDD5CA" w:rsidR="00A103B4" w:rsidRPr="00A103B4" w:rsidRDefault="00A103B4" w:rsidP="00DC36F7">
      <w:pPr>
        <w:pStyle w:val="OutlineNumbered1"/>
        <w:numPr>
          <w:ilvl w:val="0"/>
          <w:numId w:val="0"/>
        </w:numPr>
        <w:spacing w:before="120" w:after="0" w:line="280" w:lineRule="exact"/>
        <w:ind w:left="851"/>
        <w:rPr>
          <w:i/>
          <w:iCs/>
        </w:rPr>
      </w:pPr>
      <w:proofErr w:type="spellStart"/>
      <w:r w:rsidRPr="00A103B4">
        <w:rPr>
          <w:i/>
          <w:iCs/>
        </w:rPr>
        <w:t>PanAust</w:t>
      </w:r>
      <w:proofErr w:type="spellEnd"/>
      <w:r w:rsidRPr="00A103B4">
        <w:rPr>
          <w:i/>
          <w:iCs/>
        </w:rPr>
        <w:t xml:space="preserve"> has also communicated its view that compensation is not an appropriate mitigant for FPIC to the Government of Papua New Guinea in discussions regarding stakeholder engagement and the Project more broadly.</w:t>
      </w:r>
    </w:p>
    <w:p w14:paraId="0417BFC2" w14:textId="2490435F" w:rsidR="00A103B4" w:rsidRDefault="00A103B4" w:rsidP="00FA1E95">
      <w:pPr>
        <w:pStyle w:val="OutlineNumbered1"/>
        <w:numPr>
          <w:ilvl w:val="0"/>
          <w:numId w:val="12"/>
        </w:numPr>
        <w:spacing w:before="240" w:after="0" w:line="280" w:lineRule="exact"/>
        <w:jc w:val="both"/>
      </w:pPr>
      <w:r>
        <w:t xml:space="preserve">It does not appear that </w:t>
      </w:r>
      <w:proofErr w:type="spellStart"/>
      <w:r w:rsidRPr="00A103B4">
        <w:t>PanAust’s</w:t>
      </w:r>
      <w:proofErr w:type="spellEnd"/>
      <w:r w:rsidRPr="00A103B4">
        <w:t xml:space="preserve"> Stakeholder Engagement </w:t>
      </w:r>
      <w:r>
        <w:t xml:space="preserve">Plan is publicly available, but </w:t>
      </w:r>
      <w:r w:rsidR="00DC36F7">
        <w:t>the OECD</w:t>
      </w:r>
      <w:r w:rsidR="00C6621C">
        <w:t> </w:t>
      </w:r>
      <w:r w:rsidR="00DC36F7">
        <w:t xml:space="preserve">Guidelines do not require that </w:t>
      </w:r>
      <w:r w:rsidR="008C3F9F">
        <w:t xml:space="preserve">of </w:t>
      </w:r>
      <w:r>
        <w:t>all company procedures and internal guidance. The</w:t>
      </w:r>
      <w:r w:rsidR="0069077C">
        <w:t xml:space="preserve"> </w:t>
      </w:r>
      <w:r w:rsidR="00C8390D">
        <w:t xml:space="preserve">Independent </w:t>
      </w:r>
      <w:r>
        <w:t xml:space="preserve">Examiner is proceeding on the accuracy of the statements </w:t>
      </w:r>
      <w:r w:rsidR="001B042E">
        <w:t>that</w:t>
      </w:r>
      <w:r>
        <w:t xml:space="preserve"> the enterprise </w:t>
      </w:r>
      <w:r w:rsidR="001B042E">
        <w:t>has</w:t>
      </w:r>
      <w:r>
        <w:t xml:space="preserve"> made in its submissions</w:t>
      </w:r>
      <w:r w:rsidR="00DC36F7">
        <w:t xml:space="preserve"> </w:t>
      </w:r>
      <w:r w:rsidR="001B042E">
        <w:t>(</w:t>
      </w:r>
      <w:r w:rsidR="00DC36F7">
        <w:t>which are extracted here</w:t>
      </w:r>
      <w:r w:rsidR="001B042E">
        <w:t>)</w:t>
      </w:r>
      <w:r w:rsidR="00DC36F7">
        <w:t>,</w:t>
      </w:r>
      <w:r>
        <w:t xml:space="preserve"> and that the enterprise will ensure the project proceeds accordingly. This paragraph serves</w:t>
      </w:r>
      <w:r w:rsidRPr="00A103B4">
        <w:t xml:space="preserve"> </w:t>
      </w:r>
      <w:r>
        <w:t>to document that.</w:t>
      </w:r>
    </w:p>
    <w:p w14:paraId="75B3C92A" w14:textId="2AB68D8D" w:rsidR="00A103B4" w:rsidRPr="005508E6" w:rsidRDefault="00A103B4" w:rsidP="00A103B4">
      <w:pPr>
        <w:pStyle w:val="OutlineNumbered1"/>
        <w:numPr>
          <w:ilvl w:val="0"/>
          <w:numId w:val="12"/>
        </w:numPr>
        <w:spacing w:before="240" w:after="0" w:line="280" w:lineRule="exact"/>
        <w:jc w:val="both"/>
      </w:pPr>
      <w:proofErr w:type="gramStart"/>
      <w:r>
        <w:t>In light of</w:t>
      </w:r>
      <w:proofErr w:type="gramEnd"/>
      <w:r>
        <w:t xml:space="preserve"> the above, t</w:t>
      </w:r>
      <w:r w:rsidRPr="005508E6">
        <w:t xml:space="preserve">he </w:t>
      </w:r>
      <w:r w:rsidR="00C8390D">
        <w:t xml:space="preserve">Independent </w:t>
      </w:r>
      <w:r w:rsidR="00EC7845">
        <w:t>Examiner</w:t>
      </w:r>
      <w:r w:rsidR="00EC7845" w:rsidRPr="005508E6">
        <w:t xml:space="preserve"> </w:t>
      </w:r>
      <w:r w:rsidRPr="005508E6">
        <w:t>is satisfied that the enterprise has implemented this recommendation.</w:t>
      </w:r>
    </w:p>
    <w:p w14:paraId="158C420E" w14:textId="0BA61C6F" w:rsidR="006612FD" w:rsidRPr="00472593" w:rsidRDefault="006612FD" w:rsidP="005508E6">
      <w:pPr>
        <w:pStyle w:val="Heading3"/>
        <w:spacing w:before="360"/>
        <w:rPr>
          <w:rFonts w:asciiTheme="minorHAnsi" w:hAnsiTheme="minorHAnsi" w:cstheme="minorHAnsi"/>
          <w:color w:val="212121"/>
          <w:sz w:val="27"/>
          <w:szCs w:val="27"/>
        </w:rPr>
      </w:pPr>
      <w:bookmarkStart w:id="41" w:name="_Toc204167778"/>
      <w:bookmarkStart w:id="42" w:name="_Toc216870711"/>
      <w:r w:rsidRPr="00472593">
        <w:rPr>
          <w:rFonts w:asciiTheme="minorHAnsi" w:hAnsiTheme="minorHAnsi" w:cstheme="minorHAnsi"/>
          <w:color w:val="212121"/>
          <w:sz w:val="27"/>
          <w:szCs w:val="27"/>
        </w:rPr>
        <w:t>5.</w:t>
      </w:r>
      <w:r w:rsidR="00B973CD" w:rsidRPr="00472593">
        <w:rPr>
          <w:rFonts w:asciiTheme="minorHAnsi" w:hAnsiTheme="minorHAnsi" w:cstheme="minorHAnsi"/>
          <w:color w:val="212121"/>
          <w:sz w:val="27"/>
          <w:szCs w:val="27"/>
        </w:rPr>
        <w:t>1</w:t>
      </w:r>
      <w:r w:rsidRPr="00472593">
        <w:rPr>
          <w:rFonts w:asciiTheme="minorHAnsi" w:hAnsiTheme="minorHAnsi" w:cstheme="minorHAnsi"/>
          <w:color w:val="212121"/>
          <w:sz w:val="27"/>
          <w:szCs w:val="27"/>
        </w:rPr>
        <w:t xml:space="preserve"> Enterprise’s stakeholder engage</w:t>
      </w:r>
      <w:r w:rsidR="00782334" w:rsidRPr="00472593">
        <w:rPr>
          <w:rFonts w:asciiTheme="minorHAnsi" w:hAnsiTheme="minorHAnsi" w:cstheme="minorHAnsi"/>
          <w:color w:val="212121"/>
          <w:sz w:val="27"/>
          <w:szCs w:val="27"/>
        </w:rPr>
        <w:t>ment</w:t>
      </w:r>
      <w:r w:rsidRPr="00472593">
        <w:rPr>
          <w:rFonts w:asciiTheme="minorHAnsi" w:hAnsiTheme="minorHAnsi" w:cstheme="minorHAnsi"/>
          <w:color w:val="212121"/>
          <w:sz w:val="27"/>
          <w:szCs w:val="27"/>
        </w:rPr>
        <w:t xml:space="preserve"> </w:t>
      </w:r>
      <w:r w:rsidR="00212A1B" w:rsidRPr="00472593">
        <w:rPr>
          <w:rFonts w:asciiTheme="minorHAnsi" w:hAnsiTheme="minorHAnsi" w:cstheme="minorHAnsi"/>
          <w:color w:val="212121"/>
          <w:sz w:val="27"/>
          <w:szCs w:val="27"/>
        </w:rPr>
        <w:t xml:space="preserve">to </w:t>
      </w:r>
      <w:r w:rsidR="00BB51DE" w:rsidRPr="00472593">
        <w:rPr>
          <w:rFonts w:asciiTheme="minorHAnsi" w:hAnsiTheme="minorHAnsi" w:cstheme="minorHAnsi"/>
          <w:color w:val="212121"/>
          <w:sz w:val="27"/>
          <w:szCs w:val="27"/>
        </w:rPr>
        <w:t xml:space="preserve">include notifiers and Haus </w:t>
      </w:r>
      <w:proofErr w:type="spellStart"/>
      <w:r w:rsidR="00BB51DE" w:rsidRPr="00472593">
        <w:rPr>
          <w:rFonts w:asciiTheme="minorHAnsi" w:hAnsiTheme="minorHAnsi" w:cstheme="minorHAnsi"/>
          <w:color w:val="212121"/>
          <w:sz w:val="27"/>
          <w:szCs w:val="27"/>
        </w:rPr>
        <w:t>Tambaran</w:t>
      </w:r>
      <w:bookmarkEnd w:id="41"/>
      <w:bookmarkEnd w:id="42"/>
      <w:proofErr w:type="spellEnd"/>
    </w:p>
    <w:p w14:paraId="71717F0D" w14:textId="42CC3594" w:rsidR="006612FD" w:rsidRPr="005508E6" w:rsidRDefault="00A103B4" w:rsidP="00442826">
      <w:pPr>
        <w:pStyle w:val="OutlineNumbered1"/>
        <w:numPr>
          <w:ilvl w:val="0"/>
          <w:numId w:val="12"/>
        </w:numPr>
        <w:spacing w:before="240" w:after="0" w:line="280" w:lineRule="exact"/>
        <w:jc w:val="both"/>
      </w:pPr>
      <w:bookmarkStart w:id="43" w:name="_Ref204172891"/>
      <w:r>
        <w:t>The 2023 Final Statement recommended the enterprise</w:t>
      </w:r>
      <w:r w:rsidR="74A04F00">
        <w:t>’s</w:t>
      </w:r>
      <w:r w:rsidR="006612FD">
        <w:t xml:space="preserve"> future stakeholder engagement should: (a) include the notifiers</w:t>
      </w:r>
      <w:r w:rsidR="0053278B">
        <w:t xml:space="preserve">, </w:t>
      </w:r>
      <w:r w:rsidR="006612FD">
        <w:t xml:space="preserve">(b) consider the views from the Haus </w:t>
      </w:r>
      <w:proofErr w:type="spellStart"/>
      <w:r w:rsidR="006612FD">
        <w:t>Tambaran</w:t>
      </w:r>
      <w:proofErr w:type="spellEnd"/>
      <w:r w:rsidR="006612FD">
        <w:t xml:space="preserve"> </w:t>
      </w:r>
      <w:r w:rsidR="00C00867">
        <w:t xml:space="preserve">that </w:t>
      </w:r>
      <w:r w:rsidR="006612FD">
        <w:t>the notifiers work with</w:t>
      </w:r>
      <w:bookmarkEnd w:id="43"/>
      <w:r w:rsidR="0053278B">
        <w:t>,</w:t>
      </w:r>
      <w:r w:rsidR="008E72AF">
        <w:t xml:space="preserve"> (c) </w:t>
      </w:r>
      <w:r w:rsidR="000037B1">
        <w:t xml:space="preserve">disseminate the </w:t>
      </w:r>
      <w:r w:rsidR="002B74E6">
        <w:t xml:space="preserve">2018 dam break </w:t>
      </w:r>
      <w:r w:rsidR="000D6D08">
        <w:t>analysis</w:t>
      </w:r>
      <w:r w:rsidR="00E92AE6">
        <w:t>, and (d)</w:t>
      </w:r>
      <w:r w:rsidR="008E4C1A">
        <w:t xml:space="preserve"> address the full </w:t>
      </w:r>
      <w:r w:rsidR="00BC7748">
        <w:t xml:space="preserve">lifetime of the dam </w:t>
      </w:r>
      <w:r w:rsidR="00965FA0">
        <w:t xml:space="preserve">and any facilities </w:t>
      </w:r>
      <w:r w:rsidR="00C95AD5">
        <w:t xml:space="preserve">which are expected to continue </w:t>
      </w:r>
      <w:r w:rsidR="00EE3CF5">
        <w:t>even after the enterprise</w:t>
      </w:r>
      <w:r w:rsidR="005443BE">
        <w:t>’s</w:t>
      </w:r>
      <w:r w:rsidR="00EE3CF5">
        <w:t xml:space="preserve"> </w:t>
      </w:r>
      <w:r w:rsidR="009B6B0D">
        <w:t>mine has finished.</w:t>
      </w:r>
    </w:p>
    <w:p w14:paraId="4B6DC42D" w14:textId="3E43A34F" w:rsidR="00D6276B" w:rsidRDefault="005508E6" w:rsidP="00D6276B">
      <w:pPr>
        <w:pStyle w:val="OutlineNumbered1"/>
        <w:numPr>
          <w:ilvl w:val="0"/>
          <w:numId w:val="12"/>
        </w:numPr>
        <w:spacing w:before="240" w:after="0" w:line="280" w:lineRule="exact"/>
        <w:jc w:val="both"/>
      </w:pPr>
      <w:r>
        <w:t xml:space="preserve">As noted </w:t>
      </w:r>
      <w:r w:rsidRPr="002E6D6C">
        <w:t xml:space="preserve">above (see </w:t>
      </w:r>
      <w:r w:rsidRPr="003E0A08">
        <w:t xml:space="preserve">paragraph </w:t>
      </w:r>
      <w:r w:rsidRPr="003E0A08">
        <w:fldChar w:fldCharType="begin"/>
      </w:r>
      <w:r w:rsidRPr="003E0A08">
        <w:instrText xml:space="preserve"> REF _Ref202959260 \r \h  \* MERGEFORMAT </w:instrText>
      </w:r>
      <w:r w:rsidRPr="003E0A08">
        <w:fldChar w:fldCharType="separate"/>
      </w:r>
      <w:r w:rsidR="003D5B39">
        <w:t>17</w:t>
      </w:r>
      <w:r w:rsidRPr="003E0A08">
        <w:fldChar w:fldCharType="end"/>
      </w:r>
      <w:r w:rsidRPr="003E0A08">
        <w:t>),</w:t>
      </w:r>
      <w:r w:rsidRPr="002E6D6C">
        <w:t xml:space="preserve"> the enterprise</w:t>
      </w:r>
      <w:r>
        <w:t xml:space="preserve"> revised its stakeholder engagement after the</w:t>
      </w:r>
      <w:r w:rsidR="4B688906">
        <w:t xml:space="preserve"> </w:t>
      </w:r>
      <w:r w:rsidR="29DCA2DE">
        <w:t xml:space="preserve">2023 </w:t>
      </w:r>
      <w:r>
        <w:t>Final Statement</w:t>
      </w:r>
      <w:r w:rsidR="007618D7">
        <w:t>,</w:t>
      </w:r>
      <w:r>
        <w:t xml:space="preserve"> and</w:t>
      </w:r>
      <w:r w:rsidR="7F3EDD6D">
        <w:t xml:space="preserve"> relevantly</w:t>
      </w:r>
      <w:r>
        <w:t xml:space="preserve"> explained this included:</w:t>
      </w:r>
    </w:p>
    <w:p w14:paraId="4D0BC8AA" w14:textId="6A656CE8" w:rsidR="00D6276B" w:rsidRDefault="005508E6" w:rsidP="00D6276B">
      <w:pPr>
        <w:pStyle w:val="OutlineNumbered1"/>
        <w:numPr>
          <w:ilvl w:val="1"/>
          <w:numId w:val="12"/>
        </w:numPr>
        <w:spacing w:before="240" w:after="0" w:line="280" w:lineRule="exact"/>
        <w:jc w:val="both"/>
      </w:pPr>
      <w:r w:rsidRPr="005508E6">
        <w:t xml:space="preserve">identifying each </w:t>
      </w:r>
      <w:r w:rsidR="0058335B">
        <w:t>n</w:t>
      </w:r>
      <w:r w:rsidRPr="005508E6">
        <w:t>otifier as a key stakeholder</w:t>
      </w:r>
    </w:p>
    <w:p w14:paraId="581E0530" w14:textId="25E76330" w:rsidR="00D6276B" w:rsidRDefault="005508E6" w:rsidP="00D6276B">
      <w:pPr>
        <w:pStyle w:val="OutlineNumbered1"/>
        <w:numPr>
          <w:ilvl w:val="1"/>
          <w:numId w:val="12"/>
        </w:numPr>
        <w:spacing w:before="240" w:after="0" w:line="280" w:lineRule="exact"/>
        <w:jc w:val="both"/>
      </w:pPr>
      <w:r w:rsidRPr="005508E6">
        <w:t>investigating and responding to concerns raised by the notifiers, and responding in October</w:t>
      </w:r>
      <w:r w:rsidR="002304A5">
        <w:t> </w:t>
      </w:r>
      <w:r w:rsidRPr="005508E6">
        <w:t xml:space="preserve">2024 in which it ‘provided detailed information on its engagement with Sepik River communities …[and] offered to meet with the Haus </w:t>
      </w:r>
      <w:proofErr w:type="spellStart"/>
      <w:r w:rsidRPr="005508E6">
        <w:t>Tamabaran</w:t>
      </w:r>
      <w:proofErr w:type="spellEnd"/>
      <w:r w:rsidRPr="005508E6">
        <w:t xml:space="preserve">, which the </w:t>
      </w:r>
      <w:r w:rsidR="00DA4123">
        <w:t>n</w:t>
      </w:r>
      <w:r w:rsidRPr="005508E6">
        <w:t>otifiers claim to represent, to discuss any concerns regarding the Frieda River Project’</w:t>
      </w:r>
    </w:p>
    <w:p w14:paraId="64E0EEB0" w14:textId="0CA63744" w:rsidR="00B262D6" w:rsidRDefault="00ED313A" w:rsidP="00B262D6">
      <w:pPr>
        <w:pStyle w:val="OutlineNumbered1"/>
        <w:numPr>
          <w:ilvl w:val="1"/>
          <w:numId w:val="12"/>
        </w:numPr>
        <w:spacing w:before="240" w:after="0" w:line="280" w:lineRule="exact"/>
        <w:jc w:val="both"/>
      </w:pPr>
      <w:r>
        <w:t>offering</w:t>
      </w:r>
      <w:r w:rsidR="005508E6" w:rsidRPr="005508E6">
        <w:t xml:space="preserve"> to ‘meet with the </w:t>
      </w:r>
      <w:r w:rsidR="0058335B">
        <w:t>n</w:t>
      </w:r>
      <w:r w:rsidR="005508E6" w:rsidRPr="005508E6">
        <w:t>otifiers directly as individually interested parties’</w:t>
      </w:r>
      <w:r w:rsidR="00F46825">
        <w:t>,</w:t>
      </w:r>
      <w:r w:rsidR="005508E6" w:rsidRPr="005508E6">
        <w:t xml:space="preserve"> suggesting dates and venues in Port Moresby or ‘Brisbane if that would be more suitable to the </w:t>
      </w:r>
      <w:r w:rsidR="0058335B">
        <w:t>n</w:t>
      </w:r>
      <w:r w:rsidR="005508E6" w:rsidRPr="005508E6">
        <w:t>otifiers’</w:t>
      </w:r>
      <w:r w:rsidR="00F46825">
        <w:t>,</w:t>
      </w:r>
      <w:r w:rsidR="00B262D6">
        <w:t xml:space="preserve"> </w:t>
      </w:r>
      <w:r w:rsidR="001E12FA">
        <w:t xml:space="preserve">and </w:t>
      </w:r>
      <w:r w:rsidR="005508E6" w:rsidRPr="005508E6">
        <w:t>inform</w:t>
      </w:r>
      <w:r>
        <w:t>ing</w:t>
      </w:r>
      <w:r w:rsidR="005508E6" w:rsidRPr="005508E6">
        <w:t xml:space="preserve"> the </w:t>
      </w:r>
      <w:r w:rsidR="0058335B">
        <w:t>n</w:t>
      </w:r>
      <w:r w:rsidR="005508E6" w:rsidRPr="005508E6">
        <w:t>otifiers of planned visits to communities along the Sepik River</w:t>
      </w:r>
    </w:p>
    <w:p w14:paraId="399FD777" w14:textId="598FB075" w:rsidR="00B262D6" w:rsidRDefault="005508E6" w:rsidP="00B262D6">
      <w:pPr>
        <w:pStyle w:val="OutlineNumbered1"/>
        <w:numPr>
          <w:ilvl w:val="1"/>
          <w:numId w:val="12"/>
        </w:numPr>
        <w:spacing w:before="240" w:after="0" w:line="280" w:lineRule="exact"/>
        <w:jc w:val="both"/>
      </w:pPr>
      <w:r w:rsidRPr="005508E6">
        <w:t>engaging with, and consider</w:t>
      </w:r>
      <w:r w:rsidR="00917E1B">
        <w:t>ing</w:t>
      </w:r>
      <w:r w:rsidRPr="005508E6">
        <w:t xml:space="preserve"> the views of</w:t>
      </w:r>
      <w:r w:rsidR="000D4FD6">
        <w:t>, H</w:t>
      </w:r>
      <w:r w:rsidRPr="005508E6">
        <w:t xml:space="preserve">aus </w:t>
      </w:r>
      <w:proofErr w:type="spellStart"/>
      <w:r w:rsidRPr="005508E6">
        <w:t>Tambaran</w:t>
      </w:r>
      <w:proofErr w:type="spellEnd"/>
      <w:r w:rsidR="0082421C">
        <w:t xml:space="preserve"> </w:t>
      </w:r>
      <w:r w:rsidRPr="005508E6">
        <w:t xml:space="preserve">along the Sepik River (including Haus </w:t>
      </w:r>
      <w:proofErr w:type="spellStart"/>
      <w:r w:rsidRPr="005508E6">
        <w:t>Tambaran</w:t>
      </w:r>
      <w:proofErr w:type="spellEnd"/>
      <w:r w:rsidRPr="005508E6">
        <w:t xml:space="preserve"> </w:t>
      </w:r>
      <w:r w:rsidR="00732C8E">
        <w:t xml:space="preserve">in villages </w:t>
      </w:r>
      <w:r w:rsidRPr="005508E6">
        <w:t xml:space="preserve">listed </w:t>
      </w:r>
      <w:r w:rsidR="00732C8E">
        <w:t>in</w:t>
      </w:r>
      <w:r w:rsidRPr="005508E6">
        <w:t xml:space="preserve"> the </w:t>
      </w:r>
      <w:r w:rsidRPr="00B262D6">
        <w:rPr>
          <w:i/>
          <w:iCs/>
        </w:rPr>
        <w:t xml:space="preserve">Supreme </w:t>
      </w:r>
      <w:proofErr w:type="spellStart"/>
      <w:r w:rsidRPr="00B262D6">
        <w:rPr>
          <w:i/>
          <w:iCs/>
        </w:rPr>
        <w:t>Sukundimi</w:t>
      </w:r>
      <w:proofErr w:type="spellEnd"/>
      <w:r w:rsidRPr="00B262D6">
        <w:rPr>
          <w:i/>
          <w:iCs/>
        </w:rPr>
        <w:t xml:space="preserve"> Declaration</w:t>
      </w:r>
      <w:r>
        <w:t>)</w:t>
      </w:r>
    </w:p>
    <w:p w14:paraId="0E86E8E6" w14:textId="0A1368AF" w:rsidR="00B262D6" w:rsidRDefault="005508E6" w:rsidP="00B262D6">
      <w:pPr>
        <w:pStyle w:val="OutlineNumbered1"/>
        <w:numPr>
          <w:ilvl w:val="1"/>
          <w:numId w:val="12"/>
        </w:numPr>
        <w:spacing w:before="240" w:after="0" w:line="280" w:lineRule="exact"/>
        <w:jc w:val="both"/>
      </w:pPr>
      <w:r w:rsidRPr="005508E6">
        <w:t xml:space="preserve">the May 2025 meetings (explained </w:t>
      </w:r>
      <w:r w:rsidRPr="005826D0">
        <w:t>in paragr</w:t>
      </w:r>
      <w:r w:rsidRPr="003E0A08">
        <w:t xml:space="preserve">aph </w:t>
      </w:r>
      <w:r w:rsidR="00732C8E" w:rsidRPr="003E0A08">
        <w:fldChar w:fldCharType="begin"/>
      </w:r>
      <w:r w:rsidR="00732C8E" w:rsidRPr="003E0A08">
        <w:instrText xml:space="preserve"> REF _Ref202959260 \r \h </w:instrText>
      </w:r>
      <w:r w:rsidR="00B77542" w:rsidRPr="003E0A08">
        <w:instrText xml:space="preserve"> \* MERGEFORMAT </w:instrText>
      </w:r>
      <w:r w:rsidR="00732C8E" w:rsidRPr="003E0A08">
        <w:fldChar w:fldCharType="separate"/>
      </w:r>
      <w:r w:rsidR="003D5B39">
        <w:t>17</w:t>
      </w:r>
      <w:r w:rsidR="00732C8E" w:rsidRPr="003E0A08">
        <w:fldChar w:fldCharType="end"/>
      </w:r>
      <w:r w:rsidR="002377FB">
        <w:t>.7</w:t>
      </w:r>
      <w:r w:rsidRPr="003E0A08">
        <w:t xml:space="preserve"> above</w:t>
      </w:r>
      <w:r w:rsidRPr="005826D0">
        <w:t>)</w:t>
      </w:r>
      <w:r w:rsidR="003C66B2">
        <w:t>, where</w:t>
      </w:r>
      <w:r w:rsidRPr="005508E6">
        <w:t xml:space="preserve"> several of the villages were among those whose Haus </w:t>
      </w:r>
      <w:proofErr w:type="spellStart"/>
      <w:r w:rsidRPr="005508E6">
        <w:t>Tambaran</w:t>
      </w:r>
      <w:proofErr w:type="spellEnd"/>
      <w:r w:rsidRPr="005508E6">
        <w:t xml:space="preserve"> were said to support the </w:t>
      </w:r>
      <w:r w:rsidR="00DA4123">
        <w:t>n</w:t>
      </w:r>
      <w:r w:rsidRPr="005508E6">
        <w:t xml:space="preserve">otifiers’ </w:t>
      </w:r>
      <w:r w:rsidR="00B950E8">
        <w:t>c</w:t>
      </w:r>
      <w:r w:rsidRPr="005508E6">
        <w:t>omplaint</w:t>
      </w:r>
      <w:r w:rsidR="00B950E8">
        <w:t>,</w:t>
      </w:r>
      <w:r w:rsidRPr="005508E6">
        <w:t xml:space="preserve"> and the </w:t>
      </w:r>
      <w:r>
        <w:t>ente</w:t>
      </w:r>
      <w:r w:rsidR="4EC13463">
        <w:t>r</w:t>
      </w:r>
      <w:r>
        <w:t>prise</w:t>
      </w:r>
      <w:r w:rsidRPr="005508E6">
        <w:t xml:space="preserve"> had ‘informed the </w:t>
      </w:r>
      <w:r w:rsidR="0058335B">
        <w:t>n</w:t>
      </w:r>
      <w:r w:rsidRPr="005508E6">
        <w:t>otifiers that they and FRL intended to accept the invitation …[and] welcomed Project Sepik’s involvement in these engagements’</w:t>
      </w:r>
    </w:p>
    <w:p w14:paraId="0401B1AD" w14:textId="7142DCE7" w:rsidR="005508E6" w:rsidRPr="005508E6" w:rsidRDefault="005508E6" w:rsidP="00B262D6">
      <w:pPr>
        <w:pStyle w:val="OutlineNumbered1"/>
        <w:numPr>
          <w:ilvl w:val="1"/>
          <w:numId w:val="12"/>
        </w:numPr>
        <w:spacing w:before="240" w:after="0" w:line="280" w:lineRule="exact"/>
        <w:jc w:val="both"/>
      </w:pPr>
      <w:r w:rsidRPr="005508E6">
        <w:t>explaining</w:t>
      </w:r>
      <w:r w:rsidR="00FA16D5">
        <w:t xml:space="preserve"> that</w:t>
      </w:r>
      <w:r w:rsidRPr="005508E6">
        <w:t xml:space="preserve"> the format of the May 2025 meetings ‘adhered to the appropriate cultural protocol and were led by FRL personnel with familial and cultural links to each village. </w:t>
      </w:r>
      <w:r w:rsidRPr="005508E6">
        <w:lastRenderedPageBreak/>
        <w:t xml:space="preserve">Notably, the protocols were the same as those outlined by the </w:t>
      </w:r>
      <w:r w:rsidR="0058335B">
        <w:t>n</w:t>
      </w:r>
      <w:r w:rsidRPr="005508E6">
        <w:t xml:space="preserve">otifiers in the background paper to the </w:t>
      </w:r>
      <w:r w:rsidRPr="00B262D6">
        <w:rPr>
          <w:i/>
          <w:iCs/>
        </w:rPr>
        <w:t xml:space="preserve">Supreme </w:t>
      </w:r>
      <w:proofErr w:type="spellStart"/>
      <w:r w:rsidRPr="00B262D6">
        <w:rPr>
          <w:i/>
          <w:iCs/>
        </w:rPr>
        <w:t>Sukundimi</w:t>
      </w:r>
      <w:proofErr w:type="spellEnd"/>
      <w:r w:rsidRPr="00B262D6">
        <w:rPr>
          <w:i/>
          <w:iCs/>
        </w:rPr>
        <w:t xml:space="preserve"> Declaration</w:t>
      </w:r>
      <w:r w:rsidRPr="005508E6">
        <w:t xml:space="preserve"> in which betelnuts, tobacco and mustards were presented to each of the men’s houses in the villages to initiate formal engagements within a public community setting’.</w:t>
      </w:r>
    </w:p>
    <w:p w14:paraId="5009FDF5" w14:textId="54B4E24D" w:rsidR="005508E6" w:rsidRPr="005508E6" w:rsidRDefault="005508E6" w:rsidP="005508E6">
      <w:pPr>
        <w:pStyle w:val="OutlineNumbered1"/>
        <w:numPr>
          <w:ilvl w:val="0"/>
          <w:numId w:val="12"/>
        </w:numPr>
        <w:spacing w:before="240" w:after="0" w:line="280" w:lineRule="exact"/>
        <w:jc w:val="both"/>
      </w:pPr>
      <w:bookmarkStart w:id="44" w:name="_Ref204172902"/>
      <w:r w:rsidRPr="005508E6">
        <w:t xml:space="preserve">The enterprise stated, in its submissions to the AusNCP for the </w:t>
      </w:r>
      <w:r w:rsidR="001D6781">
        <w:t>Follow Up</w:t>
      </w:r>
      <w:r w:rsidRPr="005508E6">
        <w:t>, that it considers the notifiers are both ‘stakeholders in their own capacity as interested non-governmental organisations [and] stakeholders in their representative capacity for an indeterminate number of persons who may belong to potentially affected Indigenous groups’.</w:t>
      </w:r>
      <w:bookmarkEnd w:id="44"/>
    </w:p>
    <w:p w14:paraId="2A607E1E" w14:textId="45DAD104" w:rsidR="005508E6" w:rsidRPr="005508E6" w:rsidRDefault="005508E6" w:rsidP="00442826">
      <w:pPr>
        <w:pStyle w:val="OutlineNumbered1"/>
        <w:numPr>
          <w:ilvl w:val="0"/>
          <w:numId w:val="12"/>
        </w:numPr>
        <w:spacing w:before="240" w:after="0" w:line="280" w:lineRule="exact"/>
        <w:jc w:val="both"/>
      </w:pPr>
      <w:r w:rsidRPr="005508E6">
        <w:t xml:space="preserve">In their submissions for the </w:t>
      </w:r>
      <w:r w:rsidR="2704889F">
        <w:t xml:space="preserve">Follow Up </w:t>
      </w:r>
      <w:r w:rsidR="00C63DF3">
        <w:t>p</w:t>
      </w:r>
      <w:r w:rsidR="2704889F">
        <w:t>rocess</w:t>
      </w:r>
      <w:r w:rsidRPr="005508E6">
        <w:t xml:space="preserve">, the notifiers provided no statement or information </w:t>
      </w:r>
      <w:r w:rsidR="00DC36F7">
        <w:t>contrary to</w:t>
      </w:r>
      <w:r w:rsidR="00A103B4">
        <w:t xml:space="preserve"> the above points</w:t>
      </w:r>
      <w:r w:rsidRPr="005508E6">
        <w:t>.</w:t>
      </w:r>
      <w:r w:rsidR="00A103B4">
        <w:t xml:space="preserve"> The notifiers’ submissions </w:t>
      </w:r>
      <w:r w:rsidR="00DC36F7">
        <w:t>raised issues about engagement in the A</w:t>
      </w:r>
      <w:r w:rsidR="00A103B4" w:rsidRPr="00A103B4">
        <w:t xml:space="preserve">usNCP </w:t>
      </w:r>
      <w:r w:rsidR="00A103B4" w:rsidRPr="00871F31">
        <w:t>process</w:t>
      </w:r>
      <w:r w:rsidR="00DC36F7" w:rsidRPr="00871F31">
        <w:t xml:space="preserve">, but that is </w:t>
      </w:r>
      <w:r w:rsidR="00A103B4" w:rsidRPr="00871F31">
        <w:t xml:space="preserve">a </w:t>
      </w:r>
      <w:r w:rsidR="00A56A8A" w:rsidRPr="00871F31">
        <w:t>different issue</w:t>
      </w:r>
      <w:r w:rsidR="00DC36F7" w:rsidRPr="00871F31">
        <w:t xml:space="preserve"> (</w:t>
      </w:r>
      <w:r w:rsidR="00A56A8A" w:rsidRPr="00871F31">
        <w:t xml:space="preserve">of equity in the NCP process </w:t>
      </w:r>
      <w:r w:rsidR="006202A5">
        <w:t>–</w:t>
      </w:r>
      <w:r w:rsidR="00A56A8A" w:rsidRPr="00871F31">
        <w:t xml:space="preserve"> addressed </w:t>
      </w:r>
      <w:r w:rsidR="00DC36F7" w:rsidRPr="00871F31">
        <w:t xml:space="preserve">in paragraph </w:t>
      </w:r>
      <w:r w:rsidR="007E1FE9">
        <w:t>55</w:t>
      </w:r>
      <w:r w:rsidR="007E1FE9" w:rsidRPr="003E0A08">
        <w:t xml:space="preserve"> </w:t>
      </w:r>
      <w:r w:rsidR="00DC36F7" w:rsidRPr="003E0A08">
        <w:t>below</w:t>
      </w:r>
      <w:proofErr w:type="gramStart"/>
      <w:r w:rsidR="00A56A8A" w:rsidRPr="00871F31">
        <w:t>)</w:t>
      </w:r>
      <w:r w:rsidR="000C251F">
        <w:t>,</w:t>
      </w:r>
      <w:r w:rsidR="00A56A8A" w:rsidRPr="00871F31">
        <w:t xml:space="preserve"> and</w:t>
      </w:r>
      <w:proofErr w:type="gramEnd"/>
      <w:r w:rsidR="00A56A8A">
        <w:t xml:space="preserve"> does not discount the efforts </w:t>
      </w:r>
      <w:r w:rsidR="000C251F">
        <w:t>that</w:t>
      </w:r>
      <w:r w:rsidR="00A56A8A">
        <w:t xml:space="preserve"> the enterprise has taken to engage with the </w:t>
      </w:r>
      <w:r w:rsidR="00A56A8A" w:rsidRPr="00A56A8A">
        <w:t xml:space="preserve">notifiers and Haus </w:t>
      </w:r>
      <w:proofErr w:type="spellStart"/>
      <w:r w:rsidR="00A56A8A" w:rsidRPr="00A56A8A">
        <w:t>Tambaran</w:t>
      </w:r>
      <w:proofErr w:type="spellEnd"/>
      <w:r w:rsidR="00A56A8A">
        <w:t xml:space="preserve"> about the proposed project. It is </w:t>
      </w:r>
      <w:r w:rsidR="00A56A8A" w:rsidRPr="00A56A8A">
        <w:rPr>
          <w:i/>
          <w:iCs/>
        </w:rPr>
        <w:t>that</w:t>
      </w:r>
      <w:r w:rsidR="00A56A8A">
        <w:t xml:space="preserve"> which is the focus of this aspect of the </w:t>
      </w:r>
      <w:r w:rsidR="00D302C3">
        <w:t xml:space="preserve">OECD </w:t>
      </w:r>
      <w:r w:rsidR="00A56A8A">
        <w:t>Guidelines (</w:t>
      </w:r>
      <w:r w:rsidR="00DC36F7">
        <w:t>namely</w:t>
      </w:r>
      <w:r w:rsidR="00CC4580">
        <w:t>, to</w:t>
      </w:r>
      <w:r w:rsidR="00DC36F7">
        <w:t xml:space="preserve"> </w:t>
      </w:r>
      <w:r w:rsidR="00A56A8A">
        <w:t>‘</w:t>
      </w:r>
      <w:r w:rsidR="00A56A8A" w:rsidRPr="00EB3632">
        <w:t xml:space="preserve">provide opportunities for their views to be </w:t>
      </w:r>
      <w:proofErr w:type="gramStart"/>
      <w:r w:rsidR="00A56A8A" w:rsidRPr="00EB3632">
        <w:t>taken into account</w:t>
      </w:r>
      <w:proofErr w:type="gramEnd"/>
      <w:r w:rsidR="00A56A8A" w:rsidRPr="00EB3632">
        <w:t xml:space="preserve"> with respect to activities that may significantly impact them related to matters covered by the Guidelines</w:t>
      </w:r>
      <w:r w:rsidR="00A56A8A">
        <w:t>’) and this recommendation, not the processes of an NCP complaint.</w:t>
      </w:r>
    </w:p>
    <w:p w14:paraId="0D8A49A7" w14:textId="5FB34B37" w:rsidR="005508E6" w:rsidRPr="005508E6" w:rsidRDefault="00A56A8A" w:rsidP="00400E49">
      <w:pPr>
        <w:pStyle w:val="OutlineNumbered1"/>
        <w:numPr>
          <w:ilvl w:val="0"/>
          <w:numId w:val="12"/>
        </w:numPr>
        <w:spacing w:before="240" w:after="0" w:line="280" w:lineRule="exact"/>
        <w:jc w:val="both"/>
      </w:pPr>
      <w:proofErr w:type="gramStart"/>
      <w:r>
        <w:t>In light of</w:t>
      </w:r>
      <w:proofErr w:type="gramEnd"/>
      <w:r>
        <w:t xml:space="preserve"> the above, t</w:t>
      </w:r>
      <w:r w:rsidR="005508E6" w:rsidRPr="005508E6">
        <w:t xml:space="preserve">he </w:t>
      </w:r>
      <w:r w:rsidR="00C8390D">
        <w:t xml:space="preserve">Independent </w:t>
      </w:r>
      <w:r w:rsidR="00A546A5">
        <w:t>Examiner</w:t>
      </w:r>
      <w:r w:rsidR="00A546A5" w:rsidRPr="005508E6">
        <w:t xml:space="preserve"> </w:t>
      </w:r>
      <w:r w:rsidR="005508E6" w:rsidRPr="005508E6">
        <w:t>is satisfied that the enterprise has implemented this</w:t>
      </w:r>
      <w:r w:rsidR="00796ED3">
        <w:t xml:space="preserve"> part of the</w:t>
      </w:r>
      <w:r w:rsidR="005508E6" w:rsidRPr="005508E6">
        <w:t xml:space="preserve"> recommendation.</w:t>
      </w:r>
    </w:p>
    <w:p w14:paraId="1FDB80F1" w14:textId="4C464787" w:rsidR="006612FD" w:rsidRPr="00472593" w:rsidRDefault="00CB1E72" w:rsidP="005508E6">
      <w:pPr>
        <w:pStyle w:val="Heading3"/>
        <w:spacing w:before="360"/>
        <w:rPr>
          <w:rFonts w:asciiTheme="minorHAnsi" w:hAnsiTheme="minorHAnsi" w:cstheme="minorHAnsi"/>
          <w:color w:val="212121"/>
          <w:sz w:val="27"/>
          <w:szCs w:val="27"/>
        </w:rPr>
      </w:pPr>
      <w:bookmarkStart w:id="45" w:name="_Toc204167779"/>
      <w:bookmarkStart w:id="46" w:name="_Toc216870712"/>
      <w:r w:rsidRPr="00472593">
        <w:rPr>
          <w:rFonts w:asciiTheme="minorHAnsi" w:hAnsiTheme="minorHAnsi" w:cstheme="minorHAnsi"/>
          <w:color w:val="212121"/>
          <w:sz w:val="27"/>
          <w:szCs w:val="27"/>
        </w:rPr>
        <w:t>5.</w:t>
      </w:r>
      <w:r w:rsidR="00ED40B6" w:rsidRPr="00472593">
        <w:rPr>
          <w:rFonts w:asciiTheme="minorHAnsi" w:hAnsiTheme="minorHAnsi" w:cstheme="minorHAnsi"/>
          <w:color w:val="212121"/>
          <w:sz w:val="27"/>
          <w:szCs w:val="27"/>
        </w:rPr>
        <w:t>2</w:t>
      </w:r>
      <w:r w:rsidRPr="00472593">
        <w:rPr>
          <w:rFonts w:asciiTheme="minorHAnsi" w:hAnsiTheme="minorHAnsi" w:cstheme="minorHAnsi"/>
          <w:color w:val="212121"/>
          <w:sz w:val="27"/>
          <w:szCs w:val="27"/>
        </w:rPr>
        <w:t xml:space="preserve"> </w:t>
      </w:r>
      <w:r w:rsidR="00BB51DE" w:rsidRPr="00472593">
        <w:rPr>
          <w:rFonts w:asciiTheme="minorHAnsi" w:hAnsiTheme="minorHAnsi" w:cstheme="minorHAnsi"/>
          <w:color w:val="212121"/>
          <w:sz w:val="27"/>
          <w:szCs w:val="27"/>
        </w:rPr>
        <w:t xml:space="preserve">Enterprise should disseminate </w:t>
      </w:r>
      <w:r w:rsidR="00D8764E" w:rsidRPr="00472593">
        <w:rPr>
          <w:rFonts w:asciiTheme="minorHAnsi" w:hAnsiTheme="minorHAnsi" w:cstheme="minorHAnsi"/>
          <w:color w:val="212121"/>
          <w:sz w:val="27"/>
          <w:szCs w:val="27"/>
        </w:rPr>
        <w:t xml:space="preserve">the ‘2018 </w:t>
      </w:r>
      <w:r w:rsidR="00BB51DE" w:rsidRPr="00472593">
        <w:rPr>
          <w:rFonts w:asciiTheme="minorHAnsi" w:hAnsiTheme="minorHAnsi" w:cstheme="minorHAnsi"/>
          <w:color w:val="212121"/>
          <w:sz w:val="27"/>
          <w:szCs w:val="27"/>
        </w:rPr>
        <w:t>dam break analysis’</w:t>
      </w:r>
      <w:bookmarkEnd w:id="45"/>
      <w:bookmarkEnd w:id="46"/>
    </w:p>
    <w:p w14:paraId="01B11E55" w14:textId="7FC2F309" w:rsidR="005508E6" w:rsidRDefault="00C91797" w:rsidP="00DE27E7">
      <w:pPr>
        <w:pStyle w:val="OutlineNumbered1"/>
        <w:numPr>
          <w:ilvl w:val="0"/>
          <w:numId w:val="12"/>
        </w:numPr>
        <w:spacing w:before="240" w:after="0" w:line="280" w:lineRule="exact"/>
        <w:jc w:val="both"/>
      </w:pPr>
      <w:r>
        <w:t>One issue in t</w:t>
      </w:r>
      <w:r w:rsidR="005508E6">
        <w:t xml:space="preserve">he 2023 </w:t>
      </w:r>
      <w:r w:rsidR="0D4481B0">
        <w:t>F</w:t>
      </w:r>
      <w:r w:rsidR="005508E6">
        <w:t xml:space="preserve">inal </w:t>
      </w:r>
      <w:r w:rsidR="555BA0DC">
        <w:t>S</w:t>
      </w:r>
      <w:r w:rsidR="005508E6">
        <w:t xml:space="preserve">tatement </w:t>
      </w:r>
      <w:r>
        <w:t>was t</w:t>
      </w:r>
      <w:r w:rsidR="1654D9E0">
        <w:t>he enterprise’s</w:t>
      </w:r>
      <w:r w:rsidR="005508E6">
        <w:t xml:space="preserve"> </w:t>
      </w:r>
      <w:r w:rsidR="007A29A9">
        <w:t xml:space="preserve">2018 </w:t>
      </w:r>
      <w:r w:rsidR="005508E6" w:rsidRPr="00DE5DBD">
        <w:t>dam break analysis</w:t>
      </w:r>
      <w:r w:rsidR="00EF70A3">
        <w:t xml:space="preserve"> (the 2018 analysis)</w:t>
      </w:r>
      <w:r w:rsidR="00BA545C">
        <w:t>,</w:t>
      </w:r>
      <w:r w:rsidR="005508E6">
        <w:t xml:space="preserve"> which </w:t>
      </w:r>
      <w:r w:rsidR="005508E6" w:rsidRPr="00DE5DBD">
        <w:t xml:space="preserve">modelled a theoretical dam break scenario to </w:t>
      </w:r>
      <w:r w:rsidR="005508E6">
        <w:t xml:space="preserve">inform safety considerations in </w:t>
      </w:r>
      <w:r w:rsidR="005508E6" w:rsidRPr="00DE5DBD">
        <w:t xml:space="preserve">design. The enterprise explained </w:t>
      </w:r>
      <w:r w:rsidR="005508E6">
        <w:t>th</w:t>
      </w:r>
      <w:r w:rsidR="007A29A9">
        <w:t>at</w:t>
      </w:r>
      <w:r w:rsidR="005508E6">
        <w:t xml:space="preserve"> </w:t>
      </w:r>
      <w:r w:rsidR="006D6AAC">
        <w:t xml:space="preserve">this </w:t>
      </w:r>
      <w:r w:rsidR="005508E6">
        <w:t xml:space="preserve">document was </w:t>
      </w:r>
      <w:r w:rsidR="008108D2">
        <w:t>‘</w:t>
      </w:r>
      <w:r w:rsidR="005508E6" w:rsidRPr="00DE5DBD">
        <w:t>not an assessment of the likelihood or probability of a dam break</w:t>
      </w:r>
      <w:r w:rsidR="00A675FA">
        <w:t>’,</w:t>
      </w:r>
      <w:r w:rsidR="005508E6" w:rsidRPr="00DE5DBD">
        <w:t xml:space="preserve"> but</w:t>
      </w:r>
      <w:r w:rsidR="009351F0">
        <w:t xml:space="preserve"> rather</w:t>
      </w:r>
      <w:r w:rsidR="005508E6" w:rsidRPr="00DE5DBD">
        <w:t xml:space="preserve"> </w:t>
      </w:r>
      <w:r w:rsidR="009351F0">
        <w:t>‘</w:t>
      </w:r>
      <w:r w:rsidR="005508E6" w:rsidRPr="00DE5DBD">
        <w:t>model</w:t>
      </w:r>
      <w:r w:rsidR="009351F0">
        <w:t>[led]</w:t>
      </w:r>
      <w:r w:rsidR="005508E6" w:rsidRPr="00DE5DBD">
        <w:t xml:space="preserve"> what the impacts would be if a dam were to fail</w:t>
      </w:r>
      <w:r w:rsidR="008108D2">
        <w:t>’</w:t>
      </w:r>
      <w:r w:rsidR="00E10CE2">
        <w:t xml:space="preserve"> –</w:t>
      </w:r>
      <w:r w:rsidR="005508E6" w:rsidRPr="00DE5DBD">
        <w:t xml:space="preserve"> to </w:t>
      </w:r>
      <w:r w:rsidR="005508E6">
        <w:t>inform</w:t>
      </w:r>
      <w:r w:rsidR="005508E6" w:rsidRPr="00DE5DBD">
        <w:t xml:space="preserve"> risk assessment and management</w:t>
      </w:r>
      <w:r w:rsidR="001C27FE">
        <w:t>. This</w:t>
      </w:r>
      <w:r w:rsidR="005508E6">
        <w:t xml:space="preserve"> document had been </w:t>
      </w:r>
      <w:r w:rsidR="005508E6" w:rsidRPr="00DE5DBD">
        <w:t>provided to relevant Papua New Guinea Government officials</w:t>
      </w:r>
      <w:r w:rsidR="005508E6">
        <w:t>.</w:t>
      </w:r>
      <w:r w:rsidR="005508E6">
        <w:rPr>
          <w:rStyle w:val="FootnoteReference"/>
        </w:rPr>
        <w:footnoteReference w:id="22"/>
      </w:r>
      <w:r w:rsidR="005508E6">
        <w:t xml:space="preserve"> The document had not been provided to the notifiers, despite </w:t>
      </w:r>
      <w:r w:rsidR="2EBA29AD">
        <w:t xml:space="preserve">being </w:t>
      </w:r>
      <w:r w:rsidR="005508E6">
        <w:t>request</w:t>
      </w:r>
      <w:r w:rsidR="19901FFE">
        <w:t>ed</w:t>
      </w:r>
      <w:r w:rsidR="005508E6">
        <w:t xml:space="preserve">, and the </w:t>
      </w:r>
      <w:r w:rsidR="7E1C8054">
        <w:t>2023</w:t>
      </w:r>
      <w:r w:rsidR="005508E6">
        <w:t xml:space="preserve"> Final Statement </w:t>
      </w:r>
      <w:r w:rsidR="00925E47">
        <w:t xml:space="preserve">considered </w:t>
      </w:r>
      <w:r w:rsidR="0039746A">
        <w:t>that</w:t>
      </w:r>
      <w:r w:rsidR="00925E47">
        <w:t xml:space="preserve"> the </w:t>
      </w:r>
      <w:r w:rsidR="005508E6">
        <w:t>enterprise</w:t>
      </w:r>
      <w:r w:rsidR="00925E47">
        <w:t xml:space="preserve"> did not have valid </w:t>
      </w:r>
      <w:r w:rsidR="005508E6">
        <w:t>reasons for not providing</w:t>
      </w:r>
      <w:r w:rsidR="00925E47">
        <w:t xml:space="preserve"> it</w:t>
      </w:r>
      <w:r w:rsidR="005508E6">
        <w:t>.</w:t>
      </w:r>
      <w:r w:rsidR="005508E6">
        <w:rPr>
          <w:rStyle w:val="FootnoteReference"/>
        </w:rPr>
        <w:footnoteReference w:id="23"/>
      </w:r>
      <w:r w:rsidR="005508E6">
        <w:t xml:space="preserve"> The </w:t>
      </w:r>
      <w:r w:rsidR="00561263">
        <w:t>2023 Final Statement n</w:t>
      </w:r>
      <w:r w:rsidR="005508E6">
        <w:t xml:space="preserve">oted the OECD Guidelines’ expectations about providing information to communities about potential impacts from </w:t>
      </w:r>
      <w:r w:rsidR="00877AD7">
        <w:t xml:space="preserve">an enterprise’s </w:t>
      </w:r>
      <w:r w:rsidR="005508E6">
        <w:t>activities,</w:t>
      </w:r>
      <w:r w:rsidR="005508E6">
        <w:rPr>
          <w:rStyle w:val="FootnoteReference"/>
        </w:rPr>
        <w:footnoteReference w:id="24"/>
      </w:r>
      <w:r w:rsidR="005508E6">
        <w:t xml:space="preserve"> and recommended </w:t>
      </w:r>
      <w:r w:rsidR="00FA166D">
        <w:t xml:space="preserve">that </w:t>
      </w:r>
      <w:r w:rsidR="005508E6">
        <w:t xml:space="preserve">the enterprise ‘disseminate [or] </w:t>
      </w:r>
      <w:r w:rsidR="005508E6" w:rsidRPr="00463527">
        <w:t>disclose the dam break analysis to relevant communities, with accompanying supplementary analysis if needed</w:t>
      </w:r>
      <w:r w:rsidR="005508E6">
        <w:t>’.</w:t>
      </w:r>
      <w:r w:rsidR="005508E6">
        <w:rPr>
          <w:rStyle w:val="FootnoteReference"/>
        </w:rPr>
        <w:footnoteReference w:id="25"/>
      </w:r>
    </w:p>
    <w:p w14:paraId="2A3001C9" w14:textId="1D425912" w:rsidR="007A29A9" w:rsidRDefault="00561263" w:rsidP="00DE27E7">
      <w:pPr>
        <w:pStyle w:val="OutlineNumbered1"/>
        <w:numPr>
          <w:ilvl w:val="0"/>
          <w:numId w:val="12"/>
        </w:numPr>
        <w:spacing w:before="240" w:after="0" w:line="280" w:lineRule="exact"/>
        <w:jc w:val="both"/>
      </w:pPr>
      <w:r>
        <w:t>During Follow Up</w:t>
      </w:r>
      <w:r w:rsidR="00D12377">
        <w:t>,</w:t>
      </w:r>
      <w:r>
        <w:t xml:space="preserve"> t</w:t>
      </w:r>
      <w:r w:rsidR="005508E6">
        <w:t>he enterprise explained that in 2024</w:t>
      </w:r>
      <w:r w:rsidR="00925E47">
        <w:t>,</w:t>
      </w:r>
      <w:r w:rsidR="005508E6">
        <w:t xml:space="preserve"> it </w:t>
      </w:r>
      <w:r w:rsidR="002E2AD5">
        <w:t xml:space="preserve">had </w:t>
      </w:r>
      <w:r w:rsidR="005508E6">
        <w:t>‘</w:t>
      </w:r>
      <w:r w:rsidR="005508E6" w:rsidRPr="00463527">
        <w:t xml:space="preserve">commissioned and obtained an up-to-date Dam Technical Report </w:t>
      </w:r>
      <w:r w:rsidR="000A0312">
        <w:t xml:space="preserve">by international engineering firm, SRK consulting, </w:t>
      </w:r>
      <w:r w:rsidR="005508E6" w:rsidRPr="00463527">
        <w:t xml:space="preserve">which assesses the potential risks posed by a failure of the </w:t>
      </w:r>
      <w:r w:rsidR="005508E6">
        <w:t>…</w:t>
      </w:r>
      <w:r w:rsidR="005508E6" w:rsidRPr="00463527">
        <w:t xml:space="preserve"> dam wall</w:t>
      </w:r>
      <w:r w:rsidR="005508E6">
        <w:t xml:space="preserve"> … </w:t>
      </w:r>
      <w:r w:rsidR="005508E6" w:rsidRPr="00463527">
        <w:t>based on current proposals for the dam</w:t>
      </w:r>
      <w:r w:rsidR="005508E6">
        <w:t>’.</w:t>
      </w:r>
      <w:r w:rsidR="00925E47">
        <w:t xml:space="preserve"> This 2024 </w:t>
      </w:r>
      <w:r w:rsidR="00925E47" w:rsidRPr="00463527">
        <w:t>Dam Technical Report</w:t>
      </w:r>
      <w:r w:rsidR="00925E47">
        <w:t xml:space="preserve"> </w:t>
      </w:r>
      <w:r w:rsidR="6687AD8E">
        <w:t xml:space="preserve">(the 2024 </w:t>
      </w:r>
      <w:r w:rsidR="02858DDB">
        <w:t>R</w:t>
      </w:r>
      <w:r w:rsidR="6687AD8E">
        <w:t>eport)</w:t>
      </w:r>
      <w:r w:rsidR="00925E47">
        <w:t xml:space="preserve"> had been provided to the notifiers and communities – in hard copy at consultations</w:t>
      </w:r>
      <w:r w:rsidR="008C3F9F">
        <w:t>,</w:t>
      </w:r>
      <w:r w:rsidR="00925E47">
        <w:t xml:space="preserve"> with summaries in Tok Pisin and English available online. </w:t>
      </w:r>
      <w:r w:rsidR="000A0312">
        <w:t xml:space="preserve">At the time </w:t>
      </w:r>
      <w:r w:rsidR="2B6ABBA5">
        <w:t xml:space="preserve">the </w:t>
      </w:r>
      <w:r w:rsidR="2B6ABBA5" w:rsidRPr="001060E1">
        <w:t>initial</w:t>
      </w:r>
      <w:r w:rsidR="000A0312" w:rsidRPr="001060E1">
        <w:t xml:space="preserve"> draft</w:t>
      </w:r>
      <w:r w:rsidR="000A0312">
        <w:t xml:space="preserve"> </w:t>
      </w:r>
      <w:r w:rsidR="2FDEB2E7">
        <w:t>of</w:t>
      </w:r>
      <w:r w:rsidR="000A0312">
        <w:t xml:space="preserve"> this Follow Up </w:t>
      </w:r>
      <w:r w:rsidR="00206C0B">
        <w:t>S</w:t>
      </w:r>
      <w:r w:rsidR="000A0312">
        <w:t>tatement</w:t>
      </w:r>
      <w:r w:rsidR="3FD6290F">
        <w:t xml:space="preserve"> was prepared</w:t>
      </w:r>
      <w:r w:rsidR="000A0312">
        <w:t>, t</w:t>
      </w:r>
      <w:r>
        <w:t>he 2018 analysis ha</w:t>
      </w:r>
      <w:r w:rsidR="000A0312">
        <w:t>d</w:t>
      </w:r>
      <w:r>
        <w:t xml:space="preserve"> not been provided to the notifiers nor communities. </w:t>
      </w:r>
      <w:r w:rsidR="007A29A9">
        <w:t xml:space="preserve">Both parties made submissions </w:t>
      </w:r>
      <w:r w:rsidR="00925E47">
        <w:lastRenderedPageBreak/>
        <w:t>about</w:t>
      </w:r>
      <w:r w:rsidR="007A29A9">
        <w:t xml:space="preserve"> the 2024 Report and its relevance to the </w:t>
      </w:r>
      <w:r w:rsidR="0056196A">
        <w:t xml:space="preserve">part of the </w:t>
      </w:r>
      <w:r w:rsidR="007A29A9">
        <w:t xml:space="preserve">recommendation </w:t>
      </w:r>
      <w:r>
        <w:t>about</w:t>
      </w:r>
      <w:r w:rsidR="007A29A9">
        <w:t xml:space="preserve"> disclosing the 2018 analysis.</w:t>
      </w:r>
    </w:p>
    <w:p w14:paraId="05DF79BE" w14:textId="02ED4D55" w:rsidR="00B262D6" w:rsidRDefault="007A29A9" w:rsidP="0084054D">
      <w:pPr>
        <w:pStyle w:val="OutlineNumbered1"/>
        <w:numPr>
          <w:ilvl w:val="1"/>
          <w:numId w:val="12"/>
        </w:numPr>
        <w:spacing w:before="240" w:after="0" w:line="280" w:lineRule="exact"/>
      </w:pPr>
      <w:bookmarkStart w:id="47" w:name="_Ref202981879"/>
      <w:r>
        <w:t xml:space="preserve">The enterprise stated </w:t>
      </w:r>
      <w:r w:rsidR="00805F11">
        <w:t>that</w:t>
      </w:r>
      <w:r>
        <w:t xml:space="preserve"> the 2018 analysis</w:t>
      </w:r>
      <w:r w:rsidR="00852258">
        <w:t xml:space="preserve"> ‘</w:t>
      </w:r>
      <w:r w:rsidR="00852258" w:rsidRPr="00852258">
        <w:t xml:space="preserve">modelled a </w:t>
      </w:r>
      <w:r w:rsidR="00852258">
        <w:t>“</w:t>
      </w:r>
      <w:r w:rsidR="00852258" w:rsidRPr="00852258">
        <w:t>worst-case</w:t>
      </w:r>
      <w:r w:rsidR="00852258">
        <w:t>”</w:t>
      </w:r>
      <w:r w:rsidR="00852258" w:rsidRPr="00852258">
        <w:t xml:space="preserve"> scenario assuming 100% of stored tailings, waste rock and water were released instantaneously</w:t>
      </w:r>
      <w:r w:rsidR="00852258">
        <w:t xml:space="preserve"> </w:t>
      </w:r>
      <w:proofErr w:type="gramStart"/>
      <w:r w:rsidR="00852258">
        <w:t>…[</w:t>
      </w:r>
      <w:proofErr w:type="gramEnd"/>
      <w:r w:rsidR="00852258">
        <w:t>and</w:t>
      </w:r>
      <w:r w:rsidR="00925E47">
        <w:t xml:space="preserve"> that</w:t>
      </w:r>
      <w:r w:rsidR="00852258">
        <w:t xml:space="preserve">] </w:t>
      </w:r>
      <w:r w:rsidR="00852258" w:rsidRPr="00852258">
        <w:t xml:space="preserve">given that the proposed </w:t>
      </w:r>
      <w:r w:rsidR="00852258">
        <w:t>…</w:t>
      </w:r>
      <w:r w:rsidR="00852258" w:rsidRPr="00852258">
        <w:t xml:space="preserve"> design places tailings behind waste rock approximately 1 km from the main embankment, it is overly conservative for risk assessment and emergency planning purposes</w:t>
      </w:r>
      <w:r w:rsidR="00852258">
        <w:t>’. Additionally</w:t>
      </w:r>
      <w:r w:rsidR="00C63DF3">
        <w:t>,</w:t>
      </w:r>
      <w:r w:rsidR="00852258">
        <w:t xml:space="preserve"> </w:t>
      </w:r>
      <w:r w:rsidR="008C3F9F">
        <w:t>the enterprise considered the 2018 analysis</w:t>
      </w:r>
      <w:r w:rsidR="00852258">
        <w:t xml:space="preserve"> </w:t>
      </w:r>
      <w:r w:rsidR="00925E47">
        <w:t xml:space="preserve">was </w:t>
      </w:r>
      <w:r w:rsidR="00852258">
        <w:t xml:space="preserve">‘a scenario that physically could not occur in nature </w:t>
      </w:r>
      <w:proofErr w:type="gramStart"/>
      <w:r w:rsidR="00852258">
        <w:t>…[</w:t>
      </w:r>
      <w:proofErr w:type="gramEnd"/>
      <w:r w:rsidR="00852258">
        <w:t>because of] the engineering fact that the physical features of the dam mean that 100% of the water contained in it cannot be released … and, therefore, does not provide an accurate assessment of potential risks from the dam</w:t>
      </w:r>
      <w:r w:rsidR="005D6C1E">
        <w:t>’</w:t>
      </w:r>
      <w:r w:rsidR="00852258">
        <w:t>.</w:t>
      </w:r>
      <w:bookmarkEnd w:id="47"/>
    </w:p>
    <w:p w14:paraId="39AD5660" w14:textId="0E9FB7D4" w:rsidR="00852258" w:rsidRDefault="00852258" w:rsidP="0084054D">
      <w:pPr>
        <w:pStyle w:val="OutlineNumbered1"/>
        <w:numPr>
          <w:ilvl w:val="1"/>
          <w:numId w:val="12"/>
        </w:numPr>
        <w:spacing w:before="240" w:after="0" w:line="280" w:lineRule="exact"/>
      </w:pPr>
      <w:r>
        <w:t xml:space="preserve">The enterprise considered the 2024 </w:t>
      </w:r>
      <w:r w:rsidR="0F2E4543">
        <w:t>R</w:t>
      </w:r>
      <w:r>
        <w:t xml:space="preserve">eport </w:t>
      </w:r>
      <w:r w:rsidR="00925E47">
        <w:t xml:space="preserve">(which models different scenarios of extent of breach and seasonal conditions) a more realistic assessment of potential events. The enterprise stated this document and information sheets </w:t>
      </w:r>
      <w:r w:rsidR="00925E47" w:rsidRPr="00925E47">
        <w:t xml:space="preserve">will be circulated </w:t>
      </w:r>
      <w:r w:rsidR="00925E47">
        <w:t xml:space="preserve">and available at future </w:t>
      </w:r>
      <w:r w:rsidR="00925E47" w:rsidRPr="00925E47">
        <w:t>engagement sessions</w:t>
      </w:r>
      <w:r w:rsidR="00BB5A75">
        <w:t>,</w:t>
      </w:r>
      <w:r w:rsidR="00925E47" w:rsidRPr="00925E47">
        <w:t xml:space="preserve"> </w:t>
      </w:r>
      <w:r w:rsidR="00925E47">
        <w:t>and that ‘</w:t>
      </w:r>
      <w:r w:rsidR="00925E47" w:rsidRPr="00925E47">
        <w:t>audience members will be able (and encouraged) to ask questions regarding the safety and potential risks of the proposed dam</w:t>
      </w:r>
      <w:r w:rsidR="00925E47">
        <w:t>’.</w:t>
      </w:r>
    </w:p>
    <w:p w14:paraId="5CAEF3E9" w14:textId="34DDDF6F" w:rsidR="005D6C1E" w:rsidRDefault="00852258" w:rsidP="0084054D">
      <w:pPr>
        <w:pStyle w:val="OutlineNumbered1"/>
        <w:numPr>
          <w:ilvl w:val="1"/>
          <w:numId w:val="12"/>
        </w:numPr>
        <w:spacing w:before="240" w:after="0" w:line="280" w:lineRule="exact"/>
      </w:pPr>
      <w:r>
        <w:t>The</w:t>
      </w:r>
      <w:r w:rsidR="007A29A9">
        <w:t xml:space="preserve"> notifiers</w:t>
      </w:r>
      <w:r w:rsidR="00792F1E">
        <w:t>’</w:t>
      </w:r>
      <w:r w:rsidR="007A29A9">
        <w:t xml:space="preserve"> </w:t>
      </w:r>
      <w:r w:rsidR="00925E47">
        <w:t xml:space="preserve">submissions identified various concerns </w:t>
      </w:r>
      <w:r w:rsidR="0000474C">
        <w:t xml:space="preserve">from their understanding of </w:t>
      </w:r>
      <w:r w:rsidR="00925E47">
        <w:t xml:space="preserve">the 2024 </w:t>
      </w:r>
      <w:r w:rsidR="6BCC4917">
        <w:t>R</w:t>
      </w:r>
      <w:r w:rsidR="00925E47">
        <w:t>eport</w:t>
      </w:r>
      <w:r w:rsidR="00053ED4">
        <w:t>, including</w:t>
      </w:r>
      <w:r w:rsidR="00155447">
        <w:t>:</w:t>
      </w:r>
      <w:r w:rsidR="0000474C">
        <w:t xml:space="preserve"> </w:t>
      </w:r>
    </w:p>
    <w:p w14:paraId="13B7C2F5" w14:textId="3D525C0A" w:rsidR="005D6C1E" w:rsidRDefault="00C75245" w:rsidP="0084054D">
      <w:pPr>
        <w:pStyle w:val="OutlineNumbered1"/>
        <w:numPr>
          <w:ilvl w:val="2"/>
          <w:numId w:val="12"/>
        </w:numPr>
        <w:spacing w:before="240" w:after="0" w:line="280" w:lineRule="exact"/>
      </w:pPr>
      <w:r>
        <w:t>that t</w:t>
      </w:r>
      <w:r w:rsidR="00925E47">
        <w:t xml:space="preserve">he </w:t>
      </w:r>
      <w:r w:rsidR="00B614BE">
        <w:t xml:space="preserve">document fails </w:t>
      </w:r>
      <w:r w:rsidR="00B614BE" w:rsidRPr="00B614BE">
        <w:t xml:space="preserve">to model impacts to </w:t>
      </w:r>
      <w:r w:rsidR="00B614BE">
        <w:t>much of the</w:t>
      </w:r>
      <w:r w:rsidR="00B614BE" w:rsidRPr="00B614BE">
        <w:t xml:space="preserve"> Sepik River</w:t>
      </w:r>
      <w:r w:rsidR="00B614BE">
        <w:t xml:space="preserve">. The </w:t>
      </w:r>
      <w:r w:rsidR="00925E47">
        <w:t xml:space="preserve">modelling and reporting </w:t>
      </w:r>
      <w:r w:rsidR="0000474C">
        <w:t xml:space="preserve">of potential flood impacts from dam failure stop at </w:t>
      </w:r>
      <w:r w:rsidR="00F26CAB">
        <w:t xml:space="preserve">the </w:t>
      </w:r>
      <w:proofErr w:type="spellStart"/>
      <w:r w:rsidR="0000474C">
        <w:t>Swagup</w:t>
      </w:r>
      <w:proofErr w:type="spellEnd"/>
      <w:r w:rsidR="0000474C">
        <w:t xml:space="preserve"> village on the Sepik River indicate</w:t>
      </w:r>
      <w:r w:rsidR="00792F1E">
        <w:t>d</w:t>
      </w:r>
      <w:r w:rsidR="0000474C">
        <w:t xml:space="preserve"> that, in the worst of the 2024 scenarios, the water level</w:t>
      </w:r>
      <w:r w:rsidR="00B614BE">
        <w:t xml:space="preserve"> </w:t>
      </w:r>
      <w:r w:rsidR="00792F1E">
        <w:t>around</w:t>
      </w:r>
      <w:r w:rsidR="0071066B">
        <w:t xml:space="preserve"> the</w:t>
      </w:r>
      <w:r w:rsidR="00B614BE">
        <w:t xml:space="preserve"> </w:t>
      </w:r>
      <w:proofErr w:type="spellStart"/>
      <w:r w:rsidR="00792F1E">
        <w:t>Swagup</w:t>
      </w:r>
      <w:proofErr w:type="spellEnd"/>
      <w:r w:rsidR="00792F1E">
        <w:t xml:space="preserve"> village </w:t>
      </w:r>
      <w:r w:rsidR="0000474C">
        <w:t>could be over 7</w:t>
      </w:r>
      <w:r w:rsidR="001A4EB2">
        <w:t xml:space="preserve"> </w:t>
      </w:r>
      <w:r w:rsidR="0000474C">
        <w:t>m</w:t>
      </w:r>
      <w:r w:rsidR="0006611F">
        <w:t>etres</w:t>
      </w:r>
      <w:r w:rsidR="0000474C">
        <w:t xml:space="preserve"> above seasonal </w:t>
      </w:r>
      <w:r w:rsidR="08A8A705">
        <w:t>high-water</w:t>
      </w:r>
      <w:r w:rsidR="0000474C">
        <w:t xml:space="preserve"> level. There are many villages downstream from </w:t>
      </w:r>
      <w:proofErr w:type="spellStart"/>
      <w:r w:rsidR="0000474C">
        <w:t>Swagup</w:t>
      </w:r>
      <w:proofErr w:type="spellEnd"/>
      <w:r w:rsidR="0000474C">
        <w:t>, which would presumably also be significantly impacted</w:t>
      </w:r>
      <w:r w:rsidR="00B614BE">
        <w:t>,</w:t>
      </w:r>
      <w:r w:rsidR="0000474C">
        <w:t xml:space="preserve"> but seem to not be considered by this assessment</w:t>
      </w:r>
    </w:p>
    <w:p w14:paraId="5BFB843D" w14:textId="277367EA" w:rsidR="005D6C1E" w:rsidRDefault="001B716E" w:rsidP="0084054D">
      <w:pPr>
        <w:pStyle w:val="OutlineNumbered1"/>
        <w:numPr>
          <w:ilvl w:val="2"/>
          <w:numId w:val="12"/>
        </w:numPr>
        <w:spacing w:before="240" w:after="0" w:line="280" w:lineRule="exact"/>
      </w:pPr>
      <w:r>
        <w:t>t</w:t>
      </w:r>
      <w:r w:rsidR="0000474C">
        <w:t xml:space="preserve">he </w:t>
      </w:r>
      <w:r w:rsidR="00B614BE">
        <w:t xml:space="preserve">potential for evacuation </w:t>
      </w:r>
      <w:r w:rsidR="00017481">
        <w:t>being</w:t>
      </w:r>
      <w:r w:rsidR="00B614BE">
        <w:t xml:space="preserve"> inadequately addressed. The </w:t>
      </w:r>
      <w:r w:rsidR="00E6743D">
        <w:t xml:space="preserve">2024 </w:t>
      </w:r>
      <w:r w:rsidR="4A502FA8">
        <w:t>R</w:t>
      </w:r>
      <w:r w:rsidR="0000474C">
        <w:t xml:space="preserve">eport </w:t>
      </w:r>
      <w:r w:rsidR="00B614BE">
        <w:t>indicates that ensuring downstream risks associated with any dam failure are properly addressed include</w:t>
      </w:r>
      <w:r w:rsidR="00792F1E">
        <w:t>s</w:t>
      </w:r>
      <w:r w:rsidR="00B614BE">
        <w:t xml:space="preserve"> ‘an effective warning and response system </w:t>
      </w:r>
      <w:proofErr w:type="gramStart"/>
      <w:r w:rsidR="00B614BE">
        <w:t>…[</w:t>
      </w:r>
      <w:proofErr w:type="gramEnd"/>
      <w:r w:rsidR="00B614BE">
        <w:t xml:space="preserve">such as] alarm systems and local responses such as evacuation or access to higher ground’. The notifiers explain that </w:t>
      </w:r>
      <w:r w:rsidR="002B7815">
        <w:t>‘</w:t>
      </w:r>
      <w:r w:rsidR="002B7815" w:rsidRPr="002B7815">
        <w:t xml:space="preserve">much of the region next to the </w:t>
      </w:r>
      <w:proofErr w:type="gramStart"/>
      <w:r w:rsidR="002B7815" w:rsidRPr="002B7815">
        <w:t>River</w:t>
      </w:r>
      <w:proofErr w:type="gramEnd"/>
      <w:r w:rsidR="002B7815" w:rsidRPr="002B7815">
        <w:t xml:space="preserve"> is flat, and that the River is in many cases the only source of transport, </w:t>
      </w:r>
      <w:r w:rsidR="002B7815">
        <w:t>[raising important]</w:t>
      </w:r>
      <w:r w:rsidR="002B7815" w:rsidRPr="002B7815">
        <w:t xml:space="preserve"> questions as to how communities will be able to effectively evacuate in the event of a dam break</w:t>
      </w:r>
      <w:r w:rsidR="002B7815">
        <w:t>’</w:t>
      </w:r>
      <w:r w:rsidR="002B7815" w:rsidRPr="002B7815">
        <w:t>.</w:t>
      </w:r>
      <w:r w:rsidR="002B7815">
        <w:t xml:space="preserve"> </w:t>
      </w:r>
    </w:p>
    <w:p w14:paraId="5EB6A34A" w14:textId="155FB71F" w:rsidR="002B7815" w:rsidRPr="002B7815" w:rsidRDefault="005D6C1E" w:rsidP="00DE27E7">
      <w:pPr>
        <w:pStyle w:val="OutlineNumbered1"/>
        <w:numPr>
          <w:ilvl w:val="0"/>
          <w:numId w:val="12"/>
        </w:numPr>
        <w:spacing w:before="240" w:after="0" w:line="280" w:lineRule="exact"/>
        <w:jc w:val="both"/>
      </w:pPr>
      <w:r>
        <w:t xml:space="preserve">The notifiers also noted </w:t>
      </w:r>
      <w:r w:rsidR="00265ACC">
        <w:t xml:space="preserve">that </w:t>
      </w:r>
      <w:r>
        <w:t>a</w:t>
      </w:r>
      <w:r w:rsidR="002B7815">
        <w:t>ll the scenarios in the 2024 Report ‘assume …</w:t>
      </w:r>
      <w:r w:rsidR="002B7815" w:rsidRPr="002B7815">
        <w:t xml:space="preserve"> only water could be released</w:t>
      </w:r>
      <w:r w:rsidR="002B7815">
        <w:t>’, and do not involve calculations of release of any tailings or waste</w:t>
      </w:r>
      <w:r w:rsidR="002F32EC">
        <w:t>,</w:t>
      </w:r>
      <w:r w:rsidR="002B7815">
        <w:t xml:space="preserve"> which would also be stored in the dam.</w:t>
      </w:r>
      <w:r>
        <w:t xml:space="preserve"> The notifiers maintain</w:t>
      </w:r>
      <w:r w:rsidR="6CF3556D">
        <w:t>ed</w:t>
      </w:r>
      <w:r>
        <w:t xml:space="preserve"> their assertion </w:t>
      </w:r>
      <w:r w:rsidR="002F32EC">
        <w:t xml:space="preserve">that </w:t>
      </w:r>
      <w:r>
        <w:t>th</w:t>
      </w:r>
      <w:r w:rsidR="00792F1E">
        <w:t>e 2018</w:t>
      </w:r>
      <w:r>
        <w:t xml:space="preserve"> </w:t>
      </w:r>
      <w:r w:rsidR="0040601C">
        <w:t>analysis</w:t>
      </w:r>
      <w:r w:rsidR="008513C7">
        <w:t xml:space="preserve"> </w:t>
      </w:r>
      <w:r w:rsidR="00792F1E">
        <w:t>– which did include that assessment</w:t>
      </w:r>
      <w:r w:rsidR="008943A4">
        <w:t xml:space="preserve"> – </w:t>
      </w:r>
      <w:r>
        <w:t>is necessary for communities to properly understand the potential risks.</w:t>
      </w:r>
    </w:p>
    <w:p w14:paraId="0C26F687" w14:textId="13433276" w:rsidR="005508E6" w:rsidRDefault="000A0312" w:rsidP="00DE27E7">
      <w:pPr>
        <w:pStyle w:val="OutlineNumbered1"/>
        <w:numPr>
          <w:ilvl w:val="0"/>
          <w:numId w:val="12"/>
        </w:numPr>
        <w:spacing w:before="240" w:after="0" w:line="280" w:lineRule="exact"/>
        <w:jc w:val="both"/>
      </w:pPr>
      <w:r>
        <w:t xml:space="preserve">At the </w:t>
      </w:r>
      <w:r w:rsidR="00293EF8">
        <w:t xml:space="preserve">time of </w:t>
      </w:r>
      <w:r>
        <w:t xml:space="preserve">writing </w:t>
      </w:r>
      <w:r w:rsidR="57CD8762">
        <w:t>th</w:t>
      </w:r>
      <w:r w:rsidR="13D46695">
        <w:t xml:space="preserve">e initial draft of </w:t>
      </w:r>
      <w:r w:rsidR="13D46695" w:rsidRPr="001060E1">
        <w:t>this</w:t>
      </w:r>
      <w:r>
        <w:t xml:space="preserve"> Follow Up </w:t>
      </w:r>
      <w:r w:rsidR="48096663">
        <w:t>S</w:t>
      </w:r>
      <w:r w:rsidR="57CD8762">
        <w:t>tatement</w:t>
      </w:r>
      <w:r>
        <w:t>, t</w:t>
      </w:r>
      <w:r w:rsidR="00ED379C">
        <w:t>he enterprise ha</w:t>
      </w:r>
      <w:r>
        <w:t>d</w:t>
      </w:r>
      <w:r w:rsidR="00ED379C">
        <w:t xml:space="preserve"> </w:t>
      </w:r>
      <w:r w:rsidR="005508E6" w:rsidRPr="006F2AD9">
        <w:t xml:space="preserve">not </w:t>
      </w:r>
      <w:r w:rsidR="005508E6">
        <w:t xml:space="preserve">implemented </w:t>
      </w:r>
      <w:r w:rsidR="009E5669">
        <w:t>t</w:t>
      </w:r>
      <w:r w:rsidR="00D3355E">
        <w:t>h</w:t>
      </w:r>
      <w:r w:rsidR="0056196A">
        <w:t>e</w:t>
      </w:r>
      <w:r w:rsidR="00D3355E">
        <w:t xml:space="preserve"> part of </w:t>
      </w:r>
      <w:r w:rsidR="005508E6">
        <w:t>th</w:t>
      </w:r>
      <w:r w:rsidR="00ED379C">
        <w:t>e</w:t>
      </w:r>
      <w:r w:rsidR="005508E6">
        <w:t xml:space="preserve"> recommendation</w:t>
      </w:r>
      <w:r w:rsidR="00ED379C">
        <w:t xml:space="preserve"> to disseminate the 2018 analysis, which the 2023 </w:t>
      </w:r>
      <w:r w:rsidR="00561263">
        <w:t xml:space="preserve">Final </w:t>
      </w:r>
      <w:r w:rsidR="005D6C1E">
        <w:t xml:space="preserve">Statement indicated </w:t>
      </w:r>
      <w:r w:rsidR="00E61D25">
        <w:t xml:space="preserve">as </w:t>
      </w:r>
      <w:r w:rsidR="00DC36F7">
        <w:t>necessary</w:t>
      </w:r>
      <w:r w:rsidR="005D6C1E">
        <w:t xml:space="preserve"> for consistency with the OECD Guidelines</w:t>
      </w:r>
      <w:r w:rsidR="00ED379C">
        <w:t xml:space="preserve">. The enterprise </w:t>
      </w:r>
      <w:r w:rsidR="005D6C1E">
        <w:t>consider</w:t>
      </w:r>
      <w:r>
        <w:t>ed</w:t>
      </w:r>
      <w:r w:rsidR="00ED379C">
        <w:t xml:space="preserve"> its additional work and dissemination of the 2024 </w:t>
      </w:r>
      <w:r w:rsidR="00ED379C" w:rsidRPr="00463527">
        <w:t>Report</w:t>
      </w:r>
      <w:r w:rsidR="005D6C1E">
        <w:t xml:space="preserve"> ensures that consistency</w:t>
      </w:r>
      <w:r w:rsidR="00997A72">
        <w:t>,</w:t>
      </w:r>
      <w:r w:rsidR="005D6C1E">
        <w:t xml:space="preserve"> and the enterprise asserts that the unrealistic assumptions of the 2018 </w:t>
      </w:r>
      <w:r w:rsidR="005D6C1E" w:rsidRPr="00D31247">
        <w:t>document</w:t>
      </w:r>
      <w:r w:rsidR="00997A72" w:rsidRPr="00D31247">
        <w:t xml:space="preserve"> (see </w:t>
      </w:r>
      <w:r w:rsidR="006F5BFB">
        <w:t xml:space="preserve">paragraph </w:t>
      </w:r>
      <w:r w:rsidR="00997A72" w:rsidRPr="00D31247">
        <w:lastRenderedPageBreak/>
        <w:fldChar w:fldCharType="begin"/>
      </w:r>
      <w:r w:rsidR="00997A72" w:rsidRPr="00D31247">
        <w:instrText xml:space="preserve"> REF _Ref202981879 \r \h </w:instrText>
      </w:r>
      <w:r w:rsidR="008D4AD2" w:rsidRPr="00D31247">
        <w:instrText xml:space="preserve"> \* MERGEFORMAT </w:instrText>
      </w:r>
      <w:r w:rsidR="00997A72" w:rsidRPr="00D31247">
        <w:fldChar w:fldCharType="separate"/>
      </w:r>
      <w:r w:rsidR="003D5B39">
        <w:t>40.1</w:t>
      </w:r>
      <w:r w:rsidR="00997A72" w:rsidRPr="00D31247">
        <w:fldChar w:fldCharType="end"/>
      </w:r>
      <w:r w:rsidR="00997A72" w:rsidRPr="00D31247">
        <w:t xml:space="preserve"> above</w:t>
      </w:r>
      <w:r w:rsidR="00997A72">
        <w:t>) mean that</w:t>
      </w:r>
      <w:r w:rsidR="005D6C1E">
        <w:t xml:space="preserve"> ‘releasing such an analysis would not assist furthering understanding of the potential risks of the Project’.</w:t>
      </w:r>
    </w:p>
    <w:p w14:paraId="414137F2" w14:textId="0973643A" w:rsidR="00F63E34" w:rsidRDefault="00997A72" w:rsidP="0084054D">
      <w:pPr>
        <w:pStyle w:val="OutlineNumbered1"/>
        <w:numPr>
          <w:ilvl w:val="0"/>
          <w:numId w:val="12"/>
        </w:numPr>
        <w:spacing w:before="240" w:after="0" w:line="280" w:lineRule="exact"/>
        <w:jc w:val="both"/>
      </w:pPr>
      <w:r>
        <w:t>In assessing</w:t>
      </w:r>
      <w:r w:rsidR="00DC36F7">
        <w:t xml:space="preserve"> this</w:t>
      </w:r>
      <w:r w:rsidR="009E5669">
        <w:t xml:space="preserve"> part of the</w:t>
      </w:r>
      <w:r w:rsidR="00DC36F7">
        <w:t xml:space="preserve"> recommendation</w:t>
      </w:r>
      <w:r>
        <w:t xml:space="preserve">, </w:t>
      </w:r>
      <w:r w:rsidR="00DC36F7">
        <w:t>t</w:t>
      </w:r>
      <w:r w:rsidR="005D6C1E">
        <w:t xml:space="preserve">he </w:t>
      </w:r>
      <w:r w:rsidR="00C8390D">
        <w:t xml:space="preserve">Independent </w:t>
      </w:r>
      <w:r w:rsidR="00C47BD4">
        <w:t>E</w:t>
      </w:r>
      <w:r w:rsidR="005D6C1E">
        <w:t xml:space="preserve">xaminer </w:t>
      </w:r>
      <w:r w:rsidR="00D75531">
        <w:t xml:space="preserve">makes </w:t>
      </w:r>
      <w:r w:rsidR="005D6C1E">
        <w:t xml:space="preserve">the following </w:t>
      </w:r>
      <w:r w:rsidR="00DC36F7">
        <w:t>points</w:t>
      </w:r>
      <w:r w:rsidR="00904EF5">
        <w:t>:</w:t>
      </w:r>
    </w:p>
    <w:p w14:paraId="17A97D3D" w14:textId="760E584F" w:rsidR="005D6C1E" w:rsidRDefault="005D6C1E" w:rsidP="0084054D">
      <w:pPr>
        <w:pStyle w:val="OutlineNumbered1"/>
        <w:numPr>
          <w:ilvl w:val="1"/>
          <w:numId w:val="12"/>
        </w:numPr>
        <w:spacing w:before="240" w:after="0" w:line="280" w:lineRule="exact"/>
      </w:pPr>
      <w:r>
        <w:t xml:space="preserve">As noted in the </w:t>
      </w:r>
      <w:r w:rsidR="47E1F3D3">
        <w:t xml:space="preserve">2023 </w:t>
      </w:r>
      <w:r>
        <w:t xml:space="preserve">Final Statement, and </w:t>
      </w:r>
      <w:r w:rsidR="0005249B">
        <w:t xml:space="preserve">as </w:t>
      </w:r>
      <w:r>
        <w:t xml:space="preserve">evident in the 2024 </w:t>
      </w:r>
      <w:r w:rsidR="7AC2405D">
        <w:t>Report</w:t>
      </w:r>
      <w:r>
        <w:t xml:space="preserve"> and the enterprise’s other material – the enterprise does not shirk from potential dam failure being a catastrophic and life-threatening event. The enterprise’s material understand</w:t>
      </w:r>
      <w:r w:rsidR="00792F1E">
        <w:t>s</w:t>
      </w:r>
      <w:r>
        <w:t xml:space="preserve"> and engage</w:t>
      </w:r>
      <w:r w:rsidR="00792F1E">
        <w:t>s</w:t>
      </w:r>
      <w:r>
        <w:t xml:space="preserve"> with the significance of that risk. </w:t>
      </w:r>
    </w:p>
    <w:p w14:paraId="15F02684" w14:textId="018ED9C8" w:rsidR="007529DF" w:rsidRDefault="00DC36F7" w:rsidP="00DE27E7">
      <w:pPr>
        <w:pStyle w:val="OutlineNumbered1"/>
        <w:numPr>
          <w:ilvl w:val="0"/>
          <w:numId w:val="12"/>
        </w:numPr>
        <w:spacing w:before="240" w:after="0" w:line="280" w:lineRule="exact"/>
        <w:jc w:val="both"/>
      </w:pPr>
      <w:r>
        <w:t>The 2018</w:t>
      </w:r>
      <w:r w:rsidRPr="00DE5DBD">
        <w:t xml:space="preserve"> analysis</w:t>
      </w:r>
      <w:r>
        <w:t xml:space="preserve"> was provided by the enterprise to </w:t>
      </w:r>
      <w:r w:rsidR="00A34AEE">
        <w:t>relevant P</w:t>
      </w:r>
      <w:r w:rsidR="007D386D">
        <w:t xml:space="preserve">apua </w:t>
      </w:r>
      <w:r w:rsidR="00A34AEE">
        <w:t>N</w:t>
      </w:r>
      <w:r w:rsidR="007D386D">
        <w:t xml:space="preserve">ew </w:t>
      </w:r>
      <w:r w:rsidR="00A34AEE">
        <w:t>G</w:t>
      </w:r>
      <w:r w:rsidR="007D386D">
        <w:t>uinea</w:t>
      </w:r>
      <w:r w:rsidR="00A34AEE">
        <w:t xml:space="preserve"> authorities, along with other materials, as part of the environmental impact assessment process</w:t>
      </w:r>
      <w:r w:rsidR="00C06C82">
        <w:t>,</w:t>
      </w:r>
      <w:r w:rsidR="00A34AEE">
        <w:rPr>
          <w:rStyle w:val="FootnoteReference"/>
        </w:rPr>
        <w:footnoteReference w:id="26"/>
      </w:r>
      <w:r w:rsidR="00A34AEE">
        <w:t xml:space="preserve"> which is still underway. </w:t>
      </w:r>
    </w:p>
    <w:p w14:paraId="159BD693" w14:textId="6158251C" w:rsidR="00A34AEE" w:rsidRDefault="00A34AEE" w:rsidP="00DE27E7">
      <w:pPr>
        <w:pStyle w:val="OutlineNumbered1"/>
        <w:numPr>
          <w:ilvl w:val="0"/>
          <w:numId w:val="12"/>
        </w:numPr>
        <w:spacing w:before="240" w:after="0" w:line="280" w:lineRule="exact"/>
        <w:jc w:val="both"/>
      </w:pPr>
      <w:r>
        <w:t>The notifiers have identified various concerns about potential impacts from dam failure</w:t>
      </w:r>
      <w:r w:rsidR="2866B94D">
        <w:t>,</w:t>
      </w:r>
      <w:r>
        <w:t xml:space="preserve"> which </w:t>
      </w:r>
      <w:r w:rsidR="000A0312">
        <w:t>they consider</w:t>
      </w:r>
      <w:r w:rsidR="00D75531">
        <w:t xml:space="preserve"> </w:t>
      </w:r>
      <w:r w:rsidR="000A0312">
        <w:t>in</w:t>
      </w:r>
      <w:r>
        <w:t xml:space="preserve">adequately addressed by the </w:t>
      </w:r>
      <w:r w:rsidR="00D75531">
        <w:t xml:space="preserve">2024 </w:t>
      </w:r>
      <w:r w:rsidR="00D75531" w:rsidRPr="00463527">
        <w:t>Report</w:t>
      </w:r>
      <w:r>
        <w:t>.</w:t>
      </w:r>
    </w:p>
    <w:p w14:paraId="32FE9913" w14:textId="50D2C964" w:rsidR="00A34AEE" w:rsidRDefault="00A34AEE" w:rsidP="0084054D">
      <w:pPr>
        <w:pStyle w:val="OutlineNumbered1"/>
        <w:numPr>
          <w:ilvl w:val="1"/>
          <w:numId w:val="12"/>
        </w:numPr>
        <w:spacing w:before="240" w:after="0" w:line="280" w:lineRule="exact"/>
      </w:pPr>
      <w:r>
        <w:t>The enterprise</w:t>
      </w:r>
      <w:r w:rsidR="00D73F12">
        <w:t>’s</w:t>
      </w:r>
      <w:r>
        <w:t xml:space="preserve"> </w:t>
      </w:r>
      <w:r w:rsidR="00D75531">
        <w:t xml:space="preserve">submissions </w:t>
      </w:r>
      <w:r>
        <w:t>explained that ‘</w:t>
      </w:r>
      <w:r w:rsidRPr="00463527">
        <w:t>the dam remains in the feasibility stage</w:t>
      </w:r>
      <w:proofErr w:type="gramStart"/>
      <w:r>
        <w:t>…[</w:t>
      </w:r>
      <w:proofErr w:type="gramEnd"/>
      <w:r>
        <w:t>and that] s</w:t>
      </w:r>
      <w:r w:rsidRPr="00463527">
        <w:t>everal key engineering inputs like the dam face profile and safety mitigants remain under consideration</w:t>
      </w:r>
      <w:r>
        <w:t>’.</w:t>
      </w:r>
      <w:r w:rsidR="00D75531">
        <w:t xml:space="preserve"> This suggests very significant factors are still being determined, including questions of how to address community safety.</w:t>
      </w:r>
    </w:p>
    <w:p w14:paraId="41D51109" w14:textId="5B49D4B7" w:rsidR="00A34AEE" w:rsidRDefault="00A34AEE" w:rsidP="0084054D">
      <w:pPr>
        <w:pStyle w:val="OutlineNumbered1"/>
        <w:numPr>
          <w:ilvl w:val="1"/>
          <w:numId w:val="12"/>
        </w:numPr>
        <w:spacing w:before="240" w:after="0" w:line="280" w:lineRule="exact"/>
      </w:pPr>
      <w:r>
        <w:t xml:space="preserve">The </w:t>
      </w:r>
      <w:r w:rsidR="00D302C3">
        <w:t>OECD</w:t>
      </w:r>
      <w:r>
        <w:t xml:space="preserve"> Guidelines’ rationale, </w:t>
      </w:r>
      <w:r w:rsidR="00D302C3">
        <w:t xml:space="preserve">as </w:t>
      </w:r>
      <w:r>
        <w:t>explained in the 2023 Final Statement, remains relevant and applicable</w:t>
      </w:r>
      <w:r w:rsidR="00D302C3">
        <w:t>,</w:t>
      </w:r>
      <w:r>
        <w:t xml:space="preserve"> and so is repeated here:</w:t>
      </w:r>
    </w:p>
    <w:p w14:paraId="3139EC7B" w14:textId="66C5E9B1" w:rsidR="00D75531" w:rsidRPr="00D75531" w:rsidRDefault="00D75531" w:rsidP="00D75531">
      <w:pPr>
        <w:ind w:left="1418"/>
        <w:rPr>
          <w:i/>
          <w:iCs/>
        </w:rPr>
      </w:pPr>
      <w:r w:rsidRPr="00D75531">
        <w:rPr>
          <w:i/>
          <w:iCs/>
        </w:rPr>
        <w:t xml:space="preserve">Information about the activities of enterprises ... and associated environmental impacts is an important vehicle for building confidence with the public. This ... is most effective when information is provided in a transparent manner and when it encourages active consultation with stakeholders such as ... local communities and with the public-at-large </w:t>
      </w:r>
      <w:proofErr w:type="gramStart"/>
      <w:r w:rsidRPr="00D75531">
        <w:rPr>
          <w:i/>
          <w:iCs/>
        </w:rPr>
        <w:t>so as to</w:t>
      </w:r>
      <w:proofErr w:type="gramEnd"/>
      <w:r w:rsidRPr="00D75531">
        <w:rPr>
          <w:i/>
          <w:iCs/>
        </w:rPr>
        <w:t xml:space="preserve"> promote a climate of long-term trust and understanding on environmental issues of mutual interest. Reporting and communication are particularly appropriate where ... at risk environmental assets are at stake.</w:t>
      </w:r>
      <w:r>
        <w:rPr>
          <w:rStyle w:val="FootnoteReference"/>
          <w:i/>
          <w:iCs/>
        </w:rPr>
        <w:footnoteReference w:id="27"/>
      </w:r>
    </w:p>
    <w:p w14:paraId="076DB53A" w14:textId="72BD2E73" w:rsidR="005D6C1E" w:rsidRDefault="00D75531" w:rsidP="0084054D">
      <w:pPr>
        <w:pStyle w:val="OutlineNumbered1"/>
        <w:numPr>
          <w:ilvl w:val="1"/>
          <w:numId w:val="12"/>
        </w:numPr>
        <w:spacing w:before="240" w:after="0" w:line="280" w:lineRule="exact"/>
      </w:pPr>
      <w:r>
        <w:t>Given the life-threatening implications of dam failure (and examples where that has occurred with tailings dams in recent memory)</w:t>
      </w:r>
      <w:r w:rsidR="00FD7AC7">
        <w:t>,</w:t>
      </w:r>
      <w:r>
        <w:t xml:space="preserve"> it is understandable that potentially affected communities </w:t>
      </w:r>
      <w:r w:rsidR="00892175">
        <w:t>may be</w:t>
      </w:r>
      <w:r>
        <w:t xml:space="preserve"> unwilling to rely </w:t>
      </w:r>
      <w:r w:rsidR="00792F1E">
        <w:t xml:space="preserve">on </w:t>
      </w:r>
      <w:r>
        <w:t xml:space="preserve">a company’s assurance of what is (and is not) relevant. </w:t>
      </w:r>
    </w:p>
    <w:p w14:paraId="4F8BD9BD" w14:textId="36076D43" w:rsidR="00D75531" w:rsidRDefault="00D75531" w:rsidP="0084054D">
      <w:pPr>
        <w:pStyle w:val="OutlineNumbered1"/>
        <w:numPr>
          <w:ilvl w:val="1"/>
          <w:numId w:val="12"/>
        </w:numPr>
        <w:spacing w:before="240" w:after="0" w:line="280" w:lineRule="exact"/>
      </w:pPr>
      <w:r>
        <w:t xml:space="preserve">There </w:t>
      </w:r>
      <w:r w:rsidR="00BC57F3">
        <w:t>are</w:t>
      </w:r>
      <w:r>
        <w:t xml:space="preserve"> various ways in which the enterprise could </w:t>
      </w:r>
      <w:r w:rsidR="00BC57F3">
        <w:t>have investigated making the 2018</w:t>
      </w:r>
      <w:r w:rsidR="00ED31EC">
        <w:t> </w:t>
      </w:r>
      <w:r w:rsidR="00BC57F3" w:rsidRPr="00DE5DBD">
        <w:t>analysis</w:t>
      </w:r>
      <w:r>
        <w:t xml:space="preserve"> </w:t>
      </w:r>
      <w:r w:rsidR="00BC57F3">
        <w:t>available to the notifiers or other interested parties</w:t>
      </w:r>
      <w:r w:rsidR="00792F1E">
        <w:t>,</w:t>
      </w:r>
      <w:r w:rsidR="00BC57F3">
        <w:t xml:space="preserve"> while </w:t>
      </w:r>
      <w:r w:rsidR="00792F1E">
        <w:t xml:space="preserve">still </w:t>
      </w:r>
      <w:r w:rsidR="00BC57F3">
        <w:t xml:space="preserve">addressing the concerns </w:t>
      </w:r>
      <w:r w:rsidR="006B4EDD">
        <w:t xml:space="preserve">that </w:t>
      </w:r>
      <w:r w:rsidR="00BC57F3">
        <w:t xml:space="preserve">the enterprise has raised about its relevance. For example, through the confidentiality arrangements of the AusNCP facilitated discussions, or some arrangement of disclosure and explanation to the experts who previously assisted the notifiers. </w:t>
      </w:r>
    </w:p>
    <w:p w14:paraId="0EBC100C" w14:textId="2029DD6C" w:rsidR="00D75531" w:rsidRDefault="00D75531" w:rsidP="004E30A8">
      <w:pPr>
        <w:pStyle w:val="OutlineNumbered1"/>
        <w:numPr>
          <w:ilvl w:val="0"/>
          <w:numId w:val="12"/>
        </w:numPr>
        <w:spacing w:before="240" w:after="0" w:line="280" w:lineRule="exact"/>
        <w:jc w:val="both"/>
      </w:pPr>
      <w:r>
        <w:lastRenderedPageBreak/>
        <w:t xml:space="preserve">The </w:t>
      </w:r>
      <w:r w:rsidR="00BC57F3">
        <w:t>enterprise’s non-dissemination of the 2018 analysis, as recommended in the 2023 Final Statement, remain</w:t>
      </w:r>
      <w:r w:rsidR="000A0312">
        <w:t>ed</w:t>
      </w:r>
      <w:r w:rsidR="00BC57F3">
        <w:t xml:space="preserve"> an inconsistency with the OECD Guidelines. Th</w:t>
      </w:r>
      <w:r w:rsidR="000A0312">
        <w:t>at was</w:t>
      </w:r>
      <w:r w:rsidR="00BC57F3">
        <w:t xml:space="preserve"> only partially rectified by the enterprise’s actions regarding the 2024 </w:t>
      </w:r>
      <w:r w:rsidR="00BC57F3" w:rsidRPr="00463527">
        <w:t>Report</w:t>
      </w:r>
      <w:r w:rsidR="00B255D1">
        <w:t xml:space="preserve">. The notifiers identified </w:t>
      </w:r>
      <w:r w:rsidR="000A0312">
        <w:t>concerns</w:t>
      </w:r>
      <w:r w:rsidR="00B255D1">
        <w:t xml:space="preserve"> in the 2024 </w:t>
      </w:r>
      <w:r w:rsidR="6C9DE399">
        <w:t xml:space="preserve">Report </w:t>
      </w:r>
      <w:r w:rsidR="000A0312">
        <w:t>about the extent of</w:t>
      </w:r>
      <w:r w:rsidR="00BC57F3">
        <w:t xml:space="preserve"> assessment along the Sepik River past </w:t>
      </w:r>
      <w:r w:rsidR="00ED4103">
        <w:t xml:space="preserve">the </w:t>
      </w:r>
      <w:proofErr w:type="spellStart"/>
      <w:r w:rsidR="00BC57F3">
        <w:t>Swagup</w:t>
      </w:r>
      <w:proofErr w:type="spellEnd"/>
      <w:r w:rsidR="00BC57F3">
        <w:t xml:space="preserve"> village, and </w:t>
      </w:r>
      <w:r w:rsidR="00B255D1">
        <w:t xml:space="preserve">its </w:t>
      </w:r>
      <w:r w:rsidR="00BC57F3">
        <w:t>assumptions regarding evacuation options</w:t>
      </w:r>
      <w:r w:rsidR="00B255D1">
        <w:t xml:space="preserve">. </w:t>
      </w:r>
      <w:r w:rsidR="000A0312">
        <w:t>I</w:t>
      </w:r>
      <w:r w:rsidR="00B255D1">
        <w:t xml:space="preserve">t is not evident </w:t>
      </w:r>
      <w:r w:rsidR="0058726E">
        <w:t>that</w:t>
      </w:r>
      <w:r w:rsidR="00B255D1">
        <w:t xml:space="preserve"> the 2024 </w:t>
      </w:r>
      <w:r w:rsidR="6F163FD3">
        <w:t>Report</w:t>
      </w:r>
      <w:r w:rsidR="00B255D1">
        <w:t xml:space="preserve"> (and the enterprise’s action to date) accords with the 2011 </w:t>
      </w:r>
      <w:r w:rsidR="0058726E">
        <w:t xml:space="preserve">OECD </w:t>
      </w:r>
      <w:r w:rsidR="00B255D1">
        <w:t>Guidelines’ expectation to ‘</w:t>
      </w:r>
      <w:r w:rsidR="00B255D1" w:rsidRPr="00B255D1">
        <w:t xml:space="preserve">provide the public </w:t>
      </w:r>
      <w:r w:rsidR="00B255D1">
        <w:t>…</w:t>
      </w:r>
      <w:r w:rsidR="00B255D1" w:rsidRPr="00B255D1">
        <w:t xml:space="preserve"> with adequate, </w:t>
      </w:r>
      <w:r w:rsidR="6F581F4B">
        <w:t>measurable</w:t>
      </w:r>
      <w:r w:rsidR="00B255D1" w:rsidRPr="00B255D1">
        <w:t xml:space="preserve"> and verifiable (where applicable) and timely information on the potential environment, health and safety impacts of the activities of the enterprise</w:t>
      </w:r>
      <w:r w:rsidR="00B255D1">
        <w:t>’</w:t>
      </w:r>
      <w:r w:rsidR="00BC57F3">
        <w:t xml:space="preserve">. </w:t>
      </w:r>
    </w:p>
    <w:p w14:paraId="546BFB62" w14:textId="0EFAC8FA" w:rsidR="0084054D" w:rsidRDefault="00B255D1" w:rsidP="004E30A8">
      <w:pPr>
        <w:pStyle w:val="OutlineNumbered1"/>
        <w:numPr>
          <w:ilvl w:val="0"/>
          <w:numId w:val="12"/>
        </w:numPr>
        <w:spacing w:before="240" w:after="0" w:line="280" w:lineRule="exact"/>
        <w:jc w:val="both"/>
      </w:pPr>
      <w:r>
        <w:t xml:space="preserve">The </w:t>
      </w:r>
      <w:r w:rsidR="00C8390D">
        <w:t xml:space="preserve">Independent </w:t>
      </w:r>
      <w:r w:rsidR="0075063E">
        <w:t xml:space="preserve">Examiner </w:t>
      </w:r>
      <w:r w:rsidR="000A0312">
        <w:t>wa</w:t>
      </w:r>
      <w:r>
        <w:t xml:space="preserve">s </w:t>
      </w:r>
      <w:r w:rsidR="00792F1E">
        <w:t xml:space="preserve">therefore </w:t>
      </w:r>
      <w:r>
        <w:t>not satisfied that the enterprise ha</w:t>
      </w:r>
      <w:r w:rsidR="002C4538">
        <w:t>d</w:t>
      </w:r>
      <w:r>
        <w:t xml:space="preserve"> met this </w:t>
      </w:r>
      <w:r w:rsidR="00F72288">
        <w:t xml:space="preserve">part of the </w:t>
      </w:r>
      <w:r>
        <w:t xml:space="preserve">recommendation. </w:t>
      </w:r>
      <w:r w:rsidR="000A0312">
        <w:t>The enterprise and the notifiers were both provided with a draft of this statement for comment. The enterprise sought an extension to provide comments (which was granted to both parties)</w:t>
      </w:r>
      <w:r w:rsidR="00547C56">
        <w:t>,</w:t>
      </w:r>
      <w:r w:rsidR="000A0312">
        <w:t xml:space="preserve"> and on the last day those comments were due, the enterprise provided the notifiers with the 2018 </w:t>
      </w:r>
      <w:proofErr w:type="gramStart"/>
      <w:r w:rsidR="000A0312">
        <w:t>analysis</w:t>
      </w:r>
      <w:r w:rsidR="00547C56">
        <w:t>,</w:t>
      </w:r>
      <w:r w:rsidR="000A0312">
        <w:t xml:space="preserve"> and</w:t>
      </w:r>
      <w:proofErr w:type="gramEnd"/>
      <w:r w:rsidR="000A0312">
        <w:t xml:space="preserve"> also made that available online. </w:t>
      </w:r>
      <w:r w:rsidR="0084054D">
        <w:t>In assessing this aspect, the Independent Examiner makes the following observations</w:t>
      </w:r>
      <w:r w:rsidR="00547C56">
        <w:t>:</w:t>
      </w:r>
    </w:p>
    <w:p w14:paraId="0FF5121E" w14:textId="79E07857" w:rsidR="0084054D" w:rsidRDefault="000A0312" w:rsidP="0084054D">
      <w:pPr>
        <w:pStyle w:val="OutlineNumbered1"/>
        <w:numPr>
          <w:ilvl w:val="1"/>
          <w:numId w:val="12"/>
        </w:numPr>
        <w:spacing w:before="240" w:after="0" w:line="280" w:lineRule="exact"/>
      </w:pPr>
      <w:r>
        <w:t>The enterprise also suggested various amendments to this statement, based on the content of the 2018 analysis. However</w:t>
      </w:r>
      <w:r w:rsidR="007F2F01">
        <w:t>,</w:t>
      </w:r>
      <w:r>
        <w:t xml:space="preserve"> the choice the enterprise made, in timing when it provided the 2018 analysis</w:t>
      </w:r>
      <w:r w:rsidR="002C24BD">
        <w:t xml:space="preserve"> to the notifiers</w:t>
      </w:r>
      <w:r>
        <w:t xml:space="preserve">, prevented the notifiers from being able to consider and address that in their submissions. </w:t>
      </w:r>
      <w:r w:rsidR="00B255D1">
        <w:t xml:space="preserve"> </w:t>
      </w:r>
    </w:p>
    <w:p w14:paraId="327E2F77" w14:textId="6DE7825C" w:rsidR="0084054D" w:rsidRPr="0084054D" w:rsidRDefault="0084054D" w:rsidP="0084054D">
      <w:pPr>
        <w:pStyle w:val="OutlineNumbered1"/>
        <w:numPr>
          <w:ilvl w:val="1"/>
          <w:numId w:val="12"/>
        </w:numPr>
        <w:spacing w:before="240" w:after="0" w:line="280" w:lineRule="exact"/>
      </w:pPr>
      <w:r>
        <w:t>After the notifiers received the 2018 analysis document, they raised questions about perceived differences in this document to what they understood was the ‘2018 dam break’ report</w:t>
      </w:r>
      <w:r w:rsidR="00301106">
        <w:t>,</w:t>
      </w:r>
      <w:r>
        <w:t xml:space="preserve"> which had </w:t>
      </w:r>
      <w:r w:rsidR="00E25459">
        <w:t xml:space="preserve">previously </w:t>
      </w:r>
      <w:r>
        <w:t>been</w:t>
      </w:r>
      <w:r w:rsidR="001A6FB3">
        <w:t xml:space="preserve"> </w:t>
      </w:r>
      <w:r>
        <w:t xml:space="preserve">provided to the Papua New Guinea Government. The AusNCP facilitated an exchange between the parties about this, so each </w:t>
      </w:r>
      <w:r w:rsidR="00D16B0F">
        <w:t xml:space="preserve">was aware of </w:t>
      </w:r>
      <w:r>
        <w:t>the others’ understanding of this document</w:t>
      </w:r>
      <w:r w:rsidR="002C24BD">
        <w:t xml:space="preserve">. </w:t>
      </w:r>
      <w:proofErr w:type="spellStart"/>
      <w:r w:rsidR="002C24BD">
        <w:t>P</w:t>
      </w:r>
      <w:r>
        <w:t>anAust</w:t>
      </w:r>
      <w:proofErr w:type="spellEnd"/>
      <w:r w:rsidR="002C24BD">
        <w:t xml:space="preserve"> has stated, in writing, that what it</w:t>
      </w:r>
      <w:r>
        <w:t xml:space="preserve"> provided to the n</w:t>
      </w:r>
      <w:r w:rsidRPr="0084054D">
        <w:t>otifiers</w:t>
      </w:r>
      <w:r>
        <w:t xml:space="preserve"> in </w:t>
      </w:r>
      <w:r w:rsidR="002C24BD">
        <w:t xml:space="preserve">September </w:t>
      </w:r>
      <w:r>
        <w:t>2025 was ‘</w:t>
      </w:r>
      <w:r w:rsidRPr="0084054D">
        <w:t>the 2018 dam break analysis</w:t>
      </w:r>
      <w:r w:rsidR="00240006">
        <w:t xml:space="preserve"> … </w:t>
      </w:r>
      <w:r w:rsidRPr="0084054D">
        <w:t xml:space="preserve">the same document which </w:t>
      </w:r>
      <w:proofErr w:type="spellStart"/>
      <w:r w:rsidRPr="0084054D">
        <w:t>PanAust</w:t>
      </w:r>
      <w:proofErr w:type="spellEnd"/>
      <w:r w:rsidRPr="0084054D">
        <w:t xml:space="preserve"> provided to the Government of Papua New Guinea in 2018</w:t>
      </w:r>
      <w:r w:rsidR="007366EF">
        <w:t>.</w:t>
      </w:r>
      <w:r w:rsidRPr="0084054D">
        <w:t xml:space="preserve"> There is no other dam break </w:t>
      </w:r>
      <w:proofErr w:type="gramStart"/>
      <w:r w:rsidRPr="0084054D">
        <w:t>analysis</w:t>
      </w:r>
      <w:r w:rsidR="00EA0A53">
        <w:t>’</w:t>
      </w:r>
      <w:proofErr w:type="gramEnd"/>
      <w:r>
        <w:t xml:space="preserve">. </w:t>
      </w:r>
    </w:p>
    <w:p w14:paraId="0A1815D5" w14:textId="10890572" w:rsidR="0084054D" w:rsidRDefault="0084054D" w:rsidP="0084054D">
      <w:pPr>
        <w:pStyle w:val="OutlineNumbered1"/>
        <w:numPr>
          <w:ilvl w:val="1"/>
          <w:numId w:val="12"/>
        </w:numPr>
        <w:spacing w:before="240" w:after="0" w:line="280" w:lineRule="exact"/>
      </w:pPr>
      <w:r>
        <w:t xml:space="preserve">The Independent Examiner is satisfied </w:t>
      </w:r>
      <w:bookmarkStart w:id="48" w:name="_Hlk214532189"/>
      <w:r>
        <w:t xml:space="preserve">that </w:t>
      </w:r>
      <w:proofErr w:type="spellStart"/>
      <w:r>
        <w:t>PanAust</w:t>
      </w:r>
      <w:proofErr w:type="spellEnd"/>
      <w:r>
        <w:t xml:space="preserve"> </w:t>
      </w:r>
      <w:r w:rsidR="002C24BD">
        <w:t>has met the recommendation (</w:t>
      </w:r>
      <w:r w:rsidR="00892175">
        <w:t>of</w:t>
      </w:r>
      <w:r w:rsidR="002C24BD">
        <w:t xml:space="preserve"> the 2023 </w:t>
      </w:r>
      <w:r w:rsidR="00D22D50">
        <w:t>Final S</w:t>
      </w:r>
      <w:r w:rsidR="002C24BD">
        <w:t xml:space="preserve">tatement) to ‘disseminate [or] </w:t>
      </w:r>
      <w:r w:rsidR="002C24BD" w:rsidRPr="00463527">
        <w:t xml:space="preserve">disclose the dam break analysis to relevant </w:t>
      </w:r>
      <w:proofErr w:type="gramStart"/>
      <w:r w:rsidR="002C24BD" w:rsidRPr="00463527">
        <w:t>communities</w:t>
      </w:r>
      <w:r w:rsidR="002C24BD">
        <w:t>’</w:t>
      </w:r>
      <w:proofErr w:type="gramEnd"/>
      <w:r w:rsidR="002C24BD">
        <w:t xml:space="preserve">. </w:t>
      </w:r>
      <w:bookmarkEnd w:id="48"/>
      <w:r w:rsidR="002C24BD">
        <w:t xml:space="preserve">The 2024 Report (para [40] above) provides some </w:t>
      </w:r>
      <w:r w:rsidR="002C24BD" w:rsidRPr="00463527">
        <w:t xml:space="preserve">supplementary analysis </w:t>
      </w:r>
      <w:r w:rsidR="002C24BD">
        <w:t>of relevant issues.</w:t>
      </w:r>
      <w:r>
        <w:t xml:space="preserve"> </w:t>
      </w:r>
    </w:p>
    <w:p w14:paraId="14828029" w14:textId="41590A83" w:rsidR="00B255D1" w:rsidRDefault="000A0312" w:rsidP="0026569E">
      <w:pPr>
        <w:pStyle w:val="OutlineNumbered1"/>
        <w:numPr>
          <w:ilvl w:val="1"/>
          <w:numId w:val="12"/>
        </w:numPr>
        <w:spacing w:before="240" w:after="0" w:line="280" w:lineRule="exact"/>
      </w:pPr>
      <w:r>
        <w:t>T</w:t>
      </w:r>
      <w:r w:rsidR="00B255D1">
        <w:t>h</w:t>
      </w:r>
      <w:r w:rsidR="00792F1E">
        <w:t xml:space="preserve">e </w:t>
      </w:r>
      <w:proofErr w:type="spellStart"/>
      <w:r w:rsidR="00792F1E">
        <w:t>AusNCP’s</w:t>
      </w:r>
      <w:proofErr w:type="spellEnd"/>
      <w:r w:rsidR="00792F1E">
        <w:t xml:space="preserve"> role will finish </w:t>
      </w:r>
      <w:r w:rsidR="00B255D1">
        <w:t xml:space="preserve">with the publication of this </w:t>
      </w:r>
      <w:r w:rsidR="2EDA8714">
        <w:t>F</w:t>
      </w:r>
      <w:r w:rsidR="00B255D1">
        <w:t>ollow</w:t>
      </w:r>
      <w:r w:rsidR="2373943F">
        <w:t xml:space="preserve"> </w:t>
      </w:r>
      <w:r w:rsidR="410C9F51">
        <w:t>U</w:t>
      </w:r>
      <w:r w:rsidR="00B255D1">
        <w:t xml:space="preserve">p </w:t>
      </w:r>
      <w:r w:rsidR="2DBA5409">
        <w:t>S</w:t>
      </w:r>
      <w:r w:rsidR="00B255D1">
        <w:t xml:space="preserve">tatement, </w:t>
      </w:r>
      <w:r>
        <w:t xml:space="preserve">but </w:t>
      </w:r>
      <w:r w:rsidR="00B255D1">
        <w:t>the AusNCP encourages the enterprise to continue its community engagement and information regarding the dam risks and planning. The 2023 OECD Guidelines</w:t>
      </w:r>
      <w:r w:rsidR="00792F1E">
        <w:t>’</w:t>
      </w:r>
      <w:r w:rsidR="00B255D1">
        <w:t xml:space="preserve"> chapters on disclosure and environment </w:t>
      </w:r>
      <w:r w:rsidR="00792F1E">
        <w:t>are</w:t>
      </w:r>
      <w:r w:rsidR="00B255D1">
        <w:t xml:space="preserve"> relevant measure</w:t>
      </w:r>
      <w:r w:rsidR="00792F1E">
        <w:t>s</w:t>
      </w:r>
      <w:r w:rsidR="00B255D1">
        <w:t xml:space="preserve"> which should inform the enterprise’s future conduct in this regard.</w:t>
      </w:r>
      <w:r w:rsidR="00561263">
        <w:rPr>
          <w:rStyle w:val="FootnoteReference"/>
        </w:rPr>
        <w:footnoteReference w:id="28"/>
      </w:r>
    </w:p>
    <w:p w14:paraId="6649FACC" w14:textId="0A9713B4" w:rsidR="006612FD" w:rsidRPr="00472593" w:rsidRDefault="00B973CD" w:rsidP="005508E6">
      <w:pPr>
        <w:pStyle w:val="Heading3"/>
        <w:spacing w:before="360"/>
        <w:rPr>
          <w:rFonts w:asciiTheme="minorHAnsi" w:hAnsiTheme="minorHAnsi" w:cstheme="minorHAnsi"/>
          <w:color w:val="212121"/>
          <w:sz w:val="27"/>
          <w:szCs w:val="27"/>
        </w:rPr>
      </w:pPr>
      <w:bookmarkStart w:id="49" w:name="_Toc204167780"/>
      <w:bookmarkStart w:id="50" w:name="_Toc216870713"/>
      <w:r w:rsidRPr="00472593">
        <w:rPr>
          <w:rFonts w:asciiTheme="minorHAnsi" w:hAnsiTheme="minorHAnsi" w:cstheme="minorHAnsi"/>
          <w:color w:val="212121"/>
          <w:sz w:val="27"/>
          <w:szCs w:val="27"/>
        </w:rPr>
        <w:t>5.</w:t>
      </w:r>
      <w:r w:rsidR="00ED40B6" w:rsidRPr="00472593">
        <w:rPr>
          <w:rFonts w:asciiTheme="minorHAnsi" w:hAnsiTheme="minorHAnsi" w:cstheme="minorHAnsi"/>
          <w:color w:val="212121"/>
          <w:sz w:val="27"/>
          <w:szCs w:val="27"/>
        </w:rPr>
        <w:t>3</w:t>
      </w:r>
      <w:r w:rsidR="00BB51DE" w:rsidRPr="00472593">
        <w:rPr>
          <w:rFonts w:asciiTheme="minorHAnsi" w:hAnsiTheme="minorHAnsi" w:cstheme="minorHAnsi"/>
          <w:color w:val="212121"/>
          <w:sz w:val="27"/>
          <w:szCs w:val="27"/>
        </w:rPr>
        <w:t xml:space="preserve"> Enterprise’s stakeholder engagement should address </w:t>
      </w:r>
      <w:r w:rsidR="00796ED3" w:rsidRPr="00472593">
        <w:rPr>
          <w:rFonts w:asciiTheme="minorHAnsi" w:hAnsiTheme="minorHAnsi" w:cstheme="minorHAnsi"/>
          <w:color w:val="212121"/>
          <w:sz w:val="27"/>
          <w:szCs w:val="27"/>
        </w:rPr>
        <w:t xml:space="preserve">the </w:t>
      </w:r>
      <w:r w:rsidR="00BB51DE" w:rsidRPr="00472593">
        <w:rPr>
          <w:rFonts w:asciiTheme="minorHAnsi" w:hAnsiTheme="minorHAnsi" w:cstheme="minorHAnsi"/>
          <w:color w:val="212121"/>
          <w:sz w:val="27"/>
          <w:szCs w:val="27"/>
        </w:rPr>
        <w:t>full lifetime of dam</w:t>
      </w:r>
      <w:bookmarkEnd w:id="49"/>
      <w:bookmarkEnd w:id="50"/>
    </w:p>
    <w:p w14:paraId="42593A3A" w14:textId="6800B6B4" w:rsidR="006612FD" w:rsidRDefault="00B255D1" w:rsidP="001C7A1E">
      <w:pPr>
        <w:pStyle w:val="OutlineNumbered1"/>
        <w:numPr>
          <w:ilvl w:val="0"/>
          <w:numId w:val="12"/>
        </w:numPr>
        <w:spacing w:before="240" w:after="0" w:line="280" w:lineRule="exact"/>
        <w:jc w:val="both"/>
      </w:pPr>
      <w:r>
        <w:t xml:space="preserve">The 2023 Final Statement recommended </w:t>
      </w:r>
      <w:r w:rsidR="006612FD">
        <w:t>the company’s future stakeholder engagement in relation to the project should address the full lifetime of the dam and any facilities which are expected to continue even after the enterprise</w:t>
      </w:r>
      <w:r w:rsidR="00F02527">
        <w:t>’s</w:t>
      </w:r>
      <w:r w:rsidR="006612FD">
        <w:t xml:space="preserve"> mine has </w:t>
      </w:r>
      <w:r w:rsidR="003D7942">
        <w:t xml:space="preserve">ceased operating or </w:t>
      </w:r>
      <w:r w:rsidR="00EE01EE">
        <w:t xml:space="preserve">has </w:t>
      </w:r>
      <w:r w:rsidR="003D7942">
        <w:t>closed</w:t>
      </w:r>
      <w:r>
        <w:t>.</w:t>
      </w:r>
    </w:p>
    <w:p w14:paraId="31976D44" w14:textId="059E87C6" w:rsidR="00F63E34" w:rsidRDefault="00B255D1" w:rsidP="00F63E34">
      <w:pPr>
        <w:pStyle w:val="OutlineNumbered1"/>
        <w:numPr>
          <w:ilvl w:val="0"/>
          <w:numId w:val="12"/>
        </w:numPr>
        <w:spacing w:before="240" w:after="0" w:line="280" w:lineRule="exact"/>
        <w:jc w:val="both"/>
      </w:pPr>
      <w:r>
        <w:lastRenderedPageBreak/>
        <w:t xml:space="preserve">The enterprise </w:t>
      </w:r>
      <w:r w:rsidR="00857EC4">
        <w:t>emphasised that the project is premised on the dam continuing for more than 100</w:t>
      </w:r>
      <w:r w:rsidR="00EE01EE">
        <w:t> </w:t>
      </w:r>
      <w:r w:rsidR="00857EC4">
        <w:t>years, to generate hydroelectricity and prevent pollution from the stored tailings. The mine is only expected to exist for 30</w:t>
      </w:r>
      <w:r w:rsidR="00590400">
        <w:t xml:space="preserve"> to </w:t>
      </w:r>
      <w:r w:rsidR="00857EC4">
        <w:t>40 years, and so much of the planning and management will entail approval and involvement of the P</w:t>
      </w:r>
      <w:r w:rsidR="007D386D">
        <w:t xml:space="preserve">apua </w:t>
      </w:r>
      <w:r w:rsidR="00857EC4">
        <w:t>N</w:t>
      </w:r>
      <w:r w:rsidR="007D386D">
        <w:t xml:space="preserve">ew </w:t>
      </w:r>
      <w:r w:rsidR="00857EC4">
        <w:t>G</w:t>
      </w:r>
      <w:r w:rsidR="007D386D">
        <w:t>uinea</w:t>
      </w:r>
      <w:r w:rsidR="00857EC4">
        <w:t xml:space="preserve"> Government. As part of its submissions, the enterprise indicated</w:t>
      </w:r>
      <w:r w:rsidR="00A75451">
        <w:t xml:space="preserve"> that</w:t>
      </w:r>
      <w:r w:rsidR="00857EC4">
        <w:t>:</w:t>
      </w:r>
    </w:p>
    <w:p w14:paraId="203BB310" w14:textId="5B5ED112" w:rsidR="00F63E34" w:rsidRDefault="00857EC4" w:rsidP="00F63E34">
      <w:pPr>
        <w:pStyle w:val="OutlineNumbered1"/>
        <w:numPr>
          <w:ilvl w:val="1"/>
          <w:numId w:val="12"/>
        </w:numPr>
        <w:spacing w:before="240" w:after="0" w:line="280" w:lineRule="exact"/>
        <w:jc w:val="both"/>
      </w:pPr>
      <w:r>
        <w:t>‘</w:t>
      </w:r>
      <w:proofErr w:type="gramStart"/>
      <w:r>
        <w:t>detailed</w:t>
      </w:r>
      <w:proofErr w:type="gramEnd"/>
      <w:r>
        <w:t xml:space="preserve"> plans for post-closure maintenance and monitoring criteria will be developed … to ensure the protection of the environment and communities downstream of the dam in perpetuity. These are likely to include – but not be limited to – ongoing embankment surveillance and continued inspections and monitoring programs … based on ANCOLD and ICOLD guidelines’</w:t>
      </w:r>
    </w:p>
    <w:p w14:paraId="5ECD57EC" w14:textId="22693FA0" w:rsidR="00857EC4" w:rsidRDefault="00857EC4" w:rsidP="00F63E34">
      <w:pPr>
        <w:pStyle w:val="OutlineNumbered1"/>
        <w:numPr>
          <w:ilvl w:val="1"/>
          <w:numId w:val="12"/>
        </w:numPr>
        <w:spacing w:before="240" w:after="0" w:line="280" w:lineRule="exact"/>
        <w:jc w:val="both"/>
      </w:pPr>
      <w:r>
        <w:t>it ‘considers that a fund should be established from the mine proceeds to help pay for post</w:t>
      </w:r>
      <w:r w:rsidR="008A1E08">
        <w:noBreakHyphen/>
      </w:r>
      <w:r w:rsidR="70B585F0">
        <w:t>c</w:t>
      </w:r>
      <w:r>
        <w:t>losure and long-term operational and maintenance costs as well as the dam’s decommissioning’</w:t>
      </w:r>
    </w:p>
    <w:p w14:paraId="33F87F95" w14:textId="23F3DB10" w:rsidR="00857EC4" w:rsidRDefault="00857EC4" w:rsidP="0084054D">
      <w:pPr>
        <w:pStyle w:val="OutlineNumbered1"/>
        <w:numPr>
          <w:ilvl w:val="1"/>
          <w:numId w:val="12"/>
        </w:numPr>
        <w:spacing w:before="240" w:after="0" w:line="280" w:lineRule="exact"/>
        <w:jc w:val="both"/>
      </w:pPr>
      <w:r>
        <w:t>it ‘will continue to provide potentially affected communities with information on the dam, including its risks and management of its full lifetime as they become available’</w:t>
      </w:r>
      <w:r w:rsidR="008A1E08">
        <w:t>,</w:t>
      </w:r>
      <w:r>
        <w:t xml:space="preserve"> and ‘anticipates being </w:t>
      </w:r>
      <w:proofErr w:type="gramStart"/>
      <w:r>
        <w:t>in a position</w:t>
      </w:r>
      <w:proofErr w:type="gramEnd"/>
      <w:r>
        <w:t xml:space="preserve"> to provide more specific information on measures to address the lifetime of the dam during the detailed engineering design phase of the Project. That phase is presently two to three years away’.</w:t>
      </w:r>
    </w:p>
    <w:p w14:paraId="38FFEEEF" w14:textId="2E2BDA38" w:rsidR="00857EC4" w:rsidRDefault="00857EC4" w:rsidP="00442826">
      <w:pPr>
        <w:pStyle w:val="OutlineNumbered1"/>
        <w:numPr>
          <w:ilvl w:val="0"/>
          <w:numId w:val="12"/>
        </w:numPr>
        <w:spacing w:before="240" w:after="0" w:line="280" w:lineRule="exact"/>
        <w:jc w:val="both"/>
      </w:pPr>
      <w:r w:rsidRPr="005508E6">
        <w:t xml:space="preserve">In their submissions for the </w:t>
      </w:r>
      <w:r w:rsidR="00D20B7D">
        <w:t>F</w:t>
      </w:r>
      <w:r w:rsidR="00FF137D">
        <w:t xml:space="preserve">ollow </w:t>
      </w:r>
      <w:r w:rsidR="00D20B7D">
        <w:t>U</w:t>
      </w:r>
      <w:r w:rsidR="00FF137D">
        <w:t>p</w:t>
      </w:r>
      <w:r w:rsidR="00862BD7" w:rsidRPr="0084054D">
        <w:t xml:space="preserve"> </w:t>
      </w:r>
      <w:r w:rsidR="00C63DF3">
        <w:rPr>
          <w:rFonts w:eastAsia="Calibri Light" w:cs="Calibri Light"/>
          <w:color w:val="000000" w:themeColor="text1"/>
          <w:szCs w:val="22"/>
        </w:rPr>
        <w:t>p</w:t>
      </w:r>
      <w:r w:rsidR="09DB3B39" w:rsidRPr="13A34B82">
        <w:rPr>
          <w:rFonts w:eastAsia="Calibri Light" w:cs="Calibri Light"/>
          <w:color w:val="000000" w:themeColor="text1"/>
          <w:szCs w:val="22"/>
        </w:rPr>
        <w:t>rocess</w:t>
      </w:r>
      <w:r w:rsidRPr="005508E6">
        <w:t xml:space="preserve">, the notifiers provided no statement or information </w:t>
      </w:r>
      <w:r>
        <w:t>contrary to the above points</w:t>
      </w:r>
      <w:r w:rsidRPr="005508E6">
        <w:t>.</w:t>
      </w:r>
      <w:r>
        <w:t xml:space="preserve"> </w:t>
      </w:r>
    </w:p>
    <w:p w14:paraId="50F1C255" w14:textId="60339C94" w:rsidR="00857EC4" w:rsidRPr="005508E6" w:rsidRDefault="00857EC4" w:rsidP="00857EC4">
      <w:pPr>
        <w:pStyle w:val="OutlineNumbered1"/>
        <w:numPr>
          <w:ilvl w:val="0"/>
          <w:numId w:val="12"/>
        </w:numPr>
        <w:spacing w:before="240" w:after="0" w:line="280" w:lineRule="exact"/>
        <w:jc w:val="both"/>
      </w:pPr>
      <w:r>
        <w:t xml:space="preserve">The </w:t>
      </w:r>
      <w:r w:rsidR="00AD27DB">
        <w:t xml:space="preserve">Independent </w:t>
      </w:r>
      <w:r w:rsidR="00C47BD4">
        <w:t>E</w:t>
      </w:r>
      <w:r>
        <w:t xml:space="preserve">xaminer is proceeding on the accuracy of the statements the enterprise </w:t>
      </w:r>
      <w:r w:rsidR="00443874">
        <w:t xml:space="preserve">has </w:t>
      </w:r>
      <w:r>
        <w:t xml:space="preserve">made in its submissions </w:t>
      </w:r>
      <w:r w:rsidR="00E31EEE">
        <w:t>(</w:t>
      </w:r>
      <w:r>
        <w:t>which are extracted above</w:t>
      </w:r>
      <w:r w:rsidR="00E31EEE">
        <w:t>)</w:t>
      </w:r>
      <w:r>
        <w:t xml:space="preserve">, and that the enterprise will </w:t>
      </w:r>
      <w:r w:rsidR="00F02527">
        <w:t>ensure these are followed</w:t>
      </w:r>
      <w:r>
        <w:t xml:space="preserve">. </w:t>
      </w:r>
    </w:p>
    <w:p w14:paraId="1BEF1091" w14:textId="11810EE3" w:rsidR="002D5A42" w:rsidRDefault="00857EC4" w:rsidP="00ED40B6">
      <w:pPr>
        <w:pStyle w:val="OutlineNumbered1"/>
        <w:numPr>
          <w:ilvl w:val="0"/>
          <w:numId w:val="12"/>
        </w:numPr>
        <w:spacing w:before="120" w:after="0" w:line="280" w:lineRule="exact"/>
        <w:jc w:val="both"/>
      </w:pPr>
      <w:proofErr w:type="gramStart"/>
      <w:r>
        <w:t>In light of</w:t>
      </w:r>
      <w:proofErr w:type="gramEnd"/>
      <w:r>
        <w:t xml:space="preserve"> the above, t</w:t>
      </w:r>
      <w:r w:rsidRPr="005508E6">
        <w:t xml:space="preserve">he </w:t>
      </w:r>
      <w:r w:rsidR="00AD27DB">
        <w:t xml:space="preserve">Independent </w:t>
      </w:r>
      <w:r w:rsidR="00E2544E">
        <w:t>Examiner</w:t>
      </w:r>
      <w:r w:rsidRPr="005508E6">
        <w:t xml:space="preserve"> is satisfied that the enterprise has </w:t>
      </w:r>
      <w:r>
        <w:t>addressed</w:t>
      </w:r>
      <w:r w:rsidRPr="005508E6">
        <w:t xml:space="preserve"> this </w:t>
      </w:r>
      <w:r w:rsidR="004D5637">
        <w:t xml:space="preserve">part of the </w:t>
      </w:r>
      <w:r w:rsidRPr="005508E6">
        <w:t>recommendation.</w:t>
      </w:r>
    </w:p>
    <w:p w14:paraId="027A391A" w14:textId="1F24D762" w:rsidR="00ED40B6" w:rsidRPr="00472593" w:rsidRDefault="00ED40B6" w:rsidP="00ED40B6">
      <w:pPr>
        <w:pStyle w:val="Heading3"/>
        <w:spacing w:before="360"/>
        <w:rPr>
          <w:rFonts w:asciiTheme="minorHAnsi" w:hAnsiTheme="minorHAnsi" w:cstheme="minorHAnsi"/>
          <w:color w:val="212121"/>
          <w:sz w:val="27"/>
          <w:szCs w:val="27"/>
        </w:rPr>
      </w:pPr>
      <w:bookmarkStart w:id="51" w:name="_Toc216870714"/>
      <w:r w:rsidRPr="00472593">
        <w:rPr>
          <w:rFonts w:asciiTheme="minorHAnsi" w:hAnsiTheme="minorHAnsi" w:cstheme="minorHAnsi"/>
          <w:color w:val="212121"/>
          <w:sz w:val="27"/>
          <w:szCs w:val="27"/>
        </w:rPr>
        <w:t xml:space="preserve">6. </w:t>
      </w:r>
      <w:bookmarkStart w:id="52" w:name="_Toc204167781"/>
      <w:r w:rsidRPr="00472593">
        <w:rPr>
          <w:rFonts w:asciiTheme="minorHAnsi" w:hAnsiTheme="minorHAnsi" w:cstheme="minorHAnsi"/>
          <w:color w:val="212121"/>
          <w:sz w:val="27"/>
          <w:szCs w:val="27"/>
        </w:rPr>
        <w:t>Notifiers ‘meaningful engagement’ with the enterprise</w:t>
      </w:r>
      <w:bookmarkEnd w:id="51"/>
      <w:bookmarkEnd w:id="52"/>
    </w:p>
    <w:p w14:paraId="25ED5185" w14:textId="006D4861" w:rsidR="00ED40B6" w:rsidRDefault="00ED40B6" w:rsidP="00ED40B6">
      <w:pPr>
        <w:pStyle w:val="OutlineNumbered1"/>
        <w:numPr>
          <w:ilvl w:val="0"/>
          <w:numId w:val="12"/>
        </w:numPr>
        <w:spacing w:before="240" w:after="0" w:line="280" w:lineRule="exact"/>
        <w:jc w:val="both"/>
      </w:pPr>
      <w:r>
        <w:t xml:space="preserve">The 2023 Final Statement recommended both parties </w:t>
      </w:r>
      <w:r w:rsidRPr="006612FD">
        <w:t xml:space="preserve">review their interaction and consider the role and use of meaningful engagement per the OECD Guidelines and </w:t>
      </w:r>
      <w:proofErr w:type="spellStart"/>
      <w:r w:rsidRPr="006612FD">
        <w:t>Guidances</w:t>
      </w:r>
      <w:proofErr w:type="spellEnd"/>
      <w:r>
        <w:t xml:space="preserve">. The content and expectations around ‘meaningful engagement’ </w:t>
      </w:r>
      <w:proofErr w:type="gramStart"/>
      <w:r>
        <w:t>are</w:t>
      </w:r>
      <w:proofErr w:type="gramEnd"/>
      <w:r>
        <w:t xml:space="preserve"> explained </w:t>
      </w:r>
      <w:r w:rsidRPr="003E0A08">
        <w:t xml:space="preserve">above (see paragraph </w:t>
      </w:r>
      <w:r w:rsidRPr="003E0A08">
        <w:fldChar w:fldCharType="begin"/>
      </w:r>
      <w:r w:rsidRPr="003E0A08">
        <w:instrText xml:space="preserve"> REF _Ref205975635 \r \h  \* MERGEFORMAT </w:instrText>
      </w:r>
      <w:r w:rsidRPr="003E0A08">
        <w:fldChar w:fldCharType="separate"/>
      </w:r>
      <w:r w:rsidR="003D5B39">
        <w:t>16</w:t>
      </w:r>
      <w:r w:rsidRPr="003E0A08">
        <w:fldChar w:fldCharType="end"/>
      </w:r>
      <w:r w:rsidRPr="003E0A08">
        <w:t>).</w:t>
      </w:r>
    </w:p>
    <w:p w14:paraId="1C5D2234" w14:textId="281FE5F0" w:rsidR="00ED40B6" w:rsidRDefault="00ED40B6" w:rsidP="00ED40B6">
      <w:pPr>
        <w:pStyle w:val="OutlineNumbered1"/>
        <w:numPr>
          <w:ilvl w:val="0"/>
          <w:numId w:val="12"/>
        </w:numPr>
        <w:spacing w:before="240" w:after="0" w:line="280" w:lineRule="exact"/>
        <w:jc w:val="both"/>
      </w:pPr>
      <w:r>
        <w:t xml:space="preserve">The notifiers did not address this in their submissions for </w:t>
      </w:r>
      <w:r w:rsidR="00D20B7D">
        <w:t>F</w:t>
      </w:r>
      <w:r>
        <w:t xml:space="preserve">ollow </w:t>
      </w:r>
      <w:r w:rsidR="00D20B7D">
        <w:t>U</w:t>
      </w:r>
      <w:r>
        <w:t xml:space="preserve">p. However, it </w:t>
      </w:r>
      <w:r w:rsidR="00260BBD">
        <w:t>appears that</w:t>
      </w:r>
      <w:r>
        <w:t xml:space="preserve"> the notifiers have endeavoured to engage with the enterprise, including through the AusNCP facilitated discussions, about which</w:t>
      </w:r>
      <w:r w:rsidR="00AD27DB">
        <w:t xml:space="preserve"> Independent</w:t>
      </w:r>
      <w:r>
        <w:t xml:space="preserve"> Examiner Martin noted she did ‘</w:t>
      </w:r>
      <w:r w:rsidRPr="00B255D1">
        <w:t>not consider any bad faith conduct to have occurred</w:t>
      </w:r>
      <w:r>
        <w:t>’</w:t>
      </w:r>
      <w:r w:rsidRPr="00B255D1">
        <w:t>.</w:t>
      </w:r>
      <w:bookmarkStart w:id="53" w:name="_Ref202982914"/>
    </w:p>
    <w:p w14:paraId="3BF5E8ED" w14:textId="71F822FB" w:rsidR="00ED40B6" w:rsidRDefault="00ED40B6" w:rsidP="00ED40B6">
      <w:pPr>
        <w:pStyle w:val="OutlineNumbered1"/>
        <w:numPr>
          <w:ilvl w:val="0"/>
          <w:numId w:val="12"/>
        </w:numPr>
        <w:spacing w:before="240" w:after="0" w:line="280" w:lineRule="exact"/>
        <w:jc w:val="both"/>
      </w:pPr>
      <w:bookmarkStart w:id="54" w:name="_Ref204164243"/>
      <w:r>
        <w:t xml:space="preserve">The notifiers’ submissions stated that </w:t>
      </w:r>
      <w:r w:rsidRPr="00A103B4">
        <w:t xml:space="preserve">throughout the </w:t>
      </w:r>
      <w:r>
        <w:t>n</w:t>
      </w:r>
      <w:r w:rsidRPr="00A103B4">
        <w:t xml:space="preserve">otifiers’ engagement in the AusNCP process, from December 2021 </w:t>
      </w:r>
      <w:r w:rsidR="00CB2C73">
        <w:t xml:space="preserve">(when the </w:t>
      </w:r>
      <w:r w:rsidR="001E63A3">
        <w:t xml:space="preserve">AusNCP </w:t>
      </w:r>
      <w:r w:rsidR="00CB2C73">
        <w:t xml:space="preserve">complaint was submitted) </w:t>
      </w:r>
      <w:r w:rsidRPr="00A103B4">
        <w:t>to June 2025 (4.5</w:t>
      </w:r>
      <w:r w:rsidR="001E63A3">
        <w:t> </w:t>
      </w:r>
      <w:r w:rsidRPr="00A103B4">
        <w:t xml:space="preserve">years), </w:t>
      </w:r>
      <w:r w:rsidR="00F63541">
        <w:t>they</w:t>
      </w:r>
      <w:r w:rsidRPr="00A103B4">
        <w:t xml:space="preserve"> had no opportunity </w:t>
      </w:r>
      <w:r>
        <w:t>‘</w:t>
      </w:r>
      <w:r w:rsidRPr="00A103B4">
        <w:t xml:space="preserve">to sit in a mediated space with the </w:t>
      </w:r>
      <w:r>
        <w:t>Enterprises’</w:t>
      </w:r>
      <w:r w:rsidRPr="00A103B4">
        <w:t xml:space="preserve"> on an equal playing field, with both parties supported with legal representation</w:t>
      </w:r>
      <w:r>
        <w:t xml:space="preserve">’. This raises a different issue – of equity in the NCP process – </w:t>
      </w:r>
      <w:bookmarkEnd w:id="53"/>
      <w:r>
        <w:t>rather than direct engagement with the enterprise (outside the context of an NCP complaint). Two observations should be made of this</w:t>
      </w:r>
      <w:bookmarkEnd w:id="54"/>
      <w:r w:rsidR="001E63A3">
        <w:t>:</w:t>
      </w:r>
    </w:p>
    <w:p w14:paraId="63F5A33D" w14:textId="34DAC4BF" w:rsidR="00ED40B6" w:rsidRDefault="00ED40B6" w:rsidP="0084054D">
      <w:pPr>
        <w:pStyle w:val="OutlineNumbered1"/>
        <w:numPr>
          <w:ilvl w:val="1"/>
          <w:numId w:val="12"/>
        </w:numPr>
        <w:spacing w:before="240" w:after="0" w:line="280" w:lineRule="exact"/>
        <w:jc w:val="both"/>
      </w:pPr>
      <w:r>
        <w:lastRenderedPageBreak/>
        <w:t xml:space="preserve">The OECD Guidelines – through their implementation procedures </w:t>
      </w:r>
      <w:r w:rsidR="009B2B03">
        <w:t>–</w:t>
      </w:r>
      <w:r>
        <w:t xml:space="preserve"> emphasise the importance of the NCP process b</w:t>
      </w:r>
      <w:r w:rsidRPr="00A05B73">
        <w:t>eing impartial and equitable</w:t>
      </w:r>
      <w:r w:rsidR="009B2B03">
        <w:t>,</w:t>
      </w:r>
      <w:r>
        <w:t xml:space="preserve"> and that NCPs</w:t>
      </w:r>
      <w:r w:rsidRPr="00A05B73">
        <w:t xml:space="preserve"> ‘seek to ensure</w:t>
      </w:r>
      <w:r>
        <w:t xml:space="preserve"> …</w:t>
      </w:r>
      <w:r w:rsidRPr="00A05B73">
        <w:t xml:space="preserve"> that the parties can engage in the process on fair and equitable terms, for example by seeking to ensure that power and resource imbalances do not prevent the parties from effectively engaging in the process’</w:t>
      </w:r>
      <w:r>
        <w:t>.</w:t>
      </w:r>
      <w:r>
        <w:rPr>
          <w:rStyle w:val="FootnoteReference"/>
        </w:rPr>
        <w:footnoteReference w:id="29"/>
      </w:r>
      <w:r>
        <w:t xml:space="preserve"> It is this last point which is the important determinant – enabling parties to effectively engage in the process – and that does not mean an NCP must ensure </w:t>
      </w:r>
      <w:r w:rsidRPr="00A103B4">
        <w:t xml:space="preserve">both parties </w:t>
      </w:r>
      <w:r>
        <w:t xml:space="preserve">are </w:t>
      </w:r>
      <w:r w:rsidRPr="00A103B4">
        <w:t>supported with legal representation</w:t>
      </w:r>
      <w:r>
        <w:t xml:space="preserve">. The NCP system would struggle if that were a requirement which NCPs had to ensure before any engagement. Based on all information available to the </w:t>
      </w:r>
      <w:r w:rsidR="00AD27DB">
        <w:t xml:space="preserve">Independent </w:t>
      </w:r>
      <w:r w:rsidR="008E15E0">
        <w:t>E</w:t>
      </w:r>
      <w:r>
        <w:t xml:space="preserve">xaminer in this case, the </w:t>
      </w:r>
      <w:r w:rsidR="00AD27DB">
        <w:t xml:space="preserve">Independent </w:t>
      </w:r>
      <w:r w:rsidR="008E15E0">
        <w:t>E</w:t>
      </w:r>
      <w:r>
        <w:t xml:space="preserve">xaminer considers that, from the initial complaint and examination, through facilitated discussions and now </w:t>
      </w:r>
      <w:r w:rsidR="00D20B7D">
        <w:t>F</w:t>
      </w:r>
      <w:r>
        <w:t xml:space="preserve">ollow up, the AusNCP has sought to ensure that there were not </w:t>
      </w:r>
      <w:r w:rsidRPr="00A05B73">
        <w:t xml:space="preserve">power and resource imbalances </w:t>
      </w:r>
      <w:r>
        <w:t xml:space="preserve">which </w:t>
      </w:r>
      <w:r w:rsidRPr="00A05B73">
        <w:t>prevent</w:t>
      </w:r>
      <w:r>
        <w:t>ed</w:t>
      </w:r>
      <w:r w:rsidRPr="00A05B73">
        <w:t xml:space="preserve"> the </w:t>
      </w:r>
      <w:r>
        <w:t xml:space="preserve">notifiers from </w:t>
      </w:r>
      <w:r w:rsidRPr="00A05B73">
        <w:t>effectively engaging in the process</w:t>
      </w:r>
      <w:r>
        <w:t>.</w:t>
      </w:r>
    </w:p>
    <w:p w14:paraId="61843E83" w14:textId="21BF60E7" w:rsidR="00ED40B6" w:rsidRDefault="00ED40B6" w:rsidP="0084054D">
      <w:pPr>
        <w:pStyle w:val="OutlineNumbered1"/>
        <w:numPr>
          <w:ilvl w:val="1"/>
          <w:numId w:val="12"/>
        </w:numPr>
        <w:spacing w:before="240" w:after="0" w:line="280" w:lineRule="exact"/>
        <w:jc w:val="both"/>
      </w:pPr>
      <w:r>
        <w:t>The fact that the notifiers had limited opportunity to ‘</w:t>
      </w:r>
      <w:r w:rsidRPr="00A103B4">
        <w:t>to sit in a mediated space with the Enterprises</w:t>
      </w:r>
      <w:r>
        <w:t>’ through the AusNCP processes does not mean the notifiers were unable to meaningfully engage with the enterprise. The enterprise’s submissions indicated various occasions where the notifiers could have availed of further engagement with the enterprise or its subsidiary.</w:t>
      </w:r>
    </w:p>
    <w:p w14:paraId="295F2240" w14:textId="4BA7F746" w:rsidR="00ED40B6" w:rsidRDefault="00ED40B6" w:rsidP="00ED40B6">
      <w:pPr>
        <w:pStyle w:val="OutlineNumbered1"/>
        <w:numPr>
          <w:ilvl w:val="0"/>
          <w:numId w:val="12"/>
        </w:numPr>
        <w:spacing w:before="240" w:after="0" w:line="280" w:lineRule="exact"/>
        <w:jc w:val="both"/>
      </w:pPr>
      <w:r>
        <w:t>In response to the draft Follow Up Statement (including the above paragraphs)</w:t>
      </w:r>
      <w:r w:rsidR="00895D73">
        <w:t>,</w:t>
      </w:r>
      <w:r>
        <w:t xml:space="preserve"> the notifiers stated they ‘are not interested in participating in a stakeholder consultation’, for the following reasons</w:t>
      </w:r>
      <w:r w:rsidR="00895D73">
        <w:t>:</w:t>
      </w:r>
    </w:p>
    <w:p w14:paraId="41B1B1FD" w14:textId="77777777" w:rsidR="00ED40B6" w:rsidRPr="00EA3E0B" w:rsidRDefault="00ED40B6" w:rsidP="00ED40B6">
      <w:pPr>
        <w:ind w:left="1418"/>
      </w:pPr>
      <w:r>
        <w:rPr>
          <w:i/>
          <w:iCs/>
        </w:rPr>
        <w:t>[T]</w:t>
      </w:r>
      <w:proofErr w:type="gramStart"/>
      <w:r w:rsidRPr="002D5A42">
        <w:rPr>
          <w:i/>
          <w:iCs/>
        </w:rPr>
        <w:t>he</w:t>
      </w:r>
      <w:proofErr w:type="gramEnd"/>
      <w:r w:rsidRPr="002D5A42">
        <w:rPr>
          <w:i/>
          <w:iCs/>
        </w:rPr>
        <w:t xml:space="preserve"> position of the Notifiers is that the communities they represent are </w:t>
      </w:r>
      <w:proofErr w:type="spellStart"/>
      <w:r w:rsidRPr="002D5A42">
        <w:rPr>
          <w:i/>
          <w:iCs/>
        </w:rPr>
        <w:t>rightholders</w:t>
      </w:r>
      <w:proofErr w:type="spellEnd"/>
      <w:r w:rsidRPr="002D5A42">
        <w:rPr>
          <w:i/>
          <w:iCs/>
        </w:rPr>
        <w:t>, not stakeholders. Stakeholders have very little rights in being able to influence the decision on whether the mine should go ahead. All communities ‘consulted’ in a stakeholder process could reject the mine, or some of them could, and the Enterprise and the government could still approve the project. This is why the Notifiers are not interested in participating in a stakeholder consultation—it is one without power for the communities who participate. And the Notifiers have no reason to encourage communities sceptical about such participation to do so. This is why the Notifiers did not engage in or encourage participation in this process</w:t>
      </w:r>
      <w:r>
        <w:rPr>
          <w:i/>
          <w:iCs/>
        </w:rPr>
        <w:t>.</w:t>
      </w:r>
    </w:p>
    <w:p w14:paraId="59060E5A" w14:textId="02D16A7E" w:rsidR="00ED40B6" w:rsidRDefault="00ED40B6" w:rsidP="00ED40B6">
      <w:pPr>
        <w:pStyle w:val="OutlineNumbered1"/>
        <w:numPr>
          <w:ilvl w:val="0"/>
          <w:numId w:val="12"/>
        </w:numPr>
        <w:spacing w:before="240" w:after="0" w:line="280" w:lineRule="exact"/>
        <w:jc w:val="both"/>
      </w:pPr>
      <w:r>
        <w:t>The</w:t>
      </w:r>
      <w:r w:rsidR="00AD27DB">
        <w:t xml:space="preserve"> Independent</w:t>
      </w:r>
      <w:r>
        <w:t xml:space="preserve"> </w:t>
      </w:r>
      <w:r w:rsidR="008E15E0">
        <w:t>E</w:t>
      </w:r>
      <w:r>
        <w:t>xaminer makes four observations on this position</w:t>
      </w:r>
      <w:r w:rsidR="00530B6C">
        <w:t>:</w:t>
      </w:r>
    </w:p>
    <w:p w14:paraId="58616B8F" w14:textId="77777777" w:rsidR="00ED40B6" w:rsidRDefault="00ED40B6" w:rsidP="00ED40B6">
      <w:pPr>
        <w:pStyle w:val="OutlineNumbered1"/>
        <w:numPr>
          <w:ilvl w:val="1"/>
          <w:numId w:val="12"/>
        </w:numPr>
        <w:spacing w:before="240" w:after="0" w:line="280" w:lineRule="exact"/>
        <w:jc w:val="both"/>
      </w:pPr>
      <w:r>
        <w:t>A party can be a rights holder and still not be in the position that FPIC is required.</w:t>
      </w:r>
    </w:p>
    <w:p w14:paraId="2C683720" w14:textId="77777777" w:rsidR="00ED40B6" w:rsidRDefault="00ED40B6" w:rsidP="00ED40B6">
      <w:pPr>
        <w:pStyle w:val="OutlineNumbered1"/>
        <w:numPr>
          <w:ilvl w:val="1"/>
          <w:numId w:val="12"/>
        </w:numPr>
        <w:spacing w:before="240" w:after="0" w:line="280" w:lineRule="exact"/>
        <w:jc w:val="both"/>
      </w:pPr>
      <w:r>
        <w:t>Whether FPIC is required (and whether it has been obtained) is determined by the matters explained earlier.</w:t>
      </w:r>
      <w:r>
        <w:rPr>
          <w:rStyle w:val="FootnoteReference"/>
        </w:rPr>
        <w:footnoteReference w:id="30"/>
      </w:r>
    </w:p>
    <w:p w14:paraId="351788DD" w14:textId="77777777" w:rsidR="00ED40B6" w:rsidRDefault="00ED40B6" w:rsidP="00ED40B6">
      <w:pPr>
        <w:pStyle w:val="OutlineNumbered1"/>
        <w:numPr>
          <w:ilvl w:val="1"/>
          <w:numId w:val="12"/>
        </w:numPr>
        <w:spacing w:before="240" w:after="0" w:line="280" w:lineRule="exact"/>
        <w:jc w:val="both"/>
      </w:pPr>
      <w:r>
        <w:t xml:space="preserve">Engagement does not mean that consent is being given. If the </w:t>
      </w:r>
      <w:proofErr w:type="gramStart"/>
      <w:r>
        <w:t>particular proposal</w:t>
      </w:r>
      <w:proofErr w:type="gramEnd"/>
      <w:r>
        <w:t xml:space="preserve"> and the party’s interests are such that FPIC </w:t>
      </w:r>
      <w:r w:rsidRPr="00EA3E0B">
        <w:rPr>
          <w:i/>
          <w:iCs/>
        </w:rPr>
        <w:t>is</w:t>
      </w:r>
      <w:r>
        <w:t xml:space="preserve"> required, then that will need to be obtained and is not simply fulfilled by engagement. </w:t>
      </w:r>
    </w:p>
    <w:p w14:paraId="62EA4FA3" w14:textId="77777777" w:rsidR="00ED40B6" w:rsidRPr="00EA3E0B" w:rsidRDefault="00ED40B6" w:rsidP="00ED40B6">
      <w:pPr>
        <w:pStyle w:val="OutlineNumbered1"/>
        <w:numPr>
          <w:ilvl w:val="1"/>
          <w:numId w:val="12"/>
        </w:numPr>
        <w:spacing w:before="240" w:after="0" w:line="280" w:lineRule="exact"/>
        <w:jc w:val="both"/>
      </w:pPr>
      <w:r>
        <w:lastRenderedPageBreak/>
        <w:t>Deciding not to engage (and encouraging non-engagement) can preclude the understanding of companies and government agencies as to whether and how FPIC might be required.</w:t>
      </w:r>
    </w:p>
    <w:p w14:paraId="2154C28C" w14:textId="1EB3AA4D" w:rsidR="00BB51DE" w:rsidRPr="00C11801" w:rsidRDefault="00ED40B6" w:rsidP="005508E6">
      <w:pPr>
        <w:pStyle w:val="Heading3"/>
        <w:spacing w:before="360"/>
        <w:rPr>
          <w:rFonts w:asciiTheme="minorHAnsi" w:hAnsiTheme="minorHAnsi" w:cstheme="minorHAnsi"/>
          <w:color w:val="212121"/>
          <w:sz w:val="27"/>
          <w:szCs w:val="27"/>
        </w:rPr>
      </w:pPr>
      <w:bookmarkStart w:id="55" w:name="_Toc204167782"/>
      <w:bookmarkStart w:id="56" w:name="_Toc216870715"/>
      <w:r w:rsidRPr="00C11801">
        <w:rPr>
          <w:rFonts w:asciiTheme="minorHAnsi" w:hAnsiTheme="minorHAnsi" w:cstheme="minorHAnsi"/>
          <w:color w:val="212121"/>
          <w:sz w:val="27"/>
          <w:szCs w:val="27"/>
        </w:rPr>
        <w:t>7</w:t>
      </w:r>
      <w:r w:rsidR="00BB51DE" w:rsidRPr="00C11801">
        <w:rPr>
          <w:rFonts w:asciiTheme="minorHAnsi" w:hAnsiTheme="minorHAnsi" w:cstheme="minorHAnsi"/>
          <w:color w:val="212121"/>
          <w:sz w:val="27"/>
          <w:szCs w:val="27"/>
        </w:rPr>
        <w:t xml:space="preserve">. </w:t>
      </w:r>
      <w:r w:rsidR="00D24EDB" w:rsidRPr="00C11801">
        <w:rPr>
          <w:rFonts w:asciiTheme="minorHAnsi" w:hAnsiTheme="minorHAnsi" w:cstheme="minorHAnsi"/>
          <w:color w:val="212121"/>
          <w:sz w:val="27"/>
          <w:szCs w:val="27"/>
        </w:rPr>
        <w:t>S</w:t>
      </w:r>
      <w:r w:rsidR="00BB51DE" w:rsidRPr="00C11801">
        <w:rPr>
          <w:rFonts w:asciiTheme="minorHAnsi" w:hAnsiTheme="minorHAnsi" w:cstheme="minorHAnsi"/>
          <w:color w:val="212121"/>
          <w:sz w:val="27"/>
          <w:szCs w:val="27"/>
        </w:rPr>
        <w:t>ecurity</w:t>
      </w:r>
      <w:r w:rsidR="00D24EDB" w:rsidRPr="00C11801">
        <w:rPr>
          <w:rFonts w:asciiTheme="minorHAnsi" w:hAnsiTheme="minorHAnsi" w:cstheme="minorHAnsi"/>
          <w:color w:val="212121"/>
          <w:sz w:val="27"/>
          <w:szCs w:val="27"/>
        </w:rPr>
        <w:t xml:space="preserve"> and the </w:t>
      </w:r>
      <w:r w:rsidR="00BB51DE" w:rsidRPr="00C11801">
        <w:rPr>
          <w:rFonts w:asciiTheme="minorHAnsi" w:hAnsiTheme="minorHAnsi" w:cstheme="minorHAnsi"/>
          <w:color w:val="212121"/>
          <w:sz w:val="27"/>
          <w:szCs w:val="27"/>
        </w:rPr>
        <w:t>notifier</w:t>
      </w:r>
      <w:r w:rsidR="00D24EDB" w:rsidRPr="00C11801">
        <w:rPr>
          <w:rFonts w:asciiTheme="minorHAnsi" w:hAnsiTheme="minorHAnsi" w:cstheme="minorHAnsi"/>
          <w:color w:val="212121"/>
          <w:sz w:val="27"/>
          <w:szCs w:val="27"/>
        </w:rPr>
        <w:t>’s</w:t>
      </w:r>
      <w:r w:rsidR="00BB51DE" w:rsidRPr="00C11801">
        <w:rPr>
          <w:rFonts w:asciiTheme="minorHAnsi" w:hAnsiTheme="minorHAnsi" w:cstheme="minorHAnsi"/>
          <w:color w:val="212121"/>
          <w:sz w:val="27"/>
          <w:szCs w:val="27"/>
        </w:rPr>
        <w:t xml:space="preserve"> use of 2022 toolkit of Voluntary Principles Initiative</w:t>
      </w:r>
      <w:bookmarkEnd w:id="55"/>
      <w:r w:rsidR="00D8764E" w:rsidRPr="00C11801">
        <w:rPr>
          <w:rFonts w:asciiTheme="minorHAnsi" w:hAnsiTheme="minorHAnsi" w:cstheme="minorHAnsi"/>
          <w:color w:val="212121"/>
          <w:sz w:val="27"/>
          <w:szCs w:val="27"/>
        </w:rPr>
        <w:t xml:space="preserve"> on Security and Human Rights</w:t>
      </w:r>
      <w:bookmarkEnd w:id="56"/>
    </w:p>
    <w:p w14:paraId="6DCF84EE" w14:textId="3A7C894F" w:rsidR="006612FD" w:rsidRDefault="00854DE3" w:rsidP="00442826">
      <w:pPr>
        <w:pStyle w:val="OutlineNumbered1"/>
        <w:numPr>
          <w:ilvl w:val="0"/>
          <w:numId w:val="12"/>
        </w:numPr>
        <w:spacing w:before="240" w:after="0" w:line="280" w:lineRule="exact"/>
        <w:jc w:val="both"/>
      </w:pPr>
      <w:r>
        <w:t xml:space="preserve">The 2023 </w:t>
      </w:r>
      <w:r w:rsidR="122E321C">
        <w:t>Final S</w:t>
      </w:r>
      <w:r>
        <w:t xml:space="preserve">tatement recommended the notifiers – if </w:t>
      </w:r>
      <w:r w:rsidR="006612FD">
        <w:t xml:space="preserve">dealing with the role and use of security, consider and use the 2022 toolkit of </w:t>
      </w:r>
      <w:r w:rsidR="006612FD" w:rsidRPr="0011345A">
        <w:rPr>
          <w:i/>
          <w:iCs/>
        </w:rPr>
        <w:t>Voluntary Principles Initiative</w:t>
      </w:r>
      <w:r w:rsidR="00D8764E" w:rsidRPr="0011345A">
        <w:rPr>
          <w:i/>
          <w:iCs/>
        </w:rPr>
        <w:t xml:space="preserve"> on Security and Human Rights</w:t>
      </w:r>
      <w:r>
        <w:t xml:space="preserve">. The notifiers did not address this in their submissions for </w:t>
      </w:r>
      <w:r w:rsidR="00E90E80">
        <w:t xml:space="preserve">the </w:t>
      </w:r>
      <w:r w:rsidR="00B67B0D">
        <w:t>F</w:t>
      </w:r>
      <w:r w:rsidR="00FF137D">
        <w:t xml:space="preserve">ollow </w:t>
      </w:r>
      <w:r w:rsidR="00E90E80">
        <w:t>U</w:t>
      </w:r>
      <w:r w:rsidR="00FF137D">
        <w:t>p</w:t>
      </w:r>
      <w:r>
        <w:t xml:space="preserve">, but also did not raise any new concerns about </w:t>
      </w:r>
      <w:r w:rsidR="002F714F">
        <w:t xml:space="preserve">the </w:t>
      </w:r>
      <w:r w:rsidR="00F02527">
        <w:t xml:space="preserve">role and use of </w:t>
      </w:r>
      <w:r>
        <w:t>security.</w:t>
      </w:r>
    </w:p>
    <w:p w14:paraId="5AA601AB" w14:textId="1B4E56BF" w:rsidR="00BB51DE" w:rsidRPr="00C11801" w:rsidRDefault="00ED40B6" w:rsidP="005508E6">
      <w:pPr>
        <w:pStyle w:val="Heading3"/>
        <w:spacing w:before="360"/>
        <w:rPr>
          <w:rFonts w:asciiTheme="minorHAnsi" w:hAnsiTheme="minorHAnsi" w:cstheme="minorHAnsi"/>
          <w:color w:val="212121"/>
          <w:sz w:val="27"/>
          <w:szCs w:val="27"/>
        </w:rPr>
      </w:pPr>
      <w:bookmarkStart w:id="57" w:name="_Toc204167783"/>
      <w:bookmarkStart w:id="58" w:name="_Toc216870716"/>
      <w:r w:rsidRPr="00C11801">
        <w:rPr>
          <w:rFonts w:asciiTheme="minorHAnsi" w:hAnsiTheme="minorHAnsi" w:cstheme="minorHAnsi"/>
          <w:color w:val="212121"/>
          <w:sz w:val="27"/>
          <w:szCs w:val="27"/>
        </w:rPr>
        <w:t>8</w:t>
      </w:r>
      <w:r w:rsidR="00BB51DE" w:rsidRPr="00C11801">
        <w:rPr>
          <w:rFonts w:asciiTheme="minorHAnsi" w:hAnsiTheme="minorHAnsi" w:cstheme="minorHAnsi"/>
          <w:color w:val="212121"/>
          <w:sz w:val="27"/>
          <w:szCs w:val="27"/>
        </w:rPr>
        <w:t>. Notif</w:t>
      </w:r>
      <w:r w:rsidR="00997A72" w:rsidRPr="00C11801">
        <w:rPr>
          <w:rFonts w:asciiTheme="minorHAnsi" w:hAnsiTheme="minorHAnsi" w:cstheme="minorHAnsi"/>
          <w:color w:val="212121"/>
          <w:sz w:val="27"/>
          <w:szCs w:val="27"/>
        </w:rPr>
        <w:t>i</w:t>
      </w:r>
      <w:r w:rsidR="00BB51DE" w:rsidRPr="00C11801">
        <w:rPr>
          <w:rFonts w:asciiTheme="minorHAnsi" w:hAnsiTheme="minorHAnsi" w:cstheme="minorHAnsi"/>
          <w:color w:val="212121"/>
          <w:sz w:val="27"/>
          <w:szCs w:val="27"/>
        </w:rPr>
        <w:t>er’s assessment and use of enterprise grievance mechanism</w:t>
      </w:r>
      <w:bookmarkEnd w:id="57"/>
      <w:bookmarkEnd w:id="58"/>
    </w:p>
    <w:p w14:paraId="60BAA642" w14:textId="1A588553" w:rsidR="006612FD" w:rsidRPr="00104D3B" w:rsidRDefault="00854DE3" w:rsidP="00442826">
      <w:pPr>
        <w:pStyle w:val="OutlineNumbered1"/>
        <w:numPr>
          <w:ilvl w:val="0"/>
          <w:numId w:val="12"/>
        </w:numPr>
        <w:spacing w:before="240" w:after="0" w:line="280" w:lineRule="exact"/>
        <w:jc w:val="both"/>
      </w:pPr>
      <w:r>
        <w:t xml:space="preserve">The 2023 </w:t>
      </w:r>
      <w:r w:rsidR="3B91823E">
        <w:t>Final S</w:t>
      </w:r>
      <w:r>
        <w:t xml:space="preserve">tatement recommended the notifiers </w:t>
      </w:r>
      <w:r w:rsidR="006612FD">
        <w:t xml:space="preserve">consider using the </w:t>
      </w:r>
      <w:r>
        <w:t xml:space="preserve">enterprise’s </w:t>
      </w:r>
      <w:r w:rsidR="006612FD">
        <w:t>grievance mechanism.</w:t>
      </w:r>
      <w:r w:rsidR="00193FCE">
        <w:t xml:space="preserve"> </w:t>
      </w:r>
      <w:r>
        <w:t xml:space="preserve">The notifiers did not address this in their submissions for </w:t>
      </w:r>
      <w:r w:rsidR="00E90E80">
        <w:t>F</w:t>
      </w:r>
      <w:r w:rsidR="004F3F06">
        <w:t xml:space="preserve">ollow </w:t>
      </w:r>
      <w:r w:rsidR="00E90E80">
        <w:t>U</w:t>
      </w:r>
      <w:r w:rsidR="004F3F06">
        <w:t>p</w:t>
      </w:r>
      <w:r>
        <w:t xml:space="preserve">, and so the </w:t>
      </w:r>
      <w:r w:rsidR="00AD27DB">
        <w:t xml:space="preserve">Independent </w:t>
      </w:r>
      <w:r w:rsidR="008E15E0">
        <w:t>E</w:t>
      </w:r>
      <w:r>
        <w:t>xaminer makes no further observation on this.</w:t>
      </w:r>
    </w:p>
    <w:p w14:paraId="5F9A5DDC" w14:textId="28B23B95" w:rsidR="002F6BE1" w:rsidRPr="00DB06B4" w:rsidRDefault="00BB51DE" w:rsidP="001C7A1E">
      <w:pPr>
        <w:pStyle w:val="Heading2"/>
        <w:spacing w:before="240" w:after="0"/>
        <w:rPr>
          <w:b/>
          <w:bCs/>
          <w:color w:val="2C384A"/>
        </w:rPr>
      </w:pPr>
      <w:bookmarkStart w:id="59" w:name="_Toc204167784"/>
      <w:bookmarkStart w:id="60" w:name="_Toc216870717"/>
      <w:r w:rsidRPr="00DB06B4">
        <w:rPr>
          <w:b/>
          <w:bCs/>
          <w:color w:val="2C384A"/>
        </w:rPr>
        <w:t>Conclusion</w:t>
      </w:r>
      <w:bookmarkEnd w:id="59"/>
      <w:bookmarkEnd w:id="60"/>
    </w:p>
    <w:p w14:paraId="643BA806" w14:textId="7426DADF" w:rsidR="00854DE3" w:rsidRDefault="00854DE3" w:rsidP="004E30A8">
      <w:pPr>
        <w:pStyle w:val="OutlineNumbered1"/>
        <w:numPr>
          <w:ilvl w:val="0"/>
          <w:numId w:val="12"/>
        </w:numPr>
        <w:spacing w:before="240" w:after="0" w:line="280" w:lineRule="exact"/>
        <w:jc w:val="both"/>
      </w:pPr>
      <w:r>
        <w:t>A draft of this</w:t>
      </w:r>
      <w:r w:rsidR="3B1073D2">
        <w:t xml:space="preserve"> </w:t>
      </w:r>
      <w:r w:rsidR="50DED38D">
        <w:t>Follow</w:t>
      </w:r>
      <w:r w:rsidR="470758AD">
        <w:t xml:space="preserve"> </w:t>
      </w:r>
      <w:r w:rsidR="50DED38D">
        <w:t xml:space="preserve">Up </w:t>
      </w:r>
      <w:r w:rsidR="66E7ACB4">
        <w:t>S</w:t>
      </w:r>
      <w:r>
        <w:t xml:space="preserve">tatement was provided, for comment, to the </w:t>
      </w:r>
      <w:proofErr w:type="spellStart"/>
      <w:r>
        <w:t>AusNCP</w:t>
      </w:r>
      <w:r w:rsidR="00E7638D">
        <w:t>’</w:t>
      </w:r>
      <w:r>
        <w:t>s</w:t>
      </w:r>
      <w:proofErr w:type="spellEnd"/>
      <w:r>
        <w:t xml:space="preserve"> Governance and Advisory Board</w:t>
      </w:r>
      <w:r w:rsidR="002F472C">
        <w:t xml:space="preserve"> (AusNCP Board)</w:t>
      </w:r>
      <w:r w:rsidR="00E7638D">
        <w:t>,</w:t>
      </w:r>
      <w:r>
        <w:t xml:space="preserve"> and then to the parties. The parties were also provided with a copy of </w:t>
      </w:r>
      <w:r w:rsidR="000344D6">
        <w:t>each</w:t>
      </w:r>
      <w:r>
        <w:t xml:space="preserve"> other</w:t>
      </w:r>
      <w:r w:rsidR="000344D6">
        <w:t>’s</w:t>
      </w:r>
      <w:r>
        <w:t xml:space="preserve"> submissions. All comments were considered by the </w:t>
      </w:r>
      <w:r w:rsidR="00AD27DB">
        <w:t xml:space="preserve">Independent </w:t>
      </w:r>
      <w:r w:rsidR="00EC3B34">
        <w:t>E</w:t>
      </w:r>
      <w:r>
        <w:t>xaminer in finalising this statement, with decision</w:t>
      </w:r>
      <w:r w:rsidR="00A25F0B">
        <w:t>s</w:t>
      </w:r>
      <w:r>
        <w:t xml:space="preserve"> remaining the </w:t>
      </w:r>
      <w:r w:rsidR="00AD27DB">
        <w:t xml:space="preserve">Independent </w:t>
      </w:r>
      <w:r w:rsidR="00EC3B34">
        <w:t>E</w:t>
      </w:r>
      <w:r>
        <w:t>xaminer</w:t>
      </w:r>
      <w:r w:rsidR="00F22C70">
        <w:t>’</w:t>
      </w:r>
      <w:r>
        <w:t>s responsibility.</w:t>
      </w:r>
      <w:r w:rsidR="00F02527">
        <w:rPr>
          <w:rStyle w:val="FootnoteReference"/>
        </w:rPr>
        <w:footnoteReference w:id="31"/>
      </w:r>
    </w:p>
    <w:p w14:paraId="44C8A193" w14:textId="7DAE5299" w:rsidR="00C63DF3" w:rsidRDefault="00B15743" w:rsidP="00C63DF3">
      <w:pPr>
        <w:pStyle w:val="OutlineNumbered1"/>
        <w:numPr>
          <w:ilvl w:val="0"/>
          <w:numId w:val="12"/>
        </w:numPr>
        <w:spacing w:before="240" w:after="0" w:line="280" w:lineRule="exact"/>
        <w:jc w:val="both"/>
      </w:pPr>
      <w:r>
        <w:t>In accordance with its procedures, t</w:t>
      </w:r>
      <w:r w:rsidR="00854DE3">
        <w:t xml:space="preserve">he AusNCP will </w:t>
      </w:r>
      <w:r w:rsidR="003A314C" w:rsidRPr="001060E1">
        <w:t xml:space="preserve">provide a published copy of </w:t>
      </w:r>
      <w:r w:rsidR="00F264FB" w:rsidRPr="00F264FB">
        <w:t>this statement to the notifiers, the enterprise</w:t>
      </w:r>
      <w:r w:rsidR="00D90818">
        <w:t xml:space="preserve">, </w:t>
      </w:r>
      <w:r w:rsidR="00F264FB" w:rsidRPr="00F264FB">
        <w:t>members of the AusNCP Board</w:t>
      </w:r>
      <w:r w:rsidR="00BA232E" w:rsidRPr="001060E1">
        <w:t>,</w:t>
      </w:r>
      <w:r w:rsidR="00D90818">
        <w:t xml:space="preserve"> and relevant government agencies (</w:t>
      </w:r>
      <w:r w:rsidR="00F264FB" w:rsidRPr="00F264FB">
        <w:t>which</w:t>
      </w:r>
      <w:r w:rsidR="00D90818">
        <w:t>, in this case, should include</w:t>
      </w:r>
      <w:r w:rsidR="00F264FB" w:rsidRPr="00F264FB">
        <w:t xml:space="preserve"> the Department of Industry, Science and Resources; the Australian Trade and Investment Commission</w:t>
      </w:r>
      <w:r w:rsidR="003A314C" w:rsidRPr="001060E1">
        <w:t>; and the Department of Foreign Affairs and Trade</w:t>
      </w:r>
      <w:r w:rsidR="00D90818">
        <w:t>).</w:t>
      </w:r>
      <w:r w:rsidR="00D90818">
        <w:rPr>
          <w:rStyle w:val="FootnoteReference"/>
        </w:rPr>
        <w:footnoteReference w:id="32"/>
      </w:r>
      <w:r w:rsidR="003A314C" w:rsidRPr="001060E1">
        <w:t xml:space="preserve"> The notifiers had requested the Independent Examiner draw instances of inappropriate conduct to the attention of other government agencies (including but not limited to </w:t>
      </w:r>
      <w:r w:rsidR="00D90818" w:rsidRPr="00B15743">
        <w:t>the Department of Foreign Affairs and Trade</w:t>
      </w:r>
      <w:r w:rsidR="00D90818" w:rsidRPr="00193FCE">
        <w:t>).</w:t>
      </w:r>
      <w:r w:rsidR="00F264FB" w:rsidRPr="00F264FB">
        <w:t xml:space="preserve"> The Independent Examiner considers </w:t>
      </w:r>
      <w:r w:rsidR="003968FE" w:rsidRPr="001060E1">
        <w:t xml:space="preserve">that, in this instance, </w:t>
      </w:r>
      <w:r w:rsidR="003A314C" w:rsidRPr="001060E1">
        <w:t>the publication of this Follow Up Statement under the usual AusNCP procedures, and the analysis in this statement</w:t>
      </w:r>
      <w:r w:rsidR="00553FB4" w:rsidRPr="001060E1">
        <w:t xml:space="preserve">, is </w:t>
      </w:r>
      <w:r w:rsidR="003A314C" w:rsidRPr="001060E1">
        <w:t>sufficient, and no further observations are necessary on either parties’ conduct.</w:t>
      </w:r>
    </w:p>
    <w:p w14:paraId="48BD642D" w14:textId="015280AE" w:rsidR="00C63DF3" w:rsidRDefault="00C63DF3" w:rsidP="00C63DF3">
      <w:pPr>
        <w:pStyle w:val="OutlineNumbered1"/>
        <w:numPr>
          <w:ilvl w:val="0"/>
          <w:numId w:val="12"/>
        </w:numPr>
        <w:spacing w:before="240" w:after="0" w:line="280" w:lineRule="exact"/>
        <w:jc w:val="both"/>
      </w:pPr>
      <w:r>
        <w:t xml:space="preserve">The publication of this Follow Up Statement concludes the </w:t>
      </w:r>
      <w:proofErr w:type="spellStart"/>
      <w:r>
        <w:t>AusNCP’s</w:t>
      </w:r>
      <w:proofErr w:type="spellEnd"/>
      <w:r>
        <w:t xml:space="preserve"> processing of this complaint.</w:t>
      </w:r>
    </w:p>
    <w:p w14:paraId="1A9D36D2" w14:textId="77777777" w:rsidR="00E92AF3" w:rsidRDefault="00E92AF3" w:rsidP="00D6558A">
      <w:pPr>
        <w:spacing w:after="0"/>
        <w:rPr>
          <w:b/>
          <w:bCs/>
        </w:rPr>
      </w:pPr>
    </w:p>
    <w:p w14:paraId="5D6E1EBB" w14:textId="7EF1BAEE" w:rsidR="00D6558A" w:rsidRPr="00104D3B" w:rsidRDefault="00D6558A" w:rsidP="00D6558A">
      <w:pPr>
        <w:spacing w:after="0"/>
        <w:rPr>
          <w:b/>
          <w:bCs/>
        </w:rPr>
      </w:pPr>
      <w:r w:rsidRPr="00104D3B">
        <w:rPr>
          <w:b/>
          <w:bCs/>
        </w:rPr>
        <w:t>John Southalan</w:t>
      </w:r>
    </w:p>
    <w:p w14:paraId="189E15B0" w14:textId="261AD671" w:rsidR="003F17E9" w:rsidRDefault="00D6558A" w:rsidP="00E92AF3">
      <w:pPr>
        <w:pStyle w:val="OutlineNumbered1"/>
        <w:numPr>
          <w:ilvl w:val="0"/>
          <w:numId w:val="0"/>
        </w:numPr>
        <w:spacing w:before="120" w:after="0"/>
      </w:pPr>
      <w:r w:rsidRPr="00104D3B">
        <w:t>Independent</w:t>
      </w:r>
      <w:r>
        <w:t xml:space="preserve"> </w:t>
      </w:r>
      <w:r w:rsidRPr="00104D3B">
        <w:t>Examiner</w:t>
      </w:r>
      <w:r w:rsidRPr="00104D3B">
        <w:br/>
        <w:t>Australian National Contact Point for Responsible Business Conduct</w:t>
      </w:r>
      <w:r w:rsidRPr="00104D3B">
        <w:br/>
        <w:t>Email: john.southalan@ausncp.gov.au</w:t>
      </w:r>
    </w:p>
    <w:sectPr w:rsidR="003F17E9">
      <w:footerReference w:type="default" r:id="rId17"/>
      <w:pgSz w:w="11906" w:h="16838" w:code="9"/>
      <w:pgMar w:top="184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C4872" w14:textId="77777777" w:rsidR="003A4449" w:rsidRDefault="003A4449" w:rsidP="00A57280">
      <w:pPr>
        <w:spacing w:before="0" w:after="0"/>
      </w:pPr>
      <w:r>
        <w:separator/>
      </w:r>
    </w:p>
  </w:endnote>
  <w:endnote w:type="continuationSeparator" w:id="0">
    <w:p w14:paraId="6AF2638F" w14:textId="77777777" w:rsidR="003A4449" w:rsidRDefault="003A4449" w:rsidP="00A57280">
      <w:pPr>
        <w:spacing w:before="0" w:after="0"/>
      </w:pPr>
      <w:r>
        <w:continuationSeparator/>
      </w:r>
    </w:p>
  </w:endnote>
  <w:endnote w:type="continuationNotice" w:id="1">
    <w:p w14:paraId="57DFC27D" w14:textId="77777777" w:rsidR="003A4449" w:rsidRDefault="003A444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C0776" w14:textId="2AD345A3" w:rsidR="00A57280" w:rsidRPr="00F73CEC" w:rsidRDefault="00A57280">
    <w:pPr>
      <w:pStyle w:val="FooterEven"/>
      <w:jc w:val="both"/>
    </w:pPr>
    <w:r w:rsidRPr="00814D5D">
      <w:rPr>
        <w:noProof w:val="0"/>
        <w:color w:val="2C384A"/>
      </w:rPr>
      <w:fldChar w:fldCharType="begin"/>
    </w:r>
    <w:r w:rsidRPr="00814D5D">
      <w:rPr>
        <w:noProof w:val="0"/>
        <w:color w:val="2C384A"/>
      </w:rPr>
      <w:instrText xml:space="preserve"> PAGE  \* Arabic  \* MERGEFORMAT </w:instrText>
    </w:r>
    <w:r w:rsidRPr="00814D5D">
      <w:rPr>
        <w:noProof w:val="0"/>
        <w:color w:val="2C384A"/>
      </w:rPr>
      <w:fldChar w:fldCharType="separate"/>
    </w:r>
    <w:r w:rsidRPr="00814D5D">
      <w:rPr>
        <w:color w:val="2C384A"/>
      </w:rPr>
      <w:t>3</w:t>
    </w:r>
    <w:r w:rsidRPr="00814D5D">
      <w:rPr>
        <w:noProof w:val="0"/>
        <w:color w:val="2C384A"/>
      </w:rPr>
      <w:fldChar w:fldCharType="end"/>
    </w:r>
    <w:r>
      <w:tab/>
    </w:r>
    <w:r w:rsidRPr="00103F3C">
      <w:rPr>
        <w:position w:val="-8"/>
      </w:rPr>
      <w:drawing>
        <wp:inline distT="0" distB="0" distL="0" distR="0" wp14:anchorId="566F55BA" wp14:editId="2EE8AE92">
          <wp:extent cx="1210963" cy="201295"/>
          <wp:effectExtent l="0" t="0" r="8255" b="8255"/>
          <wp:docPr id="1320909742" name="Picture 1320909742" descr="ausncp.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386420" name="Picture 495386420" descr="ausncp.gov.au"/>
                  <pic:cNvPicPr/>
                </pic:nvPicPr>
                <pic:blipFill rotWithShape="1">
                  <a:blip r:embed="rId1">
                    <a:extLst>
                      <a:ext uri="{28A0092B-C50C-407E-A947-70E740481C1C}">
                        <a14:useLocalDpi xmlns:a14="http://schemas.microsoft.com/office/drawing/2010/main" val="0"/>
                      </a:ext>
                    </a:extLst>
                  </a:blip>
                  <a:srcRect r="7671"/>
                  <a:stretch/>
                </pic:blipFill>
                <pic:spPr bwMode="auto">
                  <a:xfrm>
                    <a:off x="0" y="0"/>
                    <a:ext cx="1212798" cy="201600"/>
                  </a:xfrm>
                  <a:prstGeom prst="rect">
                    <a:avLst/>
                  </a:prstGeom>
                  <a:ln>
                    <a:noFill/>
                  </a:ln>
                  <a:extLst>
                    <a:ext uri="{53640926-AAD7-44D8-BBD7-CCE9431645EC}">
                      <a14:shadowObscured xmlns:a14="http://schemas.microsoft.com/office/drawing/2010/main"/>
                    </a:ext>
                  </a:extLst>
                </pic:spPr>
              </pic:pic>
            </a:graphicData>
          </a:graphic>
        </wp:inline>
      </w:drawing>
    </w:r>
  </w:p>
  <w:p w14:paraId="35F713A2" w14:textId="77777777" w:rsidR="00A57280" w:rsidRDefault="00A57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E71D" w14:textId="5877CD2D" w:rsidR="00731938" w:rsidRPr="00F73CEC" w:rsidRDefault="008674C1">
    <w:pPr>
      <w:pStyle w:val="FooterEven"/>
      <w:jc w:val="both"/>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1A3967">
      <w:fldChar w:fldCharType="begin"/>
    </w:r>
    <w:r w:rsidR="001A3967">
      <w:instrText>STYLEREF  "Heading 1"  \* MERGEFORMAT</w:instrText>
    </w:r>
    <w:r w:rsidR="001A3967">
      <w:fldChar w:fldCharType="end"/>
    </w:r>
    <w:r>
      <w:tab/>
    </w:r>
    <w:r w:rsidRPr="00103F3C">
      <w:rPr>
        <w:position w:val="-8"/>
      </w:rPr>
      <w:drawing>
        <wp:inline distT="0" distB="0" distL="0" distR="0" wp14:anchorId="7F7FB4B1" wp14:editId="43371D7F">
          <wp:extent cx="1210963" cy="201295"/>
          <wp:effectExtent l="0" t="0" r="8255" b="8255"/>
          <wp:docPr id="385780394" name="Picture 385780394" descr="ausncp.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606622" name="Picture 656606622" descr="ausncp.gov.au"/>
                  <pic:cNvPicPr/>
                </pic:nvPicPr>
                <pic:blipFill rotWithShape="1">
                  <a:blip r:embed="rId1">
                    <a:extLst>
                      <a:ext uri="{28A0092B-C50C-407E-A947-70E740481C1C}">
                        <a14:useLocalDpi xmlns:a14="http://schemas.microsoft.com/office/drawing/2010/main" val="0"/>
                      </a:ext>
                    </a:extLst>
                  </a:blip>
                  <a:srcRect r="7671"/>
                  <a:stretch/>
                </pic:blipFill>
                <pic:spPr bwMode="auto">
                  <a:xfrm>
                    <a:off x="0" y="0"/>
                    <a:ext cx="1212798" cy="201600"/>
                  </a:xfrm>
                  <a:prstGeom prst="rect">
                    <a:avLst/>
                  </a:prstGeom>
                  <a:ln>
                    <a:noFill/>
                  </a:ln>
                  <a:extLst>
                    <a:ext uri="{53640926-AAD7-44D8-BBD7-CCE9431645EC}">
                      <a14:shadowObscured xmlns:a14="http://schemas.microsoft.com/office/drawing/2010/main"/>
                    </a:ext>
                  </a:extLst>
                </pic:spPr>
              </pic:pic>
            </a:graphicData>
          </a:graphic>
        </wp:inline>
      </w:drawing>
    </w:r>
  </w:p>
  <w:p w14:paraId="1FEA3EA5" w14:textId="77777777" w:rsidR="00731938" w:rsidRDefault="00731938"/>
  <w:p w14:paraId="78720433" w14:textId="77777777" w:rsidR="00731938" w:rsidRDefault="00731938"/>
  <w:p w14:paraId="49180493" w14:textId="77777777" w:rsidR="00731938" w:rsidRDefault="00731938"/>
  <w:p w14:paraId="3974528B" w14:textId="77777777" w:rsidR="00731938" w:rsidRDefault="00731938"/>
  <w:p w14:paraId="3E8F81DA" w14:textId="77777777" w:rsidR="00731938" w:rsidRDefault="00731938"/>
  <w:p w14:paraId="22755C7E" w14:textId="77777777" w:rsidR="00731938" w:rsidRDefault="00731938"/>
  <w:p w14:paraId="0B6A0E84" w14:textId="77777777" w:rsidR="00731938" w:rsidRDefault="0073193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2007" w14:textId="13CD5E67" w:rsidR="00814D5D" w:rsidRPr="00F73CEC" w:rsidRDefault="00814D5D">
    <w:pPr>
      <w:pStyle w:val="FooterEven"/>
      <w:jc w:val="both"/>
    </w:pPr>
    <w:r w:rsidRPr="00814D5D">
      <w:rPr>
        <w:noProof w:val="0"/>
        <w:color w:val="2C384A"/>
      </w:rPr>
      <w:fldChar w:fldCharType="begin"/>
    </w:r>
    <w:r w:rsidRPr="00814D5D">
      <w:rPr>
        <w:noProof w:val="0"/>
        <w:color w:val="2C384A"/>
      </w:rPr>
      <w:instrText xml:space="preserve"> PAGE  \* Arabic  \* MERGEFORMAT </w:instrText>
    </w:r>
    <w:r w:rsidRPr="00814D5D">
      <w:rPr>
        <w:noProof w:val="0"/>
        <w:color w:val="2C384A"/>
      </w:rPr>
      <w:fldChar w:fldCharType="separate"/>
    </w:r>
    <w:r w:rsidRPr="00814D5D">
      <w:rPr>
        <w:color w:val="2C384A"/>
      </w:rPr>
      <w:t>3</w:t>
    </w:r>
    <w:r w:rsidRPr="00814D5D">
      <w:rPr>
        <w:noProof w:val="0"/>
        <w:color w:val="2C384A"/>
      </w:rPr>
      <w:fldChar w:fldCharType="end"/>
    </w:r>
    <w:r w:rsidRPr="00814D5D">
      <w:rPr>
        <w:color w:val="2C384A"/>
      </w:rPr>
      <w:t xml:space="preserve"> </w:t>
    </w:r>
    <w:r w:rsidRPr="00814D5D">
      <w:rPr>
        <w:color w:val="2C384A"/>
      </w:rPr>
      <w:fldChar w:fldCharType="begin"/>
    </w:r>
    <w:r w:rsidRPr="00814D5D">
      <w:rPr>
        <w:color w:val="2C384A"/>
      </w:rPr>
      <w:instrText>STYLEREF  "Heading 1"  \* MERGEFORMAT</w:instrText>
    </w:r>
    <w:r w:rsidRPr="00814D5D">
      <w:rPr>
        <w:color w:val="2C384A"/>
      </w:rPr>
      <w:fldChar w:fldCharType="end"/>
    </w:r>
    <w:r>
      <w:tab/>
    </w:r>
    <w:r w:rsidRPr="00103F3C">
      <w:rPr>
        <w:position w:val="-8"/>
      </w:rPr>
      <w:drawing>
        <wp:inline distT="0" distB="0" distL="0" distR="0" wp14:anchorId="009E38CC" wp14:editId="50F58C6D">
          <wp:extent cx="1210963" cy="201295"/>
          <wp:effectExtent l="0" t="0" r="8255" b="8255"/>
          <wp:docPr id="1535604535" name="Picture 1535604535" descr="ausncp.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386420" name="Picture 495386420" descr="ausncp.gov.au"/>
                  <pic:cNvPicPr/>
                </pic:nvPicPr>
                <pic:blipFill rotWithShape="1">
                  <a:blip r:embed="rId1">
                    <a:extLst>
                      <a:ext uri="{28A0092B-C50C-407E-A947-70E740481C1C}">
                        <a14:useLocalDpi xmlns:a14="http://schemas.microsoft.com/office/drawing/2010/main" val="0"/>
                      </a:ext>
                    </a:extLst>
                  </a:blip>
                  <a:srcRect r="7671"/>
                  <a:stretch/>
                </pic:blipFill>
                <pic:spPr bwMode="auto">
                  <a:xfrm>
                    <a:off x="0" y="0"/>
                    <a:ext cx="1212798" cy="201600"/>
                  </a:xfrm>
                  <a:prstGeom prst="rect">
                    <a:avLst/>
                  </a:prstGeom>
                  <a:ln>
                    <a:noFill/>
                  </a:ln>
                  <a:extLst>
                    <a:ext uri="{53640926-AAD7-44D8-BBD7-CCE9431645EC}">
                      <a14:shadowObscured xmlns:a14="http://schemas.microsoft.com/office/drawing/2010/main"/>
                    </a:ext>
                  </a:extLst>
                </pic:spPr>
              </pic:pic>
            </a:graphicData>
          </a:graphic>
        </wp:inline>
      </w:drawing>
    </w:r>
  </w:p>
  <w:p w14:paraId="47E3937F" w14:textId="77777777" w:rsidR="00814D5D" w:rsidRDefault="00814D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ABC13" w14:textId="77777777" w:rsidR="00731938" w:rsidRPr="00095D88" w:rsidRDefault="0073193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6754F" w14:textId="4A0A135E" w:rsidR="00814D5D" w:rsidRPr="00F73CEC" w:rsidRDefault="00814D5D">
    <w:pPr>
      <w:pStyle w:val="FooterEven"/>
      <w:jc w:val="both"/>
    </w:pPr>
    <w:r w:rsidRPr="00814D5D">
      <w:rPr>
        <w:noProof w:val="0"/>
        <w:color w:val="2C384A"/>
      </w:rPr>
      <w:fldChar w:fldCharType="begin"/>
    </w:r>
    <w:r w:rsidRPr="00814D5D">
      <w:rPr>
        <w:noProof w:val="0"/>
        <w:color w:val="2C384A"/>
      </w:rPr>
      <w:instrText xml:space="preserve"> PAGE  \* Arabic  \* MERGEFORMAT </w:instrText>
    </w:r>
    <w:r w:rsidRPr="00814D5D">
      <w:rPr>
        <w:noProof w:val="0"/>
        <w:color w:val="2C384A"/>
      </w:rPr>
      <w:fldChar w:fldCharType="separate"/>
    </w:r>
    <w:r w:rsidRPr="00814D5D">
      <w:rPr>
        <w:color w:val="2C384A"/>
      </w:rPr>
      <w:t>3</w:t>
    </w:r>
    <w:r w:rsidRPr="00814D5D">
      <w:rPr>
        <w:noProof w:val="0"/>
        <w:color w:val="2C384A"/>
      </w:rPr>
      <w:fldChar w:fldCharType="end"/>
    </w:r>
    <w:r w:rsidRPr="00814D5D">
      <w:rPr>
        <w:color w:val="2C384A"/>
      </w:rPr>
      <w:t xml:space="preserve"> | </w:t>
    </w:r>
    <w:r w:rsidRPr="00814D5D">
      <w:rPr>
        <w:color w:val="2C384A"/>
      </w:rPr>
      <w:fldChar w:fldCharType="begin"/>
    </w:r>
    <w:r w:rsidRPr="00814D5D">
      <w:rPr>
        <w:color w:val="2C384A"/>
      </w:rPr>
      <w:instrText>STYLEREF  "Heading 1"  \* MERGEFORMAT</w:instrText>
    </w:r>
    <w:r w:rsidRPr="00814D5D">
      <w:rPr>
        <w:color w:val="2C384A"/>
      </w:rPr>
      <w:fldChar w:fldCharType="separate"/>
    </w:r>
    <w:r w:rsidR="000E34B6">
      <w:rPr>
        <w:color w:val="2C384A"/>
      </w:rPr>
      <w:t>Follow Up Statement</w:t>
    </w:r>
    <w:r w:rsidRPr="00814D5D">
      <w:rPr>
        <w:color w:val="2C384A"/>
      </w:rPr>
      <w:fldChar w:fldCharType="end"/>
    </w:r>
    <w:r>
      <w:tab/>
    </w:r>
    <w:r w:rsidRPr="00103F3C">
      <w:rPr>
        <w:position w:val="-8"/>
      </w:rPr>
      <w:drawing>
        <wp:inline distT="0" distB="0" distL="0" distR="0" wp14:anchorId="0036FACB" wp14:editId="583FE828">
          <wp:extent cx="1210963" cy="201295"/>
          <wp:effectExtent l="0" t="0" r="8255" b="8255"/>
          <wp:docPr id="1753217743" name="Picture 1753217743" descr="ausncp.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386420" name="Picture 495386420" descr="ausncp.gov.au"/>
                  <pic:cNvPicPr/>
                </pic:nvPicPr>
                <pic:blipFill rotWithShape="1">
                  <a:blip r:embed="rId1">
                    <a:extLst>
                      <a:ext uri="{28A0092B-C50C-407E-A947-70E740481C1C}">
                        <a14:useLocalDpi xmlns:a14="http://schemas.microsoft.com/office/drawing/2010/main" val="0"/>
                      </a:ext>
                    </a:extLst>
                  </a:blip>
                  <a:srcRect r="7671"/>
                  <a:stretch/>
                </pic:blipFill>
                <pic:spPr bwMode="auto">
                  <a:xfrm>
                    <a:off x="0" y="0"/>
                    <a:ext cx="1212798" cy="201600"/>
                  </a:xfrm>
                  <a:prstGeom prst="rect">
                    <a:avLst/>
                  </a:prstGeom>
                  <a:ln>
                    <a:noFill/>
                  </a:ln>
                  <a:extLst>
                    <a:ext uri="{53640926-AAD7-44D8-BBD7-CCE9431645EC}">
                      <a14:shadowObscured xmlns:a14="http://schemas.microsoft.com/office/drawing/2010/main"/>
                    </a:ext>
                  </a:extLst>
                </pic:spPr>
              </pic:pic>
            </a:graphicData>
          </a:graphic>
        </wp:inline>
      </w:drawing>
    </w:r>
  </w:p>
  <w:p w14:paraId="485F045B" w14:textId="77777777" w:rsidR="00814D5D" w:rsidRDefault="00814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000AE" w14:textId="77777777" w:rsidR="003A4449" w:rsidRDefault="003A4449" w:rsidP="00A57280">
      <w:pPr>
        <w:spacing w:before="0" w:after="0"/>
      </w:pPr>
      <w:r>
        <w:separator/>
      </w:r>
    </w:p>
  </w:footnote>
  <w:footnote w:type="continuationSeparator" w:id="0">
    <w:p w14:paraId="75E6D30C" w14:textId="77777777" w:rsidR="003A4449" w:rsidRDefault="003A4449" w:rsidP="00A57280">
      <w:pPr>
        <w:spacing w:before="0" w:after="0"/>
      </w:pPr>
      <w:r>
        <w:continuationSeparator/>
      </w:r>
    </w:p>
  </w:footnote>
  <w:footnote w:type="continuationNotice" w:id="1">
    <w:p w14:paraId="07521527" w14:textId="77777777" w:rsidR="003A4449" w:rsidRDefault="003A4449">
      <w:pPr>
        <w:spacing w:before="0" w:after="0"/>
      </w:pPr>
    </w:p>
  </w:footnote>
  <w:footnote w:id="2">
    <w:p w14:paraId="1E73D641" w14:textId="763A607E" w:rsidR="001827ED" w:rsidRPr="000B5435" w:rsidRDefault="001827ED" w:rsidP="0084054D">
      <w:pPr>
        <w:pStyle w:val="FootnoteText"/>
        <w:ind w:left="102" w:hanging="102"/>
        <w:rPr>
          <w:sz w:val="18"/>
          <w:szCs w:val="18"/>
        </w:rPr>
      </w:pPr>
      <w:r w:rsidRPr="000B5435">
        <w:rPr>
          <w:rStyle w:val="FootnoteReference"/>
          <w:szCs w:val="18"/>
        </w:rPr>
        <w:footnoteRef/>
      </w:r>
      <w:r w:rsidRPr="000B5435">
        <w:rPr>
          <w:sz w:val="18"/>
          <w:szCs w:val="18"/>
        </w:rPr>
        <w:t xml:space="preserve"> </w:t>
      </w:r>
      <w:r w:rsidRPr="000B5435">
        <w:rPr>
          <w:sz w:val="18"/>
          <w:szCs w:val="18"/>
        </w:rPr>
        <w:fldChar w:fldCharType="begin"/>
      </w:r>
      <w:r w:rsidRPr="000B5435">
        <w:rPr>
          <w:sz w:val="18"/>
          <w:szCs w:val="18"/>
        </w:rPr>
        <w:instrText xml:space="preserve"> ADDIN EN.CITE &lt;EndNote&gt;&lt;Cite&gt;&lt;Author&gt;AusNCP&lt;/Author&gt;&lt;Year&gt;2023&lt;/Year&gt;&lt;RecNum&gt;12382&lt;/RecNum&gt;&lt;DisplayText&gt;Independent Examiner &lt;style face="italic"&gt;Complaint submitted by Project Sepik and Jubilee Australia Research Centre on behalf of affected Sepik River communities against PanAust Limited&lt;/style&gt; (3 October 2023) Australian National Contact Point for Responsible Business Conduct, Department of Treasury&lt;/DisplayText&gt;&lt;record&gt;&lt;rec-number&gt;12382&lt;/rec-number&gt;&lt;foreign-keys&gt;&lt;key app="EN" db-id="a0sp9ezptped50e00ropxrznw5fstp9ppz55" timestamp="1724232314" guid="a3cced6a-21f8-4742-b23e-3a2cf98353ae"&gt;12382&lt;/key&gt;&lt;/foreign-keys&gt;&lt;ref-type name="Government Document"&gt;46&lt;/ref-type&gt;&lt;contributors&gt;&lt;authors&gt;&lt;author&gt;AusNCP&lt;/author&gt;&lt;/authors&gt;&lt;secondary-authors&gt;&lt;author&gt;Independent Examiner,&lt;/author&gt;&lt;/secondary-authors&gt;&lt;/contributors&gt;&lt;titles&gt;&lt;title&gt;Complaint submitted by Project Sepik and Jubilee Australia Research Centre on behalf of affected Sepik River communities against PanAust Limited&lt;/title&gt;&lt;secondary-title&gt;Final Statement&lt;/secondary-title&gt;&lt;/titles&gt;&lt;dates&gt;&lt;year&gt;2023&lt;/year&gt;&lt;pub-dates&gt;&lt;date&gt;3 October 2023&lt;/date&gt;&lt;/pub-dates&gt;&lt;/dates&gt;&lt;pub-location&gt;Canberra&lt;/pub-location&gt;&lt;publisher&gt;Australian National Contact Point for Responsible Business Conduct, Department of Treasury&lt;/publisher&gt;&lt;urls&gt;&lt;related-urls&gt;&lt;url&gt;https://ausncp.gov.au/complaints/complaint-29&lt;/url&gt;&lt;/related-urls&gt;&lt;/urls&gt;&lt;access-date&gt;5 Oct 2023&lt;/access-date&gt;&lt;/record&gt;&lt;/Cite&gt;&lt;/EndNote&gt;</w:instrText>
      </w:r>
      <w:r w:rsidRPr="000B5435">
        <w:rPr>
          <w:sz w:val="18"/>
          <w:szCs w:val="18"/>
        </w:rPr>
        <w:fldChar w:fldCharType="separate"/>
      </w:r>
      <w:r w:rsidRPr="000B5435">
        <w:rPr>
          <w:noProof/>
          <w:sz w:val="18"/>
          <w:szCs w:val="18"/>
        </w:rPr>
        <w:t xml:space="preserve">Independent Examiner, </w:t>
      </w:r>
      <w:r w:rsidRPr="000B5435">
        <w:rPr>
          <w:i/>
          <w:noProof/>
          <w:sz w:val="18"/>
          <w:szCs w:val="18"/>
        </w:rPr>
        <w:t>Complaint submitted by Project Sepik and Jubilee Australia Research Centre on behalf of affected Sepik River communities against PanAust Limited</w:t>
      </w:r>
      <w:r w:rsidRPr="000B5435">
        <w:rPr>
          <w:noProof/>
          <w:sz w:val="18"/>
          <w:szCs w:val="18"/>
        </w:rPr>
        <w:t xml:space="preserve"> (3 October 2023), Australian National Contact Point for Responsible Business Conduct, Department of Treasury</w:t>
      </w:r>
      <w:r w:rsidRPr="000B5435">
        <w:rPr>
          <w:sz w:val="18"/>
          <w:szCs w:val="18"/>
        </w:rPr>
        <w:fldChar w:fldCharType="end"/>
      </w:r>
      <w:r w:rsidRPr="000B5435">
        <w:rPr>
          <w:sz w:val="18"/>
          <w:szCs w:val="18"/>
        </w:rPr>
        <w:t xml:space="preserve"> (Final Statement).</w:t>
      </w:r>
    </w:p>
  </w:footnote>
  <w:footnote w:id="3">
    <w:p w14:paraId="5EBFD0F0" w14:textId="56A99F30" w:rsidR="00A26D1C" w:rsidRPr="000B5435" w:rsidRDefault="00A26D1C" w:rsidP="00F27CDF">
      <w:pPr>
        <w:pStyle w:val="FootnoteText"/>
        <w:ind w:left="142" w:hanging="142"/>
        <w:rPr>
          <w:sz w:val="18"/>
          <w:szCs w:val="18"/>
        </w:rPr>
      </w:pPr>
      <w:r w:rsidRPr="000B5435">
        <w:rPr>
          <w:rStyle w:val="FootnoteReference"/>
          <w:szCs w:val="18"/>
        </w:rPr>
        <w:footnoteRef/>
      </w:r>
      <w:r w:rsidRPr="000B5435">
        <w:rPr>
          <w:sz w:val="18"/>
          <w:szCs w:val="18"/>
        </w:rPr>
        <w:t xml:space="preserve"> Contained in paragraphs [119]-[121] of the Final Statement.</w:t>
      </w:r>
    </w:p>
  </w:footnote>
  <w:footnote w:id="4">
    <w:p w14:paraId="16B85961" w14:textId="2D5349B2" w:rsidR="002208EB" w:rsidRPr="000B5435" w:rsidRDefault="002208EB" w:rsidP="0084054D">
      <w:pPr>
        <w:pStyle w:val="FootnoteText"/>
        <w:ind w:left="102" w:hanging="102"/>
        <w:rPr>
          <w:sz w:val="18"/>
          <w:szCs w:val="18"/>
          <w:lang w:val="en-US"/>
        </w:rPr>
      </w:pPr>
      <w:r w:rsidRPr="000B5435">
        <w:rPr>
          <w:rStyle w:val="FootnoteReference"/>
          <w:szCs w:val="18"/>
        </w:rPr>
        <w:footnoteRef/>
      </w:r>
      <w:r w:rsidRPr="000B5435">
        <w:rPr>
          <w:sz w:val="18"/>
          <w:szCs w:val="18"/>
        </w:rPr>
        <w:t xml:space="preserve"> </w:t>
      </w:r>
      <w:r w:rsidR="0011345A" w:rsidRPr="000B5435">
        <w:rPr>
          <w:sz w:val="18"/>
          <w:szCs w:val="18"/>
        </w:rPr>
        <w:t xml:space="preserve">Geneva Centre for Security and Governance et al., 2022, </w:t>
      </w:r>
      <w:r w:rsidR="0011345A" w:rsidRPr="000B5435">
        <w:rPr>
          <w:i/>
          <w:iCs/>
          <w:sz w:val="18"/>
          <w:szCs w:val="18"/>
        </w:rPr>
        <w:t>Addressing Security and Human Rights Challenges in Complex Environments</w:t>
      </w:r>
      <w:r w:rsidR="0011345A" w:rsidRPr="000B5435">
        <w:rPr>
          <w:sz w:val="18"/>
          <w:szCs w:val="18"/>
        </w:rPr>
        <w:t>, International Committee of the Red Cross, Geneva Center for Business and Human Rights, accessed 14 August 2025, https://www.voluntaryprinciples.org/resource/addressing-challenges-in-complex-environments-toolkit/.</w:t>
      </w:r>
    </w:p>
  </w:footnote>
  <w:footnote w:id="5">
    <w:p w14:paraId="4B0A98AA" w14:textId="0EE0440E" w:rsidR="008B7564" w:rsidRPr="000B5435" w:rsidRDefault="008B7564" w:rsidP="00F27CDF">
      <w:pPr>
        <w:pStyle w:val="FootnoteText"/>
        <w:ind w:left="142" w:hanging="142"/>
        <w:rPr>
          <w:sz w:val="18"/>
          <w:szCs w:val="18"/>
        </w:rPr>
      </w:pPr>
      <w:r w:rsidRPr="000B5435">
        <w:rPr>
          <w:rStyle w:val="FootnoteReference"/>
          <w:szCs w:val="18"/>
        </w:rPr>
        <w:footnoteRef/>
      </w:r>
      <w:r w:rsidRPr="000B5435">
        <w:rPr>
          <w:sz w:val="18"/>
          <w:szCs w:val="18"/>
        </w:rPr>
        <w:t xml:space="preserve"> OECD Guidelines, </w:t>
      </w:r>
      <w:r w:rsidRPr="000B5435">
        <w:rPr>
          <w:i/>
          <w:iCs/>
          <w:sz w:val="18"/>
          <w:szCs w:val="18"/>
        </w:rPr>
        <w:t>Implementation Procedures</w:t>
      </w:r>
      <w:r w:rsidRPr="000B5435">
        <w:rPr>
          <w:sz w:val="18"/>
          <w:szCs w:val="18"/>
        </w:rPr>
        <w:t xml:space="preserve"> I C [5].</w:t>
      </w:r>
    </w:p>
  </w:footnote>
  <w:footnote w:id="6">
    <w:p w14:paraId="08D85AEA" w14:textId="12853B9D" w:rsidR="00E84F16" w:rsidRPr="000B5435" w:rsidRDefault="00E84F16" w:rsidP="00F27CDF">
      <w:pPr>
        <w:pStyle w:val="FootnoteText"/>
        <w:ind w:left="142" w:hanging="142"/>
        <w:rPr>
          <w:sz w:val="18"/>
          <w:szCs w:val="18"/>
        </w:rPr>
      </w:pPr>
      <w:r w:rsidRPr="000B5435">
        <w:rPr>
          <w:rStyle w:val="FootnoteReference"/>
          <w:szCs w:val="18"/>
        </w:rPr>
        <w:footnoteRef/>
      </w:r>
      <w:r w:rsidRPr="000B5435">
        <w:rPr>
          <w:sz w:val="18"/>
          <w:szCs w:val="18"/>
        </w:rPr>
        <w:t xml:space="preserve"> OECD Guidelines, </w:t>
      </w:r>
      <w:r w:rsidRPr="000B5435">
        <w:rPr>
          <w:i/>
          <w:iCs/>
          <w:sz w:val="18"/>
          <w:szCs w:val="18"/>
        </w:rPr>
        <w:t>Implementation Procedures</w:t>
      </w:r>
      <w:r w:rsidRPr="000B5435">
        <w:rPr>
          <w:sz w:val="18"/>
          <w:szCs w:val="18"/>
        </w:rPr>
        <w:t xml:space="preserve"> I C.</w:t>
      </w:r>
    </w:p>
  </w:footnote>
  <w:footnote w:id="7">
    <w:p w14:paraId="5FBE919A" w14:textId="6212F78A" w:rsidR="001D6781" w:rsidRPr="000B5435" w:rsidRDefault="001D6781" w:rsidP="00F27CDF">
      <w:pPr>
        <w:pStyle w:val="FootnoteText"/>
        <w:rPr>
          <w:sz w:val="18"/>
          <w:szCs w:val="18"/>
        </w:rPr>
      </w:pPr>
      <w:r w:rsidRPr="000B5435">
        <w:rPr>
          <w:rStyle w:val="FootnoteReference"/>
          <w:szCs w:val="18"/>
        </w:rPr>
        <w:footnoteRef/>
      </w:r>
      <w:r w:rsidRPr="000B5435">
        <w:rPr>
          <w:sz w:val="18"/>
          <w:szCs w:val="18"/>
        </w:rPr>
        <w:t xml:space="preserve"> AusNCP, </w:t>
      </w:r>
      <w:r w:rsidRPr="000B5435">
        <w:rPr>
          <w:i/>
          <w:iCs/>
          <w:sz w:val="18"/>
          <w:szCs w:val="18"/>
        </w:rPr>
        <w:t>Complaint Procedures</w:t>
      </w:r>
      <w:r w:rsidRPr="000B5435">
        <w:rPr>
          <w:sz w:val="18"/>
          <w:szCs w:val="18"/>
        </w:rPr>
        <w:t>, para</w:t>
      </w:r>
      <w:r w:rsidR="00411AE5" w:rsidRPr="000B5435">
        <w:rPr>
          <w:sz w:val="18"/>
          <w:szCs w:val="18"/>
        </w:rPr>
        <w:t>graph</w:t>
      </w:r>
      <w:r w:rsidRPr="000B5435">
        <w:rPr>
          <w:sz w:val="18"/>
          <w:szCs w:val="18"/>
        </w:rPr>
        <w:t xml:space="preserve"> 64</w:t>
      </w:r>
      <w:r w:rsidR="00536AB3" w:rsidRPr="000B5435">
        <w:rPr>
          <w:sz w:val="18"/>
          <w:szCs w:val="18"/>
        </w:rPr>
        <w:t>.</w:t>
      </w:r>
    </w:p>
  </w:footnote>
  <w:footnote w:id="8">
    <w:p w14:paraId="41271554" w14:textId="77777777" w:rsidR="00D76963" w:rsidRPr="000B5435" w:rsidRDefault="00D76963" w:rsidP="00F27CDF">
      <w:pPr>
        <w:pStyle w:val="FootnoteText"/>
        <w:ind w:left="142" w:hanging="142"/>
        <w:rPr>
          <w:sz w:val="18"/>
          <w:szCs w:val="18"/>
        </w:rPr>
      </w:pPr>
      <w:r w:rsidRPr="000B5435">
        <w:rPr>
          <w:rStyle w:val="FootnoteReference"/>
          <w:szCs w:val="18"/>
        </w:rPr>
        <w:footnoteRef/>
      </w:r>
      <w:r w:rsidRPr="000B5435">
        <w:rPr>
          <w:sz w:val="18"/>
          <w:szCs w:val="18"/>
        </w:rPr>
        <w:t xml:space="preserve"> Final Statement, paragraph 36.</w:t>
      </w:r>
    </w:p>
  </w:footnote>
  <w:footnote w:id="9">
    <w:p w14:paraId="136A11CF" w14:textId="7E84D2D9" w:rsidR="00D76963" w:rsidRPr="000B5435" w:rsidRDefault="00D76963" w:rsidP="0084054D">
      <w:pPr>
        <w:pStyle w:val="FootnoteText"/>
        <w:ind w:left="102" w:hanging="102"/>
        <w:rPr>
          <w:sz w:val="18"/>
          <w:szCs w:val="18"/>
        </w:rPr>
      </w:pPr>
      <w:r w:rsidRPr="000B5435">
        <w:rPr>
          <w:rStyle w:val="FootnoteReference"/>
          <w:szCs w:val="18"/>
        </w:rPr>
        <w:footnoteRef/>
      </w:r>
      <w:r w:rsidRPr="000B5435">
        <w:rPr>
          <w:sz w:val="18"/>
          <w:szCs w:val="18"/>
        </w:rPr>
        <w:t xml:space="preserve"> The 2023 </w:t>
      </w:r>
      <w:r w:rsidR="00477B5D" w:rsidRPr="000B5435">
        <w:rPr>
          <w:sz w:val="18"/>
          <w:szCs w:val="18"/>
        </w:rPr>
        <w:t>OECD</w:t>
      </w:r>
      <w:r w:rsidRPr="000B5435">
        <w:rPr>
          <w:sz w:val="18"/>
          <w:szCs w:val="18"/>
        </w:rPr>
        <w:t xml:space="preserve"> Guidelines’ expectation on ‘meaningful stakeholder engagement’ (ch II A [15]) incorporates additional text</w:t>
      </w:r>
      <w:r w:rsidR="005508E6" w:rsidRPr="000B5435">
        <w:rPr>
          <w:sz w:val="18"/>
          <w:szCs w:val="18"/>
        </w:rPr>
        <w:t xml:space="preserve"> to that in 2011</w:t>
      </w:r>
      <w:r w:rsidRPr="000B5435">
        <w:rPr>
          <w:sz w:val="18"/>
          <w:szCs w:val="18"/>
        </w:rPr>
        <w:t xml:space="preserve">, drawn from OECD </w:t>
      </w:r>
      <w:r w:rsidR="0017302E" w:rsidRPr="000B5435">
        <w:rPr>
          <w:sz w:val="18"/>
          <w:szCs w:val="18"/>
        </w:rPr>
        <w:t>D</w:t>
      </w:r>
      <w:r w:rsidRPr="000B5435">
        <w:rPr>
          <w:sz w:val="18"/>
          <w:szCs w:val="18"/>
        </w:rPr>
        <w:t xml:space="preserve">ue </w:t>
      </w:r>
      <w:r w:rsidR="0017302E" w:rsidRPr="000B5435">
        <w:rPr>
          <w:sz w:val="18"/>
          <w:szCs w:val="18"/>
        </w:rPr>
        <w:t>D</w:t>
      </w:r>
      <w:r w:rsidRPr="000B5435">
        <w:rPr>
          <w:sz w:val="18"/>
          <w:szCs w:val="18"/>
        </w:rPr>
        <w:t xml:space="preserve">iligence </w:t>
      </w:r>
      <w:r w:rsidR="0017302E" w:rsidRPr="000B5435">
        <w:rPr>
          <w:sz w:val="18"/>
          <w:szCs w:val="18"/>
        </w:rPr>
        <w:t>G</w:t>
      </w:r>
      <w:r w:rsidRPr="000B5435">
        <w:rPr>
          <w:sz w:val="18"/>
          <w:szCs w:val="18"/>
        </w:rPr>
        <w:t xml:space="preserve">uidances, which the AusNCP already included in its analysis – see eg. Final Statement, paragraphs 50, 52-53, 79 &amp; 119. Similarly – regarding FPIC which is </w:t>
      </w:r>
      <w:r w:rsidR="005508E6" w:rsidRPr="000B5435">
        <w:rPr>
          <w:sz w:val="18"/>
          <w:szCs w:val="18"/>
        </w:rPr>
        <w:t>an addition</w:t>
      </w:r>
      <w:r w:rsidRPr="000B5435">
        <w:rPr>
          <w:sz w:val="18"/>
          <w:szCs w:val="18"/>
        </w:rPr>
        <w:t xml:space="preserve"> in the commentary of the 2023 OECD Guidelines – this was already seen as relevant by the AusNCP see Final Statement, paragraphs 77, 79-89.</w:t>
      </w:r>
    </w:p>
  </w:footnote>
  <w:footnote w:id="10">
    <w:p w14:paraId="6739E0F4" w14:textId="5214FC97" w:rsidR="00D76963" w:rsidRPr="000B5435" w:rsidRDefault="00D76963" w:rsidP="0084054D">
      <w:pPr>
        <w:pStyle w:val="FootnoteText"/>
        <w:ind w:left="102" w:hanging="102"/>
        <w:rPr>
          <w:sz w:val="18"/>
          <w:szCs w:val="18"/>
        </w:rPr>
      </w:pPr>
      <w:r w:rsidRPr="000B5435">
        <w:rPr>
          <w:rStyle w:val="FootnoteReference"/>
          <w:szCs w:val="18"/>
        </w:rPr>
        <w:footnoteRef/>
      </w:r>
      <w:r w:rsidRPr="000B5435">
        <w:rPr>
          <w:sz w:val="18"/>
          <w:szCs w:val="18"/>
        </w:rPr>
        <w:t xml:space="preserve"> The key aspects of follow up (its purpose and process) remain identical in the 2024 AusNCP </w:t>
      </w:r>
      <w:r w:rsidR="00B165BA" w:rsidRPr="000B5435">
        <w:rPr>
          <w:sz w:val="18"/>
          <w:szCs w:val="18"/>
        </w:rPr>
        <w:t>complaint</w:t>
      </w:r>
      <w:r w:rsidRPr="000B5435">
        <w:rPr>
          <w:sz w:val="18"/>
          <w:szCs w:val="18"/>
        </w:rPr>
        <w:t xml:space="preserve"> procedures as they were under the previous version of the procedures.</w:t>
      </w:r>
    </w:p>
  </w:footnote>
  <w:footnote w:id="11">
    <w:p w14:paraId="260FA844" w14:textId="7BC944FC" w:rsidR="00C10416" w:rsidRPr="000B5435" w:rsidRDefault="00C10416" w:rsidP="00CE2798">
      <w:pPr>
        <w:pStyle w:val="FootnoteText"/>
        <w:ind w:left="170" w:hanging="170"/>
        <w:rPr>
          <w:sz w:val="18"/>
          <w:szCs w:val="18"/>
        </w:rPr>
      </w:pPr>
      <w:r w:rsidRPr="000B5435">
        <w:rPr>
          <w:rStyle w:val="FootnoteReference"/>
          <w:szCs w:val="18"/>
        </w:rPr>
        <w:footnoteRef/>
      </w:r>
      <w:r w:rsidRPr="000B5435">
        <w:rPr>
          <w:sz w:val="18"/>
          <w:szCs w:val="18"/>
        </w:rPr>
        <w:t xml:space="preserve"> The conference </w:t>
      </w:r>
      <w:r w:rsidRPr="000B5435">
        <w:rPr>
          <w:i/>
          <w:sz w:val="18"/>
          <w:szCs w:val="18"/>
        </w:rPr>
        <w:t>Disinfo Pacific</w:t>
      </w:r>
      <w:r w:rsidRPr="000B5435">
        <w:rPr>
          <w:sz w:val="18"/>
          <w:szCs w:val="18"/>
        </w:rPr>
        <w:t xml:space="preserve"> was organised by the ‘United Nations Information Centre for the Pacific … with Griffith University, with support from the European Union delegations in Australia, Papua New Guinea and Fiji’: https://disinfopacific.org/</w:t>
      </w:r>
    </w:p>
  </w:footnote>
  <w:footnote w:id="12">
    <w:p w14:paraId="2065340D" w14:textId="57B1A9E8" w:rsidR="00F269E0" w:rsidRPr="000B5435" w:rsidRDefault="00F269E0" w:rsidP="00F27CDF">
      <w:pPr>
        <w:pStyle w:val="FootnoteText"/>
        <w:rPr>
          <w:sz w:val="18"/>
          <w:szCs w:val="18"/>
        </w:rPr>
      </w:pPr>
      <w:r w:rsidRPr="000B5435">
        <w:rPr>
          <w:rStyle w:val="FootnoteReference"/>
          <w:szCs w:val="18"/>
        </w:rPr>
        <w:footnoteRef/>
      </w:r>
      <w:r w:rsidRPr="000B5435">
        <w:rPr>
          <w:sz w:val="18"/>
          <w:szCs w:val="18"/>
        </w:rPr>
        <w:t xml:space="preserve"> At 9’15’’ of https://www.youtube.com/watch?v=e7kEZj8tY4I (accessed 22 Sep 2025).</w:t>
      </w:r>
    </w:p>
  </w:footnote>
  <w:footnote w:id="13">
    <w:p w14:paraId="7E471855" w14:textId="1B24C014" w:rsidR="00120BD7" w:rsidRPr="000B5435" w:rsidRDefault="00120BD7" w:rsidP="00F27CDF">
      <w:pPr>
        <w:pStyle w:val="FootnoteText"/>
        <w:rPr>
          <w:sz w:val="18"/>
          <w:szCs w:val="18"/>
        </w:rPr>
      </w:pPr>
      <w:r w:rsidRPr="000B5435">
        <w:rPr>
          <w:rStyle w:val="FootnoteReference"/>
          <w:szCs w:val="18"/>
        </w:rPr>
        <w:footnoteRef/>
      </w:r>
      <w:r w:rsidRPr="000B5435">
        <w:rPr>
          <w:sz w:val="18"/>
          <w:szCs w:val="18"/>
        </w:rPr>
        <w:t xml:space="preserve"> e</w:t>
      </w:r>
      <w:r w:rsidR="00CE2798" w:rsidRPr="000B5435">
        <w:rPr>
          <w:sz w:val="18"/>
          <w:szCs w:val="18"/>
        </w:rPr>
        <w:t>.</w:t>
      </w:r>
      <w:r w:rsidRPr="000B5435">
        <w:rPr>
          <w:sz w:val="18"/>
          <w:szCs w:val="18"/>
        </w:rPr>
        <w:t>g. Final Statement, paragraphs 25, 29, 57-58.</w:t>
      </w:r>
    </w:p>
  </w:footnote>
  <w:footnote w:id="14">
    <w:p w14:paraId="48FB2EFE" w14:textId="16432E4F" w:rsidR="00AF37FE" w:rsidRPr="000B5435" w:rsidRDefault="00AF37FE" w:rsidP="00CE2798">
      <w:pPr>
        <w:pStyle w:val="FootnoteText"/>
        <w:ind w:left="164" w:hanging="164"/>
        <w:rPr>
          <w:sz w:val="18"/>
          <w:szCs w:val="18"/>
        </w:rPr>
      </w:pPr>
      <w:r w:rsidRPr="000B5435">
        <w:rPr>
          <w:rStyle w:val="FootnoteReference"/>
          <w:szCs w:val="18"/>
        </w:rPr>
        <w:footnoteRef/>
      </w:r>
      <w:r w:rsidRPr="000B5435">
        <w:rPr>
          <w:sz w:val="18"/>
          <w:szCs w:val="18"/>
        </w:rPr>
        <w:t xml:space="preserve"> The article appears to have been at https://www.postcourier.com.pg/ausncp-cleared-frieda-river-project-oecd-guidelines-met-by-enterprise-complaint-rejected/, which currently returns the message ‘Oops! That page can’t be found’ (a</w:t>
      </w:r>
      <w:r w:rsidR="00394D0C" w:rsidRPr="000B5435">
        <w:rPr>
          <w:sz w:val="18"/>
          <w:szCs w:val="18"/>
        </w:rPr>
        <w:t>ccessed</w:t>
      </w:r>
      <w:r w:rsidRPr="000B5435">
        <w:rPr>
          <w:sz w:val="18"/>
          <w:szCs w:val="18"/>
        </w:rPr>
        <w:t xml:space="preserve"> 18 October 2025).</w:t>
      </w:r>
    </w:p>
  </w:footnote>
  <w:footnote w:id="15">
    <w:p w14:paraId="71526318" w14:textId="072717E7" w:rsidR="00AF37FE" w:rsidRPr="000B5435" w:rsidRDefault="00AF37FE" w:rsidP="00CE2798">
      <w:pPr>
        <w:pStyle w:val="FootnoteText"/>
        <w:ind w:left="164" w:hanging="164"/>
        <w:rPr>
          <w:sz w:val="18"/>
          <w:szCs w:val="18"/>
        </w:rPr>
      </w:pPr>
      <w:r w:rsidRPr="000B5435">
        <w:rPr>
          <w:rStyle w:val="FootnoteReference"/>
          <w:szCs w:val="18"/>
        </w:rPr>
        <w:footnoteRef/>
      </w:r>
      <w:r w:rsidRPr="000B5435">
        <w:rPr>
          <w:sz w:val="18"/>
          <w:szCs w:val="18"/>
        </w:rPr>
        <w:t xml:space="preserve"> </w:t>
      </w:r>
      <w:r w:rsidR="00394D0C" w:rsidRPr="000B5435">
        <w:rPr>
          <w:sz w:val="18"/>
          <w:szCs w:val="18"/>
        </w:rPr>
        <w:t>From https://archive.li/vz9Tj#selection-1093.0-1097.259 (accessed 18 October 2025)</w:t>
      </w:r>
      <w:r w:rsidR="008A3D0F" w:rsidRPr="000B5435">
        <w:rPr>
          <w:sz w:val="18"/>
          <w:szCs w:val="18"/>
        </w:rPr>
        <w:t>,</w:t>
      </w:r>
      <w:r w:rsidR="00394D0C" w:rsidRPr="000B5435">
        <w:rPr>
          <w:sz w:val="18"/>
          <w:szCs w:val="18"/>
        </w:rPr>
        <w:t xml:space="preserve"> this shows the opening two paragraphs of an article dated </w:t>
      </w:r>
      <w:r w:rsidR="008A3D0F" w:rsidRPr="000B5435">
        <w:rPr>
          <w:sz w:val="18"/>
          <w:szCs w:val="18"/>
        </w:rPr>
        <w:t xml:space="preserve">11 </w:t>
      </w:r>
      <w:r w:rsidR="00394D0C" w:rsidRPr="000B5435">
        <w:rPr>
          <w:sz w:val="18"/>
          <w:szCs w:val="18"/>
        </w:rPr>
        <w:t>October 2025 by Alu J Kalinoe.</w:t>
      </w:r>
    </w:p>
  </w:footnote>
  <w:footnote w:id="16">
    <w:p w14:paraId="69544E86" w14:textId="6B54A464" w:rsidR="00303CE0" w:rsidRPr="000B5435" w:rsidRDefault="00303CE0" w:rsidP="00F27CDF">
      <w:pPr>
        <w:pStyle w:val="FootnoteText"/>
        <w:rPr>
          <w:sz w:val="18"/>
          <w:szCs w:val="18"/>
        </w:rPr>
      </w:pPr>
      <w:r w:rsidRPr="000B5435">
        <w:rPr>
          <w:rStyle w:val="FootnoteReference"/>
          <w:szCs w:val="18"/>
        </w:rPr>
        <w:footnoteRef/>
      </w:r>
      <w:r w:rsidRPr="000B5435">
        <w:rPr>
          <w:sz w:val="18"/>
          <w:szCs w:val="18"/>
        </w:rPr>
        <w:t xml:space="preserve"> AusNCP, </w:t>
      </w:r>
      <w:r w:rsidRPr="000B5435">
        <w:rPr>
          <w:i/>
          <w:iCs/>
          <w:sz w:val="18"/>
          <w:szCs w:val="18"/>
        </w:rPr>
        <w:t>Complaint Procedures</w:t>
      </w:r>
      <w:r w:rsidRPr="000B5435">
        <w:rPr>
          <w:sz w:val="18"/>
          <w:szCs w:val="18"/>
        </w:rPr>
        <w:t>, paragraphs 70-73.</w:t>
      </w:r>
    </w:p>
  </w:footnote>
  <w:footnote w:id="17">
    <w:p w14:paraId="540BFBD6" w14:textId="7AF58000" w:rsidR="009B54E6" w:rsidRPr="000B5435" w:rsidRDefault="009B54E6" w:rsidP="00F27CDF">
      <w:pPr>
        <w:pStyle w:val="FootnoteText"/>
        <w:rPr>
          <w:sz w:val="18"/>
          <w:szCs w:val="18"/>
        </w:rPr>
      </w:pPr>
      <w:r w:rsidRPr="000B5435">
        <w:rPr>
          <w:rStyle w:val="FootnoteReference"/>
          <w:szCs w:val="18"/>
        </w:rPr>
        <w:footnoteRef/>
      </w:r>
      <w:r w:rsidRPr="000B5435">
        <w:rPr>
          <w:sz w:val="18"/>
          <w:szCs w:val="18"/>
        </w:rPr>
        <w:t xml:space="preserve"> Final Statement, paragraphs 89-91.</w:t>
      </w:r>
    </w:p>
  </w:footnote>
  <w:footnote w:id="18">
    <w:p w14:paraId="57BD1E48" w14:textId="6F3EEB22" w:rsidR="00290745" w:rsidRPr="000B5435" w:rsidRDefault="00290745" w:rsidP="00F27CDF">
      <w:pPr>
        <w:pStyle w:val="FootnoteText"/>
        <w:ind w:left="142" w:hanging="142"/>
        <w:rPr>
          <w:sz w:val="18"/>
          <w:szCs w:val="18"/>
        </w:rPr>
      </w:pPr>
      <w:r w:rsidRPr="000B5435">
        <w:rPr>
          <w:rStyle w:val="FootnoteReference"/>
          <w:szCs w:val="18"/>
        </w:rPr>
        <w:footnoteRef/>
      </w:r>
      <w:r w:rsidRPr="000B5435">
        <w:rPr>
          <w:sz w:val="18"/>
          <w:szCs w:val="18"/>
        </w:rPr>
        <w:t xml:space="preserve"> </w:t>
      </w:r>
      <w:r w:rsidR="006F2AD9" w:rsidRPr="000B5435">
        <w:rPr>
          <w:sz w:val="18"/>
          <w:szCs w:val="18"/>
        </w:rPr>
        <w:t>Final Statement, paragraph</w:t>
      </w:r>
      <w:r w:rsidR="00120BD7" w:rsidRPr="000B5435">
        <w:rPr>
          <w:sz w:val="18"/>
          <w:szCs w:val="18"/>
        </w:rPr>
        <w:t>s</w:t>
      </w:r>
      <w:r w:rsidR="006F2AD9" w:rsidRPr="000B5435">
        <w:rPr>
          <w:sz w:val="18"/>
          <w:szCs w:val="18"/>
        </w:rPr>
        <w:t xml:space="preserve"> 39, 53, 79, 82 and 119.</w:t>
      </w:r>
    </w:p>
  </w:footnote>
  <w:footnote w:id="19">
    <w:p w14:paraId="668C4666" w14:textId="0DE392F8" w:rsidR="0011345A" w:rsidRPr="000B5435" w:rsidRDefault="0011345A" w:rsidP="00CE2798">
      <w:pPr>
        <w:pStyle w:val="FootnoteText"/>
        <w:ind w:left="164" w:hanging="164"/>
        <w:rPr>
          <w:sz w:val="18"/>
          <w:szCs w:val="18"/>
          <w:lang w:val="en-US"/>
        </w:rPr>
      </w:pPr>
      <w:r w:rsidRPr="000B5435">
        <w:rPr>
          <w:rStyle w:val="FootnoteReference"/>
          <w:szCs w:val="18"/>
        </w:rPr>
        <w:footnoteRef/>
      </w:r>
      <w:r w:rsidRPr="000B5435">
        <w:rPr>
          <w:sz w:val="18"/>
          <w:szCs w:val="18"/>
        </w:rPr>
        <w:t xml:space="preserve"> </w:t>
      </w:r>
      <w:r w:rsidRPr="000B5435">
        <w:rPr>
          <w:i/>
          <w:iCs/>
          <w:sz w:val="18"/>
          <w:szCs w:val="18"/>
        </w:rPr>
        <w:t>OECD Due Diligence Guidance for Responsible Business Conduct</w:t>
      </w:r>
      <w:r w:rsidRPr="000B5435">
        <w:rPr>
          <w:sz w:val="18"/>
          <w:szCs w:val="18"/>
        </w:rPr>
        <w:t xml:space="preserve"> (2018), https://www.oecd.org/</w:t>
      </w:r>
      <w:r w:rsidR="008A3D0F" w:rsidRPr="000B5435">
        <w:rPr>
          <w:sz w:val="18"/>
          <w:szCs w:val="18"/>
        </w:rPr>
        <w:t>en/publications/2018/02/oecd-</w:t>
      </w:r>
      <w:r w:rsidRPr="000B5435">
        <w:rPr>
          <w:sz w:val="18"/>
          <w:szCs w:val="18"/>
        </w:rPr>
        <w:t>due-diligence-guidance-for-responsible-business-conduct</w:t>
      </w:r>
      <w:r w:rsidR="008A3D0F" w:rsidRPr="000B5435">
        <w:rPr>
          <w:sz w:val="18"/>
          <w:szCs w:val="18"/>
        </w:rPr>
        <w:t>_c669bd57.html</w:t>
      </w:r>
    </w:p>
  </w:footnote>
  <w:footnote w:id="20">
    <w:p w14:paraId="2D6D7A0E" w14:textId="2B318242" w:rsidR="005508E6" w:rsidRPr="000B5435" w:rsidRDefault="005508E6" w:rsidP="00F27CDF">
      <w:pPr>
        <w:pStyle w:val="FootnoteText"/>
        <w:ind w:left="142" w:hanging="142"/>
        <w:rPr>
          <w:sz w:val="18"/>
          <w:szCs w:val="18"/>
          <w:lang w:val="en-US"/>
        </w:rPr>
      </w:pPr>
      <w:r w:rsidRPr="000B5435">
        <w:rPr>
          <w:rStyle w:val="FootnoteReference"/>
          <w:szCs w:val="18"/>
        </w:rPr>
        <w:footnoteRef/>
      </w:r>
      <w:r w:rsidRPr="000B5435">
        <w:rPr>
          <w:sz w:val="18"/>
          <w:szCs w:val="18"/>
        </w:rPr>
        <w:t xml:space="preserve"> </w:t>
      </w:r>
      <w:r w:rsidRPr="000B5435">
        <w:rPr>
          <w:sz w:val="18"/>
          <w:szCs w:val="18"/>
          <w:lang w:val="en-US"/>
        </w:rPr>
        <w:t>OECD Guidelines, ch II, A, [1].</w:t>
      </w:r>
    </w:p>
  </w:footnote>
  <w:footnote w:id="21">
    <w:p w14:paraId="2F276A4D" w14:textId="77777777" w:rsidR="00D76963" w:rsidRPr="000B5435" w:rsidRDefault="00D76963" w:rsidP="00CE2798">
      <w:pPr>
        <w:pStyle w:val="FootnoteText"/>
        <w:ind w:left="164" w:hanging="164"/>
        <w:rPr>
          <w:sz w:val="18"/>
          <w:szCs w:val="18"/>
        </w:rPr>
      </w:pPr>
      <w:r w:rsidRPr="000B5435">
        <w:rPr>
          <w:rStyle w:val="FootnoteReference"/>
          <w:szCs w:val="18"/>
        </w:rPr>
        <w:footnoteRef/>
      </w:r>
      <w:r w:rsidRPr="000B5435">
        <w:rPr>
          <w:sz w:val="18"/>
          <w:szCs w:val="18"/>
        </w:rPr>
        <w:t xml:space="preserve"> 2011 version of the OECD Guideline (ch II, paragraph 14), which is similar to the current version to ‘Engage meaningfully with relevant stakeholders … to provide opportunities for their views to be taken into account with respect to activities that may significantly impact them related to matters covered by the Guidelines’: OECD Guidelines, ch II, paragraph 15.</w:t>
      </w:r>
    </w:p>
  </w:footnote>
  <w:footnote w:id="22">
    <w:p w14:paraId="30FF7A3A" w14:textId="77777777" w:rsidR="005508E6" w:rsidRPr="000B5435" w:rsidRDefault="005508E6" w:rsidP="00F27CDF">
      <w:pPr>
        <w:pStyle w:val="FootnoteText"/>
        <w:ind w:left="142" w:hanging="142"/>
        <w:rPr>
          <w:sz w:val="18"/>
          <w:szCs w:val="18"/>
        </w:rPr>
      </w:pPr>
      <w:r w:rsidRPr="000B5435">
        <w:rPr>
          <w:rStyle w:val="FootnoteReference"/>
          <w:szCs w:val="18"/>
        </w:rPr>
        <w:footnoteRef/>
      </w:r>
      <w:r w:rsidRPr="000B5435">
        <w:rPr>
          <w:sz w:val="18"/>
          <w:szCs w:val="18"/>
        </w:rPr>
        <w:t xml:space="preserve"> Final Statement, paragraph 69.</w:t>
      </w:r>
    </w:p>
  </w:footnote>
  <w:footnote w:id="23">
    <w:p w14:paraId="5400C4B5" w14:textId="77777777" w:rsidR="005508E6" w:rsidRPr="000B5435" w:rsidRDefault="005508E6" w:rsidP="00F27CDF">
      <w:pPr>
        <w:pStyle w:val="FootnoteText"/>
        <w:ind w:left="142" w:hanging="142"/>
        <w:rPr>
          <w:sz w:val="18"/>
          <w:szCs w:val="18"/>
        </w:rPr>
      </w:pPr>
      <w:r w:rsidRPr="000B5435">
        <w:rPr>
          <w:rStyle w:val="FootnoteReference"/>
          <w:szCs w:val="18"/>
        </w:rPr>
        <w:footnoteRef/>
      </w:r>
      <w:r w:rsidRPr="000B5435">
        <w:rPr>
          <w:sz w:val="18"/>
          <w:szCs w:val="18"/>
        </w:rPr>
        <w:t xml:space="preserve"> Final Statement, paragraphs 69-72.</w:t>
      </w:r>
    </w:p>
  </w:footnote>
  <w:footnote w:id="24">
    <w:p w14:paraId="3C873217" w14:textId="23FDFEBC" w:rsidR="005508E6" w:rsidRPr="000B5435" w:rsidRDefault="005508E6" w:rsidP="00CE2798">
      <w:pPr>
        <w:pStyle w:val="FootnoteText"/>
        <w:ind w:left="164" w:hanging="164"/>
        <w:rPr>
          <w:sz w:val="18"/>
          <w:szCs w:val="18"/>
        </w:rPr>
      </w:pPr>
      <w:r w:rsidRPr="000B5435">
        <w:rPr>
          <w:rStyle w:val="FootnoteReference"/>
          <w:szCs w:val="18"/>
        </w:rPr>
        <w:footnoteRef/>
      </w:r>
      <w:r w:rsidRPr="000B5435">
        <w:rPr>
          <w:sz w:val="18"/>
          <w:szCs w:val="18"/>
        </w:rPr>
        <w:t xml:space="preserve"> Final Statement, paragraphs 56, 70 &amp; 73</w:t>
      </w:r>
      <w:r w:rsidR="002A1312" w:rsidRPr="000B5435">
        <w:rPr>
          <w:sz w:val="18"/>
          <w:szCs w:val="18"/>
        </w:rPr>
        <w:t>,</w:t>
      </w:r>
      <w:r w:rsidRPr="000B5435">
        <w:rPr>
          <w:sz w:val="18"/>
          <w:szCs w:val="18"/>
        </w:rPr>
        <w:t xml:space="preserve"> which drew from the 2011 </w:t>
      </w:r>
      <w:r w:rsidR="00477B5D" w:rsidRPr="000B5435">
        <w:rPr>
          <w:sz w:val="18"/>
          <w:szCs w:val="18"/>
        </w:rPr>
        <w:t xml:space="preserve">OECD </w:t>
      </w:r>
      <w:r w:rsidRPr="000B5435">
        <w:rPr>
          <w:sz w:val="18"/>
          <w:szCs w:val="18"/>
        </w:rPr>
        <w:t>Guidelines</w:t>
      </w:r>
      <w:r w:rsidR="00477B5D" w:rsidRPr="000B5435">
        <w:rPr>
          <w:sz w:val="18"/>
          <w:szCs w:val="18"/>
        </w:rPr>
        <w:t>’</w:t>
      </w:r>
      <w:r w:rsidRPr="000B5435">
        <w:rPr>
          <w:sz w:val="18"/>
          <w:szCs w:val="18"/>
        </w:rPr>
        <w:t xml:space="preserve"> Environment chapter,</w:t>
      </w:r>
      <w:r w:rsidR="00925E47" w:rsidRPr="000B5435">
        <w:rPr>
          <w:sz w:val="18"/>
          <w:szCs w:val="18"/>
        </w:rPr>
        <w:t xml:space="preserve"> with </w:t>
      </w:r>
      <w:r w:rsidRPr="000B5435">
        <w:rPr>
          <w:sz w:val="18"/>
          <w:szCs w:val="18"/>
        </w:rPr>
        <w:t>now similar expectations located in the OECD Guidelines ch III (Disclosure) [3] and ch VI (Environment) [1].</w:t>
      </w:r>
    </w:p>
  </w:footnote>
  <w:footnote w:id="25">
    <w:p w14:paraId="29996A22" w14:textId="77777777" w:rsidR="005508E6" w:rsidRPr="000B5435" w:rsidRDefault="005508E6" w:rsidP="00F27CDF">
      <w:pPr>
        <w:pStyle w:val="FootnoteText"/>
        <w:ind w:left="142" w:hanging="142"/>
        <w:rPr>
          <w:sz w:val="18"/>
          <w:szCs w:val="18"/>
        </w:rPr>
      </w:pPr>
      <w:r w:rsidRPr="000B5435">
        <w:rPr>
          <w:rStyle w:val="FootnoteReference"/>
          <w:szCs w:val="18"/>
        </w:rPr>
        <w:footnoteRef/>
      </w:r>
      <w:r w:rsidRPr="000B5435">
        <w:rPr>
          <w:sz w:val="18"/>
          <w:szCs w:val="18"/>
        </w:rPr>
        <w:t xml:space="preserve"> Final Statement, paragraph 120.3 (referring to paragraph 73).</w:t>
      </w:r>
    </w:p>
  </w:footnote>
  <w:footnote w:id="26">
    <w:p w14:paraId="6226CBC3" w14:textId="1BD313DF" w:rsidR="00A34AEE" w:rsidRPr="000B5435" w:rsidRDefault="00A34AEE" w:rsidP="00F27CDF">
      <w:pPr>
        <w:pStyle w:val="FootnoteText"/>
        <w:ind w:left="142" w:hanging="142"/>
        <w:rPr>
          <w:sz w:val="18"/>
          <w:szCs w:val="18"/>
        </w:rPr>
      </w:pPr>
      <w:r w:rsidRPr="000B5435">
        <w:rPr>
          <w:rStyle w:val="FootnoteReference"/>
          <w:szCs w:val="18"/>
        </w:rPr>
        <w:footnoteRef/>
      </w:r>
      <w:r w:rsidRPr="000B5435">
        <w:rPr>
          <w:sz w:val="18"/>
          <w:szCs w:val="18"/>
        </w:rPr>
        <w:t xml:space="preserve"> e</w:t>
      </w:r>
      <w:r w:rsidR="00CE2798" w:rsidRPr="000B5435">
        <w:rPr>
          <w:sz w:val="18"/>
          <w:szCs w:val="18"/>
        </w:rPr>
        <w:t>.</w:t>
      </w:r>
      <w:r w:rsidRPr="000B5435">
        <w:rPr>
          <w:sz w:val="18"/>
          <w:szCs w:val="18"/>
        </w:rPr>
        <w:t>g. Final Statement, paragraph 57 &amp; 69.</w:t>
      </w:r>
    </w:p>
  </w:footnote>
  <w:footnote w:id="27">
    <w:p w14:paraId="51A31C4B" w14:textId="72A4D455" w:rsidR="00D75531" w:rsidRPr="000B5435" w:rsidRDefault="00D75531" w:rsidP="00CE2798">
      <w:pPr>
        <w:pStyle w:val="FootnoteText"/>
        <w:ind w:left="164" w:hanging="164"/>
        <w:rPr>
          <w:sz w:val="18"/>
          <w:szCs w:val="18"/>
        </w:rPr>
      </w:pPr>
      <w:r w:rsidRPr="000B5435">
        <w:rPr>
          <w:rStyle w:val="FootnoteReference"/>
          <w:szCs w:val="18"/>
        </w:rPr>
        <w:footnoteRef/>
      </w:r>
      <w:r w:rsidRPr="000B5435">
        <w:rPr>
          <w:sz w:val="18"/>
          <w:szCs w:val="18"/>
        </w:rPr>
        <w:t xml:space="preserve"> This, in Final Statement paragraph 70, is from the 2011 </w:t>
      </w:r>
      <w:r w:rsidR="002A1312" w:rsidRPr="000B5435">
        <w:rPr>
          <w:sz w:val="18"/>
          <w:szCs w:val="18"/>
        </w:rPr>
        <w:t xml:space="preserve">OECD </w:t>
      </w:r>
      <w:r w:rsidRPr="000B5435">
        <w:rPr>
          <w:sz w:val="18"/>
          <w:szCs w:val="18"/>
        </w:rPr>
        <w:t xml:space="preserve">Guidelines commentary. Similar statements are in the 2023 </w:t>
      </w:r>
      <w:r w:rsidR="002A1312" w:rsidRPr="000B5435">
        <w:rPr>
          <w:sz w:val="18"/>
          <w:szCs w:val="18"/>
        </w:rPr>
        <w:t xml:space="preserve">OECD </w:t>
      </w:r>
      <w:r w:rsidRPr="000B5435">
        <w:rPr>
          <w:sz w:val="18"/>
          <w:szCs w:val="18"/>
        </w:rPr>
        <w:t>Guidelines commentary</w:t>
      </w:r>
      <w:r w:rsidR="002A1312" w:rsidRPr="000B5435">
        <w:rPr>
          <w:sz w:val="18"/>
          <w:szCs w:val="18"/>
        </w:rPr>
        <w:t>,</w:t>
      </w:r>
      <w:r w:rsidRPr="000B5435">
        <w:rPr>
          <w:sz w:val="18"/>
          <w:szCs w:val="18"/>
        </w:rPr>
        <w:t xml:space="preserve"> paragraphs [67], [70] &amp; [72]</w:t>
      </w:r>
      <w:r w:rsidR="00253D2E" w:rsidRPr="000B5435">
        <w:rPr>
          <w:sz w:val="18"/>
          <w:szCs w:val="18"/>
        </w:rPr>
        <w:t>.</w:t>
      </w:r>
    </w:p>
  </w:footnote>
  <w:footnote w:id="28">
    <w:p w14:paraId="590E6E08" w14:textId="7FDA6FB7" w:rsidR="00561263" w:rsidRPr="000B5435" w:rsidRDefault="00561263" w:rsidP="00F27CDF">
      <w:pPr>
        <w:pStyle w:val="FootnoteText"/>
        <w:ind w:left="142" w:hanging="142"/>
        <w:rPr>
          <w:sz w:val="18"/>
          <w:szCs w:val="18"/>
        </w:rPr>
      </w:pPr>
      <w:r w:rsidRPr="000B5435">
        <w:rPr>
          <w:rStyle w:val="FootnoteReference"/>
          <w:szCs w:val="18"/>
        </w:rPr>
        <w:footnoteRef/>
      </w:r>
      <w:r w:rsidRPr="000B5435">
        <w:rPr>
          <w:sz w:val="18"/>
          <w:szCs w:val="18"/>
        </w:rPr>
        <w:t xml:space="preserve"> </w:t>
      </w:r>
      <w:r w:rsidR="00DD6D49" w:rsidRPr="000B5435">
        <w:rPr>
          <w:sz w:val="18"/>
          <w:szCs w:val="18"/>
        </w:rPr>
        <w:t>For example</w:t>
      </w:r>
      <w:r w:rsidR="005C55F2" w:rsidRPr="000B5435">
        <w:rPr>
          <w:sz w:val="18"/>
          <w:szCs w:val="18"/>
        </w:rPr>
        <w:t>,</w:t>
      </w:r>
      <w:r w:rsidR="00DD6D49" w:rsidRPr="000B5435">
        <w:rPr>
          <w:sz w:val="18"/>
          <w:szCs w:val="18"/>
        </w:rPr>
        <w:t xml:space="preserve"> OECD Guidelines 2023, ch III (disclosure) 1 &amp; 3, and ch </w:t>
      </w:r>
      <w:r w:rsidR="00F02527" w:rsidRPr="000B5435">
        <w:rPr>
          <w:sz w:val="18"/>
          <w:szCs w:val="18"/>
        </w:rPr>
        <w:t>VI (environment), 1-5.</w:t>
      </w:r>
    </w:p>
  </w:footnote>
  <w:footnote w:id="29">
    <w:p w14:paraId="51FE19BF" w14:textId="77777777" w:rsidR="00ED40B6" w:rsidRPr="000B5435" w:rsidRDefault="00ED40B6" w:rsidP="00F27CDF">
      <w:pPr>
        <w:pStyle w:val="FootnoteText"/>
        <w:rPr>
          <w:sz w:val="18"/>
          <w:szCs w:val="18"/>
        </w:rPr>
      </w:pPr>
      <w:r w:rsidRPr="000B5435">
        <w:rPr>
          <w:rStyle w:val="FootnoteReference"/>
          <w:szCs w:val="18"/>
        </w:rPr>
        <w:footnoteRef/>
      </w:r>
      <w:r w:rsidRPr="000B5435">
        <w:rPr>
          <w:sz w:val="18"/>
          <w:szCs w:val="18"/>
        </w:rPr>
        <w:t xml:space="preserve"> OECD Guidelines, Implementation Procedures, Commentary, [10e].</w:t>
      </w:r>
    </w:p>
  </w:footnote>
  <w:footnote w:id="30">
    <w:p w14:paraId="1C2EA60E" w14:textId="3A5DB87E" w:rsidR="00ED40B6" w:rsidRPr="000B5435" w:rsidRDefault="00ED40B6" w:rsidP="00F27CDF">
      <w:pPr>
        <w:pStyle w:val="FootnoteText"/>
        <w:rPr>
          <w:sz w:val="18"/>
          <w:szCs w:val="18"/>
        </w:rPr>
      </w:pPr>
      <w:r w:rsidRPr="000B5435">
        <w:rPr>
          <w:rStyle w:val="FootnoteReference"/>
          <w:szCs w:val="18"/>
        </w:rPr>
        <w:footnoteRef/>
      </w:r>
      <w:r w:rsidRPr="000B5435">
        <w:rPr>
          <w:sz w:val="18"/>
          <w:szCs w:val="18"/>
        </w:rPr>
        <w:t xml:space="preserve"> See paragraph </w:t>
      </w:r>
      <w:r w:rsidRPr="000B5435">
        <w:rPr>
          <w:sz w:val="18"/>
          <w:szCs w:val="18"/>
        </w:rPr>
        <w:fldChar w:fldCharType="begin"/>
      </w:r>
      <w:r w:rsidRPr="000B5435">
        <w:rPr>
          <w:sz w:val="18"/>
          <w:szCs w:val="18"/>
        </w:rPr>
        <w:instrText xml:space="preserve"> REF _Ref209433141 \r \h  \* MERGEFORMAT </w:instrText>
      </w:r>
      <w:r w:rsidRPr="000B5435">
        <w:rPr>
          <w:sz w:val="18"/>
          <w:szCs w:val="18"/>
        </w:rPr>
      </w:r>
      <w:r w:rsidRPr="000B5435">
        <w:rPr>
          <w:sz w:val="18"/>
          <w:szCs w:val="18"/>
        </w:rPr>
        <w:fldChar w:fldCharType="separate"/>
      </w:r>
      <w:r w:rsidR="003D5B39">
        <w:rPr>
          <w:sz w:val="18"/>
          <w:szCs w:val="18"/>
        </w:rPr>
        <w:t>14</w:t>
      </w:r>
      <w:r w:rsidRPr="000B5435">
        <w:rPr>
          <w:sz w:val="18"/>
          <w:szCs w:val="18"/>
        </w:rPr>
        <w:fldChar w:fldCharType="end"/>
      </w:r>
      <w:r w:rsidRPr="000B5435">
        <w:rPr>
          <w:sz w:val="18"/>
          <w:szCs w:val="18"/>
        </w:rPr>
        <w:t xml:space="preserve"> of this statement and 89 of the Final Statement.</w:t>
      </w:r>
    </w:p>
  </w:footnote>
  <w:footnote w:id="31">
    <w:p w14:paraId="381C1D0A" w14:textId="36E0AD98" w:rsidR="00AC1836" w:rsidRPr="000B5435" w:rsidRDefault="00F02527" w:rsidP="00CE2798">
      <w:pPr>
        <w:pStyle w:val="FootnoteText"/>
        <w:ind w:left="164" w:hanging="164"/>
        <w:rPr>
          <w:sz w:val="18"/>
          <w:szCs w:val="18"/>
        </w:rPr>
      </w:pPr>
      <w:r w:rsidRPr="000B5435">
        <w:rPr>
          <w:rStyle w:val="FootnoteReference"/>
          <w:szCs w:val="18"/>
        </w:rPr>
        <w:footnoteRef/>
      </w:r>
      <w:r w:rsidRPr="000B5435">
        <w:rPr>
          <w:sz w:val="18"/>
          <w:szCs w:val="18"/>
        </w:rPr>
        <w:t xml:space="preserve"> </w:t>
      </w:r>
      <w:r w:rsidR="00536AB3" w:rsidRPr="000B5435">
        <w:rPr>
          <w:sz w:val="18"/>
          <w:szCs w:val="18"/>
        </w:rPr>
        <w:t xml:space="preserve">The AusNCP </w:t>
      </w:r>
      <w:r w:rsidR="00536AB3" w:rsidRPr="000B5435">
        <w:rPr>
          <w:i/>
          <w:iCs/>
          <w:sz w:val="18"/>
          <w:szCs w:val="18"/>
        </w:rPr>
        <w:t>Complaint Procedures</w:t>
      </w:r>
      <w:r w:rsidR="00536AB3" w:rsidRPr="000B5435">
        <w:rPr>
          <w:sz w:val="18"/>
          <w:szCs w:val="18"/>
        </w:rPr>
        <w:t xml:space="preserve"> provide for the examiner to consider the views of the Board and comments of the parties and that ‘The examiner may make changes at their discretion’: para</w:t>
      </w:r>
      <w:r w:rsidR="002C35C9" w:rsidRPr="000B5435">
        <w:rPr>
          <w:sz w:val="18"/>
          <w:szCs w:val="18"/>
        </w:rPr>
        <w:t>graph</w:t>
      </w:r>
      <w:r w:rsidR="000B5435" w:rsidRPr="000B5435">
        <w:rPr>
          <w:sz w:val="18"/>
          <w:szCs w:val="18"/>
        </w:rPr>
        <w:t>s</w:t>
      </w:r>
      <w:r w:rsidR="00536AB3" w:rsidRPr="000B5435">
        <w:rPr>
          <w:sz w:val="18"/>
          <w:szCs w:val="18"/>
        </w:rPr>
        <w:t xml:space="preserve"> 74 </w:t>
      </w:r>
      <w:r w:rsidR="000B5435" w:rsidRPr="000B5435">
        <w:rPr>
          <w:sz w:val="18"/>
          <w:szCs w:val="18"/>
        </w:rPr>
        <w:t>and</w:t>
      </w:r>
      <w:r w:rsidR="00536AB3" w:rsidRPr="000B5435">
        <w:rPr>
          <w:sz w:val="18"/>
          <w:szCs w:val="18"/>
        </w:rPr>
        <w:t xml:space="preserve"> 75.</w:t>
      </w:r>
    </w:p>
  </w:footnote>
  <w:footnote w:id="32">
    <w:p w14:paraId="1D8823F3" w14:textId="3ABCBF33" w:rsidR="00D90818" w:rsidRPr="000B5435" w:rsidRDefault="00D90818" w:rsidP="00D90818">
      <w:pPr>
        <w:pStyle w:val="FootnoteText"/>
        <w:ind w:left="164" w:hanging="164"/>
        <w:rPr>
          <w:sz w:val="18"/>
          <w:szCs w:val="18"/>
        </w:rPr>
      </w:pPr>
      <w:r w:rsidRPr="000B5435">
        <w:rPr>
          <w:rStyle w:val="FootnoteReference"/>
          <w:szCs w:val="18"/>
        </w:rPr>
        <w:footnoteRef/>
      </w:r>
      <w:r w:rsidRPr="000B5435">
        <w:rPr>
          <w:sz w:val="18"/>
          <w:szCs w:val="18"/>
        </w:rPr>
        <w:t xml:space="preserve"> The AusNCP </w:t>
      </w:r>
      <w:r w:rsidRPr="000B5435">
        <w:rPr>
          <w:i/>
          <w:iCs/>
          <w:sz w:val="18"/>
          <w:szCs w:val="18"/>
        </w:rPr>
        <w:t>Complaint Procedures</w:t>
      </w:r>
      <w:r w:rsidRPr="000B5435">
        <w:rPr>
          <w:sz w:val="18"/>
          <w:szCs w:val="18"/>
        </w:rPr>
        <w:t xml:space="preserve"> require </w:t>
      </w:r>
      <w:r w:rsidR="000B5435" w:rsidRPr="000B5435">
        <w:rPr>
          <w:sz w:val="18"/>
          <w:szCs w:val="18"/>
        </w:rPr>
        <w:t>F</w:t>
      </w:r>
      <w:r w:rsidRPr="000B5435">
        <w:rPr>
          <w:sz w:val="18"/>
          <w:szCs w:val="18"/>
        </w:rPr>
        <w:t>ollow</w:t>
      </w:r>
      <w:r w:rsidR="000B5435" w:rsidRPr="000B5435">
        <w:rPr>
          <w:sz w:val="18"/>
          <w:szCs w:val="18"/>
        </w:rPr>
        <w:t xml:space="preserve"> U</w:t>
      </w:r>
      <w:r w:rsidRPr="000B5435">
        <w:rPr>
          <w:sz w:val="18"/>
          <w:szCs w:val="18"/>
        </w:rPr>
        <w:t xml:space="preserve">p </w:t>
      </w:r>
      <w:r w:rsidR="000B5435" w:rsidRPr="000B5435">
        <w:rPr>
          <w:sz w:val="18"/>
          <w:szCs w:val="18"/>
        </w:rPr>
        <w:t>S</w:t>
      </w:r>
      <w:r w:rsidRPr="000B5435">
        <w:rPr>
          <w:sz w:val="18"/>
          <w:szCs w:val="18"/>
        </w:rPr>
        <w:t>tatements to be ‘published on the AusNCP website, shared with the parties and the Board, reported to the OECD and, provided to relevant Australian Government agencies and NCPs’: paragraph 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43D18" w14:textId="0C63E724" w:rsidR="00731938" w:rsidRPr="00AC75E2" w:rsidRDefault="008674C1">
    <w:pPr>
      <w:pStyle w:val="HeaderEven"/>
    </w:pPr>
    <w:r>
      <w:t xml:space="preserve"> </w:t>
    </w:r>
  </w:p>
  <w:p w14:paraId="2248B5EF" w14:textId="77777777" w:rsidR="00731938" w:rsidRDefault="00731938"/>
  <w:p w14:paraId="5A78612C" w14:textId="77777777" w:rsidR="00731938" w:rsidRDefault="00731938"/>
  <w:p w14:paraId="5734BC89" w14:textId="77777777" w:rsidR="00731938" w:rsidRDefault="00731938"/>
  <w:p w14:paraId="1D31AEA9" w14:textId="77777777" w:rsidR="00731938" w:rsidRDefault="00731938"/>
  <w:p w14:paraId="16064989" w14:textId="77777777" w:rsidR="00731938" w:rsidRDefault="00731938"/>
  <w:p w14:paraId="0A3FD2D5" w14:textId="77777777" w:rsidR="00731938" w:rsidRDefault="00731938"/>
  <w:p w14:paraId="4D87E27C" w14:textId="77777777" w:rsidR="00731938" w:rsidRDefault="00731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8ED89" w14:textId="6FA707F9" w:rsidR="00377B32" w:rsidRDefault="00377B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AFEC5" w14:textId="061C7291" w:rsidR="00731938" w:rsidRPr="00095D88" w:rsidRDefault="007319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45E"/>
    <w:multiLevelType w:val="hybridMultilevel"/>
    <w:tmpl w:val="32AEB90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C681903"/>
    <w:multiLevelType w:val="multilevel"/>
    <w:tmpl w:val="7200E1E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418" w:hanging="6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5" w15:restartNumberingAfterBreak="0">
    <w:nsid w:val="150C22FD"/>
    <w:multiLevelType w:val="multilevel"/>
    <w:tmpl w:val="A290DC5E"/>
    <w:styleLink w:val="CurrentList2"/>
    <w:lvl w:ilvl="0">
      <w:start w:val="1"/>
      <w:numFmt w:val="decimal"/>
      <w:lvlText w:val="%1."/>
      <w:lvlJc w:val="left"/>
      <w:pPr>
        <w:ind w:left="360" w:hanging="360"/>
      </w:pPr>
      <w:rPr>
        <w:rFonts w:hint="default"/>
        <w:b w:val="0"/>
      </w:rPr>
    </w:lvl>
    <w:lvl w:ilvl="1">
      <w:start w:val="1"/>
      <w:numFmt w:val="decimal"/>
      <w:lvlText w:val="%1.%2."/>
      <w:lvlJc w:val="left"/>
      <w:pPr>
        <w:tabs>
          <w:tab w:val="num" w:pos="794"/>
        </w:tabs>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97E35C1"/>
    <w:multiLevelType w:val="multilevel"/>
    <w:tmpl w:val="83560268"/>
    <w:lvl w:ilvl="0">
      <w:start w:val="1"/>
      <w:numFmt w:val="decimal"/>
      <w:lvlText w:val="%1."/>
      <w:lvlJc w:val="left"/>
      <w:pPr>
        <w:ind w:left="550" w:hanging="550"/>
      </w:pPr>
      <w:rPr>
        <w:rFonts w:hint="default"/>
        <w:b w:val="0"/>
      </w:rPr>
    </w:lvl>
    <w:lvl w:ilvl="1">
      <w:start w:val="1"/>
      <w:numFmt w:val="decimal"/>
      <w:lvlText w:val="%1.%2."/>
      <w:lvlJc w:val="left"/>
      <w:pPr>
        <w:tabs>
          <w:tab w:val="num" w:pos="1115"/>
        </w:tabs>
        <w:ind w:left="1115" w:hanging="547"/>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0671F6"/>
    <w:multiLevelType w:val="hybridMultilevel"/>
    <w:tmpl w:val="84C86A8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8E3409A"/>
    <w:multiLevelType w:val="hybridMultilevel"/>
    <w:tmpl w:val="F1C6B7C6"/>
    <w:lvl w:ilvl="0" w:tplc="0C090001">
      <w:start w:val="25"/>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6B5694E"/>
    <w:multiLevelType w:val="multilevel"/>
    <w:tmpl w:val="4F18E178"/>
    <w:styleLink w:val="CurrentList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tabs>
          <w:tab w:val="num" w:pos="1304"/>
        </w:tabs>
        <w:ind w:left="1304" w:hanging="51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4E4ACD"/>
    <w:multiLevelType w:val="hybridMultilevel"/>
    <w:tmpl w:val="B7FE1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C70361"/>
    <w:multiLevelType w:val="multilevel"/>
    <w:tmpl w:val="23AA8198"/>
    <w:styleLink w:val="CurrentList3"/>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BB588E"/>
    <w:multiLevelType w:val="multilevel"/>
    <w:tmpl w:val="7A2C87FC"/>
    <w:lvl w:ilvl="0">
      <w:start w:val="1"/>
      <w:numFmt w:val="decimal"/>
      <w:lvlText w:val="[%1]"/>
      <w:lvlJc w:val="left"/>
      <w:pPr>
        <w:ind w:left="360" w:hanging="360"/>
      </w:pPr>
      <w:rPr>
        <w:rFonts w:hint="default"/>
        <w:b w:val="0"/>
      </w:rPr>
    </w:lvl>
    <w:lvl w:ilvl="1">
      <w:start w:val="1"/>
      <w:numFmt w:val="decimal"/>
      <w:lvlText w:val="%1.%2."/>
      <w:lvlJc w:val="left"/>
      <w:pPr>
        <w:tabs>
          <w:tab w:val="num" w:pos="907"/>
        </w:tabs>
        <w:ind w:left="907" w:hanging="54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10D2021"/>
    <w:multiLevelType w:val="multilevel"/>
    <w:tmpl w:val="72F8140E"/>
    <w:numStyleLink w:val="OutlineList"/>
  </w:abstractNum>
  <w:abstractNum w:abstractNumId="19" w15:restartNumberingAfterBreak="0">
    <w:nsid w:val="63824294"/>
    <w:multiLevelType w:val="hybridMultilevel"/>
    <w:tmpl w:val="4CFA93F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C181079"/>
    <w:multiLevelType w:val="multilevel"/>
    <w:tmpl w:val="6F92BA82"/>
    <w:lvl w:ilvl="0">
      <w:start w:val="1"/>
      <w:numFmt w:val="bullet"/>
      <w:pStyle w:val="Bullet"/>
      <w:lvlText w:val="•"/>
      <w:lvlJc w:val="left"/>
      <w:pPr>
        <w:ind w:left="1724" w:hanging="284"/>
      </w:pPr>
      <w:rPr>
        <w:rFonts w:ascii="Times New Roman" w:hAnsi="Times New Roman" w:cs="Times New Roman" w:hint="default"/>
      </w:rPr>
    </w:lvl>
    <w:lvl w:ilvl="1">
      <w:start w:val="1"/>
      <w:numFmt w:val="bullet"/>
      <w:pStyle w:val="Dash"/>
      <w:lvlText w:val="–"/>
      <w:lvlJc w:val="left"/>
      <w:pPr>
        <w:ind w:left="2008" w:hanging="284"/>
      </w:pPr>
      <w:rPr>
        <w:rFonts w:ascii="Times New Roman" w:hAnsi="Times New Roman" w:cs="Times New Roman" w:hint="default"/>
      </w:rPr>
    </w:lvl>
    <w:lvl w:ilvl="2">
      <w:start w:val="1"/>
      <w:numFmt w:val="bullet"/>
      <w:pStyle w:val="DoubleDot"/>
      <w:lvlText w:val=":"/>
      <w:lvlJc w:val="left"/>
      <w:pPr>
        <w:ind w:left="2292" w:hanging="284"/>
      </w:pPr>
      <w:rPr>
        <w:rFonts w:ascii="Calibri" w:hAnsi="Calibri" w:hint="default"/>
      </w:rPr>
    </w:lvl>
    <w:lvl w:ilvl="3">
      <w:start w:val="1"/>
      <w:numFmt w:val="none"/>
      <w:lvlText w:val=""/>
      <w:lvlJc w:val="left"/>
      <w:pPr>
        <w:ind w:left="2576" w:hanging="284"/>
      </w:pPr>
      <w:rPr>
        <w:rFonts w:hint="default"/>
      </w:rPr>
    </w:lvl>
    <w:lvl w:ilvl="4">
      <w:start w:val="1"/>
      <w:numFmt w:val="none"/>
      <w:lvlText w:val=""/>
      <w:lvlJc w:val="left"/>
      <w:pPr>
        <w:ind w:left="2860" w:hanging="284"/>
      </w:pPr>
      <w:rPr>
        <w:rFonts w:hint="default"/>
      </w:rPr>
    </w:lvl>
    <w:lvl w:ilvl="5">
      <w:start w:val="1"/>
      <w:numFmt w:val="none"/>
      <w:lvlText w:val=""/>
      <w:lvlJc w:val="left"/>
      <w:pPr>
        <w:ind w:left="3144" w:hanging="284"/>
      </w:pPr>
      <w:rPr>
        <w:rFonts w:hint="default"/>
      </w:rPr>
    </w:lvl>
    <w:lvl w:ilvl="6">
      <w:start w:val="1"/>
      <w:numFmt w:val="none"/>
      <w:lvlText w:val=""/>
      <w:lvlJc w:val="left"/>
      <w:pPr>
        <w:ind w:left="3428" w:hanging="284"/>
      </w:pPr>
      <w:rPr>
        <w:rFonts w:hint="default"/>
      </w:rPr>
    </w:lvl>
    <w:lvl w:ilvl="7">
      <w:start w:val="1"/>
      <w:numFmt w:val="none"/>
      <w:lvlText w:val=""/>
      <w:lvlJc w:val="left"/>
      <w:pPr>
        <w:ind w:left="3712" w:hanging="284"/>
      </w:pPr>
      <w:rPr>
        <w:rFonts w:hint="default"/>
      </w:rPr>
    </w:lvl>
    <w:lvl w:ilvl="8">
      <w:start w:val="1"/>
      <w:numFmt w:val="none"/>
      <w:lvlText w:val=""/>
      <w:lvlJc w:val="left"/>
      <w:pPr>
        <w:ind w:left="3996" w:hanging="284"/>
      </w:pPr>
      <w:rPr>
        <w:rFonts w:hint="default"/>
      </w:rPr>
    </w:lvl>
  </w:abstractNum>
  <w:abstractNum w:abstractNumId="21" w15:restartNumberingAfterBreak="0">
    <w:nsid w:val="70193590"/>
    <w:multiLevelType w:val="multilevel"/>
    <w:tmpl w:val="23AA8198"/>
    <w:styleLink w:val="CurrentList1"/>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43278EF"/>
    <w:multiLevelType w:val="hybridMultilevel"/>
    <w:tmpl w:val="6584DE0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3" w15:restartNumberingAfterBreak="0">
    <w:nsid w:val="7DC4185D"/>
    <w:multiLevelType w:val="hybridMultilevel"/>
    <w:tmpl w:val="15CEC5C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10817064">
    <w:abstractNumId w:val="11"/>
  </w:num>
  <w:num w:numId="2" w16cid:durableId="198933001">
    <w:abstractNumId w:val="1"/>
  </w:num>
  <w:num w:numId="3" w16cid:durableId="165901984">
    <w:abstractNumId w:val="13"/>
  </w:num>
  <w:num w:numId="4" w16cid:durableId="996346909">
    <w:abstractNumId w:val="3"/>
  </w:num>
  <w:num w:numId="5" w16cid:durableId="1981955139">
    <w:abstractNumId w:val="18"/>
  </w:num>
  <w:num w:numId="6" w16cid:durableId="1368986024">
    <w:abstractNumId w:val="12"/>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 w16cid:durableId="1757095327">
    <w:abstractNumId w:val="6"/>
  </w:num>
  <w:num w:numId="8" w16cid:durableId="219824426">
    <w:abstractNumId w:val="9"/>
  </w:num>
  <w:num w:numId="9" w16cid:durableId="668871395">
    <w:abstractNumId w:val="12"/>
  </w:num>
  <w:num w:numId="10" w16cid:durableId="260459672">
    <w:abstractNumId w:val="4"/>
  </w:num>
  <w:num w:numId="11" w16cid:durableId="827794538">
    <w:abstractNumId w:val="20"/>
  </w:num>
  <w:num w:numId="12" w16cid:durableId="803889693">
    <w:abstractNumId w:val="7"/>
  </w:num>
  <w:num w:numId="13" w16cid:durableId="1189413672">
    <w:abstractNumId w:val="21"/>
  </w:num>
  <w:num w:numId="14" w16cid:durableId="1230726790">
    <w:abstractNumId w:val="5"/>
  </w:num>
  <w:num w:numId="15" w16cid:durableId="1603343473">
    <w:abstractNumId w:val="16"/>
  </w:num>
  <w:num w:numId="16" w16cid:durableId="1860385488">
    <w:abstractNumId w:val="14"/>
  </w:num>
  <w:num w:numId="17" w16cid:durableId="1969774174">
    <w:abstractNumId w:val="18"/>
  </w:num>
  <w:num w:numId="18" w16cid:durableId="710812912">
    <w:abstractNumId w:val="18"/>
  </w:num>
  <w:num w:numId="19" w16cid:durableId="446579403">
    <w:abstractNumId w:val="18"/>
  </w:num>
  <w:num w:numId="20" w16cid:durableId="707871941">
    <w:abstractNumId w:val="18"/>
  </w:num>
  <w:num w:numId="21" w16cid:durableId="152449396">
    <w:abstractNumId w:val="18"/>
  </w:num>
  <w:num w:numId="22" w16cid:durableId="674724359">
    <w:abstractNumId w:val="18"/>
  </w:num>
  <w:num w:numId="23" w16cid:durableId="1564830738">
    <w:abstractNumId w:val="18"/>
  </w:num>
  <w:num w:numId="24" w16cid:durableId="1359891991">
    <w:abstractNumId w:val="18"/>
  </w:num>
  <w:num w:numId="25" w16cid:durableId="1353066819">
    <w:abstractNumId w:val="18"/>
  </w:num>
  <w:num w:numId="26" w16cid:durableId="1924099940">
    <w:abstractNumId w:val="18"/>
  </w:num>
  <w:num w:numId="27" w16cid:durableId="215243950">
    <w:abstractNumId w:val="18"/>
  </w:num>
  <w:num w:numId="28" w16cid:durableId="1245526169">
    <w:abstractNumId w:val="18"/>
  </w:num>
  <w:num w:numId="29" w16cid:durableId="461583079">
    <w:abstractNumId w:val="18"/>
  </w:num>
  <w:num w:numId="30" w16cid:durableId="1655144044">
    <w:abstractNumId w:val="18"/>
  </w:num>
  <w:num w:numId="31" w16cid:durableId="860165050">
    <w:abstractNumId w:val="18"/>
  </w:num>
  <w:num w:numId="32" w16cid:durableId="418134938">
    <w:abstractNumId w:val="18"/>
  </w:num>
  <w:num w:numId="33" w16cid:durableId="696470808">
    <w:abstractNumId w:val="18"/>
  </w:num>
  <w:num w:numId="34" w16cid:durableId="144393242">
    <w:abstractNumId w:val="18"/>
  </w:num>
  <w:num w:numId="35" w16cid:durableId="705717996">
    <w:abstractNumId w:val="18"/>
  </w:num>
  <w:num w:numId="36" w16cid:durableId="1580753686">
    <w:abstractNumId w:val="18"/>
  </w:num>
  <w:num w:numId="37" w16cid:durableId="1726565475">
    <w:abstractNumId w:val="18"/>
  </w:num>
  <w:num w:numId="38" w16cid:durableId="174199818">
    <w:abstractNumId w:val="18"/>
  </w:num>
  <w:num w:numId="39" w16cid:durableId="710153695">
    <w:abstractNumId w:val="18"/>
  </w:num>
  <w:num w:numId="40" w16cid:durableId="509416298">
    <w:abstractNumId w:val="18"/>
  </w:num>
  <w:num w:numId="41" w16cid:durableId="1087339882">
    <w:abstractNumId w:val="18"/>
  </w:num>
  <w:num w:numId="42" w16cid:durableId="891498397">
    <w:abstractNumId w:val="18"/>
  </w:num>
  <w:num w:numId="43" w16cid:durableId="1701975155">
    <w:abstractNumId w:val="18"/>
  </w:num>
  <w:num w:numId="44" w16cid:durableId="1881897005">
    <w:abstractNumId w:val="18"/>
  </w:num>
  <w:num w:numId="45" w16cid:durableId="338122115">
    <w:abstractNumId w:val="17"/>
  </w:num>
  <w:num w:numId="46" w16cid:durableId="1000818855">
    <w:abstractNumId w:val="10"/>
  </w:num>
  <w:num w:numId="47" w16cid:durableId="1918006668">
    <w:abstractNumId w:val="2"/>
  </w:num>
  <w:num w:numId="48" w16cid:durableId="2069760818">
    <w:abstractNumId w:val="22"/>
  </w:num>
  <w:num w:numId="49" w16cid:durableId="726798644">
    <w:abstractNumId w:val="8"/>
  </w:num>
  <w:num w:numId="50" w16cid:durableId="747966408">
    <w:abstractNumId w:val="0"/>
  </w:num>
  <w:num w:numId="51" w16cid:durableId="616329435">
    <w:abstractNumId w:val="23"/>
  </w:num>
  <w:num w:numId="52" w16cid:durableId="1071468294">
    <w:abstractNumId w:val="19"/>
  </w:num>
  <w:num w:numId="53" w16cid:durableId="193005926">
    <w:abstractNumId w:val="15"/>
  </w:num>
  <w:num w:numId="54" w16cid:durableId="214051857">
    <w:abstractNumId w:val="1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S IE statements&lt;/Style&gt;&lt;LeftDelim&gt;{&lt;/LeftDelim&gt;&lt;RightDelim&gt;}&lt;/RightDelim&gt;&lt;FontName&gt;Calibri Light&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0sp9ezptped50e00ropxrznw5fstp9ppz55&quot;&gt;240821 Hub New&lt;record-ids&gt;&lt;item&gt;12382&lt;/item&gt;&lt;/record-ids&gt;&lt;/item&gt;&lt;/Libraries&gt;"/>
  </w:docVars>
  <w:rsids>
    <w:rsidRoot w:val="00A57280"/>
    <w:rsid w:val="00000B4D"/>
    <w:rsid w:val="00001CD1"/>
    <w:rsid w:val="00001D2E"/>
    <w:rsid w:val="00001E47"/>
    <w:rsid w:val="000020E2"/>
    <w:rsid w:val="000031D1"/>
    <w:rsid w:val="00003354"/>
    <w:rsid w:val="00003432"/>
    <w:rsid w:val="000037B1"/>
    <w:rsid w:val="00003D83"/>
    <w:rsid w:val="00003E14"/>
    <w:rsid w:val="00003F9C"/>
    <w:rsid w:val="0000474C"/>
    <w:rsid w:val="00004C05"/>
    <w:rsid w:val="00005012"/>
    <w:rsid w:val="00005526"/>
    <w:rsid w:val="0000556C"/>
    <w:rsid w:val="000055B6"/>
    <w:rsid w:val="0000584F"/>
    <w:rsid w:val="00006A8B"/>
    <w:rsid w:val="00006E33"/>
    <w:rsid w:val="000071B6"/>
    <w:rsid w:val="00007B0E"/>
    <w:rsid w:val="00007FF5"/>
    <w:rsid w:val="0001180B"/>
    <w:rsid w:val="0001213E"/>
    <w:rsid w:val="000124FA"/>
    <w:rsid w:val="00012DCA"/>
    <w:rsid w:val="00012E9E"/>
    <w:rsid w:val="00013517"/>
    <w:rsid w:val="0001376A"/>
    <w:rsid w:val="00013C83"/>
    <w:rsid w:val="00013EFB"/>
    <w:rsid w:val="00014440"/>
    <w:rsid w:val="0001462D"/>
    <w:rsid w:val="0001468F"/>
    <w:rsid w:val="00016069"/>
    <w:rsid w:val="000167C0"/>
    <w:rsid w:val="00016E3E"/>
    <w:rsid w:val="00017481"/>
    <w:rsid w:val="00017C47"/>
    <w:rsid w:val="00017E22"/>
    <w:rsid w:val="00017E71"/>
    <w:rsid w:val="00020664"/>
    <w:rsid w:val="000213D1"/>
    <w:rsid w:val="00021444"/>
    <w:rsid w:val="000214E7"/>
    <w:rsid w:val="00022521"/>
    <w:rsid w:val="00022569"/>
    <w:rsid w:val="00022A40"/>
    <w:rsid w:val="00022A73"/>
    <w:rsid w:val="00022CC7"/>
    <w:rsid w:val="00022F1E"/>
    <w:rsid w:val="0002314F"/>
    <w:rsid w:val="00023A45"/>
    <w:rsid w:val="0002460B"/>
    <w:rsid w:val="0002481E"/>
    <w:rsid w:val="00024A14"/>
    <w:rsid w:val="00025702"/>
    <w:rsid w:val="00026944"/>
    <w:rsid w:val="00026E75"/>
    <w:rsid w:val="0002744B"/>
    <w:rsid w:val="000275BD"/>
    <w:rsid w:val="00027AA9"/>
    <w:rsid w:val="00027B48"/>
    <w:rsid w:val="00027E29"/>
    <w:rsid w:val="00030054"/>
    <w:rsid w:val="0003075C"/>
    <w:rsid w:val="000308BF"/>
    <w:rsid w:val="00030AAA"/>
    <w:rsid w:val="00030E72"/>
    <w:rsid w:val="00031118"/>
    <w:rsid w:val="0003232E"/>
    <w:rsid w:val="0003287A"/>
    <w:rsid w:val="000331DC"/>
    <w:rsid w:val="00033382"/>
    <w:rsid w:val="00034112"/>
    <w:rsid w:val="000342C9"/>
    <w:rsid w:val="000344D6"/>
    <w:rsid w:val="00034521"/>
    <w:rsid w:val="00034D70"/>
    <w:rsid w:val="00035BE4"/>
    <w:rsid w:val="0003725A"/>
    <w:rsid w:val="00037C46"/>
    <w:rsid w:val="00040208"/>
    <w:rsid w:val="00040859"/>
    <w:rsid w:val="00041775"/>
    <w:rsid w:val="00041A00"/>
    <w:rsid w:val="00042DB1"/>
    <w:rsid w:val="00042FB6"/>
    <w:rsid w:val="00043131"/>
    <w:rsid w:val="00043C50"/>
    <w:rsid w:val="00043F80"/>
    <w:rsid w:val="000441B3"/>
    <w:rsid w:val="0004441A"/>
    <w:rsid w:val="00044C13"/>
    <w:rsid w:val="000452DF"/>
    <w:rsid w:val="00045480"/>
    <w:rsid w:val="000458DD"/>
    <w:rsid w:val="00046857"/>
    <w:rsid w:val="00046EFF"/>
    <w:rsid w:val="000479A6"/>
    <w:rsid w:val="00047BE6"/>
    <w:rsid w:val="00047EC0"/>
    <w:rsid w:val="00050BF9"/>
    <w:rsid w:val="00052208"/>
    <w:rsid w:val="0005249B"/>
    <w:rsid w:val="00052C18"/>
    <w:rsid w:val="00052FE6"/>
    <w:rsid w:val="000531ED"/>
    <w:rsid w:val="000537DC"/>
    <w:rsid w:val="000538C3"/>
    <w:rsid w:val="00053A8F"/>
    <w:rsid w:val="00053ED4"/>
    <w:rsid w:val="000543AC"/>
    <w:rsid w:val="00054D81"/>
    <w:rsid w:val="00054FA8"/>
    <w:rsid w:val="00055107"/>
    <w:rsid w:val="000553ED"/>
    <w:rsid w:val="000558AF"/>
    <w:rsid w:val="00055D5C"/>
    <w:rsid w:val="00055D92"/>
    <w:rsid w:val="000565F4"/>
    <w:rsid w:val="00057911"/>
    <w:rsid w:val="00057A8D"/>
    <w:rsid w:val="00057BD0"/>
    <w:rsid w:val="00057D14"/>
    <w:rsid w:val="00060470"/>
    <w:rsid w:val="0006077D"/>
    <w:rsid w:val="00060CD5"/>
    <w:rsid w:val="00060CEE"/>
    <w:rsid w:val="00062982"/>
    <w:rsid w:val="00062992"/>
    <w:rsid w:val="00062CA4"/>
    <w:rsid w:val="00063BBB"/>
    <w:rsid w:val="000651E6"/>
    <w:rsid w:val="00065658"/>
    <w:rsid w:val="000656B6"/>
    <w:rsid w:val="000659F5"/>
    <w:rsid w:val="0006611F"/>
    <w:rsid w:val="0006628B"/>
    <w:rsid w:val="000664E0"/>
    <w:rsid w:val="00066706"/>
    <w:rsid w:val="00066FB6"/>
    <w:rsid w:val="0006748B"/>
    <w:rsid w:val="00067F5D"/>
    <w:rsid w:val="000702D7"/>
    <w:rsid w:val="00070378"/>
    <w:rsid w:val="0007127C"/>
    <w:rsid w:val="00071D13"/>
    <w:rsid w:val="000720CB"/>
    <w:rsid w:val="00072474"/>
    <w:rsid w:val="000724E0"/>
    <w:rsid w:val="00073466"/>
    <w:rsid w:val="0007350C"/>
    <w:rsid w:val="0007359F"/>
    <w:rsid w:val="000737B5"/>
    <w:rsid w:val="000737F3"/>
    <w:rsid w:val="00073CE9"/>
    <w:rsid w:val="000740C2"/>
    <w:rsid w:val="00075221"/>
    <w:rsid w:val="000753A0"/>
    <w:rsid w:val="000754A7"/>
    <w:rsid w:val="000758A7"/>
    <w:rsid w:val="00076009"/>
    <w:rsid w:val="00076C75"/>
    <w:rsid w:val="00076D10"/>
    <w:rsid w:val="00076E4C"/>
    <w:rsid w:val="00077ACD"/>
    <w:rsid w:val="00077B2C"/>
    <w:rsid w:val="00077C4F"/>
    <w:rsid w:val="000800D7"/>
    <w:rsid w:val="00080216"/>
    <w:rsid w:val="000808FA"/>
    <w:rsid w:val="00080981"/>
    <w:rsid w:val="00080B0B"/>
    <w:rsid w:val="00080BB4"/>
    <w:rsid w:val="00081CA6"/>
    <w:rsid w:val="0008315F"/>
    <w:rsid w:val="00083CBF"/>
    <w:rsid w:val="000841F0"/>
    <w:rsid w:val="00084EBE"/>
    <w:rsid w:val="00084EBF"/>
    <w:rsid w:val="0008506E"/>
    <w:rsid w:val="0008546F"/>
    <w:rsid w:val="00085F4B"/>
    <w:rsid w:val="00086464"/>
    <w:rsid w:val="00086799"/>
    <w:rsid w:val="000867D9"/>
    <w:rsid w:val="00087EA9"/>
    <w:rsid w:val="000909AB"/>
    <w:rsid w:val="00090E1F"/>
    <w:rsid w:val="000912C0"/>
    <w:rsid w:val="0009164E"/>
    <w:rsid w:val="00091708"/>
    <w:rsid w:val="000918A1"/>
    <w:rsid w:val="00091F6A"/>
    <w:rsid w:val="00092C8D"/>
    <w:rsid w:val="00093358"/>
    <w:rsid w:val="000939F8"/>
    <w:rsid w:val="00093B3C"/>
    <w:rsid w:val="00094532"/>
    <w:rsid w:val="000948A9"/>
    <w:rsid w:val="00097562"/>
    <w:rsid w:val="00097D78"/>
    <w:rsid w:val="00097F99"/>
    <w:rsid w:val="000A0312"/>
    <w:rsid w:val="000A0645"/>
    <w:rsid w:val="000A072A"/>
    <w:rsid w:val="000A0B4A"/>
    <w:rsid w:val="000A1DD6"/>
    <w:rsid w:val="000A1E59"/>
    <w:rsid w:val="000A2838"/>
    <w:rsid w:val="000A287E"/>
    <w:rsid w:val="000A3321"/>
    <w:rsid w:val="000A3357"/>
    <w:rsid w:val="000A351D"/>
    <w:rsid w:val="000A3638"/>
    <w:rsid w:val="000A3827"/>
    <w:rsid w:val="000A3ACB"/>
    <w:rsid w:val="000A3C6A"/>
    <w:rsid w:val="000A42DE"/>
    <w:rsid w:val="000A5777"/>
    <w:rsid w:val="000A5ABF"/>
    <w:rsid w:val="000A6524"/>
    <w:rsid w:val="000A69D9"/>
    <w:rsid w:val="000A6DFC"/>
    <w:rsid w:val="000B02FB"/>
    <w:rsid w:val="000B0D7B"/>
    <w:rsid w:val="000B164F"/>
    <w:rsid w:val="000B1CC1"/>
    <w:rsid w:val="000B1F1B"/>
    <w:rsid w:val="000B1FF7"/>
    <w:rsid w:val="000B2134"/>
    <w:rsid w:val="000B2F4F"/>
    <w:rsid w:val="000B416D"/>
    <w:rsid w:val="000B47A7"/>
    <w:rsid w:val="000B5435"/>
    <w:rsid w:val="000B5665"/>
    <w:rsid w:val="000B58CE"/>
    <w:rsid w:val="000B614E"/>
    <w:rsid w:val="000B6D1E"/>
    <w:rsid w:val="000B6EBC"/>
    <w:rsid w:val="000B782D"/>
    <w:rsid w:val="000C0AA5"/>
    <w:rsid w:val="000C0D2B"/>
    <w:rsid w:val="000C1978"/>
    <w:rsid w:val="000C1DDA"/>
    <w:rsid w:val="000C1F30"/>
    <w:rsid w:val="000C251F"/>
    <w:rsid w:val="000C2C9E"/>
    <w:rsid w:val="000C342E"/>
    <w:rsid w:val="000C34D9"/>
    <w:rsid w:val="000C3506"/>
    <w:rsid w:val="000C353B"/>
    <w:rsid w:val="000C4860"/>
    <w:rsid w:val="000C4FBB"/>
    <w:rsid w:val="000C4FCE"/>
    <w:rsid w:val="000C56E5"/>
    <w:rsid w:val="000C5726"/>
    <w:rsid w:val="000C5A82"/>
    <w:rsid w:val="000C5B99"/>
    <w:rsid w:val="000C698D"/>
    <w:rsid w:val="000C6D5F"/>
    <w:rsid w:val="000C6DB3"/>
    <w:rsid w:val="000C7080"/>
    <w:rsid w:val="000C7235"/>
    <w:rsid w:val="000C73DA"/>
    <w:rsid w:val="000C7C22"/>
    <w:rsid w:val="000C7CC8"/>
    <w:rsid w:val="000D00FA"/>
    <w:rsid w:val="000D02A9"/>
    <w:rsid w:val="000D0361"/>
    <w:rsid w:val="000D0597"/>
    <w:rsid w:val="000D067D"/>
    <w:rsid w:val="000D071A"/>
    <w:rsid w:val="000D080A"/>
    <w:rsid w:val="000D0F9C"/>
    <w:rsid w:val="000D16E2"/>
    <w:rsid w:val="000D1B2E"/>
    <w:rsid w:val="000D1CA5"/>
    <w:rsid w:val="000D1CAF"/>
    <w:rsid w:val="000D2A6E"/>
    <w:rsid w:val="000D2B1F"/>
    <w:rsid w:val="000D2C57"/>
    <w:rsid w:val="000D2EC9"/>
    <w:rsid w:val="000D3093"/>
    <w:rsid w:val="000D3583"/>
    <w:rsid w:val="000D3940"/>
    <w:rsid w:val="000D3ACC"/>
    <w:rsid w:val="000D3C2A"/>
    <w:rsid w:val="000D4378"/>
    <w:rsid w:val="000D4C88"/>
    <w:rsid w:val="000D4FD6"/>
    <w:rsid w:val="000D588A"/>
    <w:rsid w:val="000D6169"/>
    <w:rsid w:val="000D6D08"/>
    <w:rsid w:val="000D6FDC"/>
    <w:rsid w:val="000D7854"/>
    <w:rsid w:val="000E016A"/>
    <w:rsid w:val="000E03C8"/>
    <w:rsid w:val="000E0620"/>
    <w:rsid w:val="000E06EB"/>
    <w:rsid w:val="000E0B4E"/>
    <w:rsid w:val="000E183F"/>
    <w:rsid w:val="000E1D14"/>
    <w:rsid w:val="000E233F"/>
    <w:rsid w:val="000E2385"/>
    <w:rsid w:val="000E267C"/>
    <w:rsid w:val="000E27EB"/>
    <w:rsid w:val="000E34B6"/>
    <w:rsid w:val="000E38D1"/>
    <w:rsid w:val="000E3E52"/>
    <w:rsid w:val="000E3E54"/>
    <w:rsid w:val="000E3F1C"/>
    <w:rsid w:val="000E41CF"/>
    <w:rsid w:val="000E4542"/>
    <w:rsid w:val="000E4571"/>
    <w:rsid w:val="000E46D0"/>
    <w:rsid w:val="000E52E9"/>
    <w:rsid w:val="000E566C"/>
    <w:rsid w:val="000E58D6"/>
    <w:rsid w:val="000E5DF4"/>
    <w:rsid w:val="000E6947"/>
    <w:rsid w:val="000E6B23"/>
    <w:rsid w:val="000E75D5"/>
    <w:rsid w:val="000F0466"/>
    <w:rsid w:val="000F061B"/>
    <w:rsid w:val="000F06E2"/>
    <w:rsid w:val="000F0CF0"/>
    <w:rsid w:val="000F0EC5"/>
    <w:rsid w:val="000F15B3"/>
    <w:rsid w:val="000F29AA"/>
    <w:rsid w:val="000F3496"/>
    <w:rsid w:val="000F377C"/>
    <w:rsid w:val="000F3B77"/>
    <w:rsid w:val="000F3DD9"/>
    <w:rsid w:val="000F40E2"/>
    <w:rsid w:val="000F441C"/>
    <w:rsid w:val="000F4795"/>
    <w:rsid w:val="000F4B6B"/>
    <w:rsid w:val="000F5060"/>
    <w:rsid w:val="000F5996"/>
    <w:rsid w:val="000F6B1A"/>
    <w:rsid w:val="000F7050"/>
    <w:rsid w:val="001006F1"/>
    <w:rsid w:val="00100F01"/>
    <w:rsid w:val="00100F88"/>
    <w:rsid w:val="00101A75"/>
    <w:rsid w:val="00101CC6"/>
    <w:rsid w:val="00101D6A"/>
    <w:rsid w:val="00102A33"/>
    <w:rsid w:val="00102C7E"/>
    <w:rsid w:val="00102D07"/>
    <w:rsid w:val="00103507"/>
    <w:rsid w:val="00104119"/>
    <w:rsid w:val="00104307"/>
    <w:rsid w:val="001048C6"/>
    <w:rsid w:val="00104950"/>
    <w:rsid w:val="00104D3B"/>
    <w:rsid w:val="00104EB7"/>
    <w:rsid w:val="00105306"/>
    <w:rsid w:val="001053DA"/>
    <w:rsid w:val="001054D2"/>
    <w:rsid w:val="00105807"/>
    <w:rsid w:val="00105D04"/>
    <w:rsid w:val="00105DAA"/>
    <w:rsid w:val="00105DBB"/>
    <w:rsid w:val="00105F7F"/>
    <w:rsid w:val="001060E1"/>
    <w:rsid w:val="00106D93"/>
    <w:rsid w:val="001076E9"/>
    <w:rsid w:val="00107E69"/>
    <w:rsid w:val="0011070B"/>
    <w:rsid w:val="00110DB3"/>
    <w:rsid w:val="00111255"/>
    <w:rsid w:val="00111E22"/>
    <w:rsid w:val="001133B3"/>
    <w:rsid w:val="0011345A"/>
    <w:rsid w:val="001137E7"/>
    <w:rsid w:val="0011386F"/>
    <w:rsid w:val="0011395A"/>
    <w:rsid w:val="00114F62"/>
    <w:rsid w:val="001150D5"/>
    <w:rsid w:val="00115A9C"/>
    <w:rsid w:val="00116079"/>
    <w:rsid w:val="00116255"/>
    <w:rsid w:val="001162A5"/>
    <w:rsid w:val="0011638F"/>
    <w:rsid w:val="001164D9"/>
    <w:rsid w:val="00116510"/>
    <w:rsid w:val="00116C11"/>
    <w:rsid w:val="00116DD0"/>
    <w:rsid w:val="00117132"/>
    <w:rsid w:val="00117440"/>
    <w:rsid w:val="0011749A"/>
    <w:rsid w:val="00117611"/>
    <w:rsid w:val="001179E9"/>
    <w:rsid w:val="00117B0F"/>
    <w:rsid w:val="0012069D"/>
    <w:rsid w:val="001206C1"/>
    <w:rsid w:val="00120BD7"/>
    <w:rsid w:val="00120EFB"/>
    <w:rsid w:val="0012243F"/>
    <w:rsid w:val="00122BA9"/>
    <w:rsid w:val="00122C5A"/>
    <w:rsid w:val="0012372D"/>
    <w:rsid w:val="00123CE0"/>
    <w:rsid w:val="00123EC4"/>
    <w:rsid w:val="001244C4"/>
    <w:rsid w:val="00124EA5"/>
    <w:rsid w:val="001267DF"/>
    <w:rsid w:val="001268D3"/>
    <w:rsid w:val="001269F9"/>
    <w:rsid w:val="00126E8C"/>
    <w:rsid w:val="0012720E"/>
    <w:rsid w:val="00127AAF"/>
    <w:rsid w:val="00127FE7"/>
    <w:rsid w:val="00130125"/>
    <w:rsid w:val="00130142"/>
    <w:rsid w:val="001306A2"/>
    <w:rsid w:val="00130953"/>
    <w:rsid w:val="001316D8"/>
    <w:rsid w:val="00131866"/>
    <w:rsid w:val="0013195F"/>
    <w:rsid w:val="00132430"/>
    <w:rsid w:val="00132453"/>
    <w:rsid w:val="00132D7A"/>
    <w:rsid w:val="0013305B"/>
    <w:rsid w:val="001331A7"/>
    <w:rsid w:val="0013356C"/>
    <w:rsid w:val="00134857"/>
    <w:rsid w:val="00134AB6"/>
    <w:rsid w:val="00134E34"/>
    <w:rsid w:val="00135B96"/>
    <w:rsid w:val="001378C9"/>
    <w:rsid w:val="001400F1"/>
    <w:rsid w:val="0014030C"/>
    <w:rsid w:val="0014043A"/>
    <w:rsid w:val="001406BF"/>
    <w:rsid w:val="00140EFB"/>
    <w:rsid w:val="001413F0"/>
    <w:rsid w:val="0014166C"/>
    <w:rsid w:val="001424F1"/>
    <w:rsid w:val="00142953"/>
    <w:rsid w:val="00143F81"/>
    <w:rsid w:val="001446A9"/>
    <w:rsid w:val="00144DF1"/>
    <w:rsid w:val="00144E50"/>
    <w:rsid w:val="00145579"/>
    <w:rsid w:val="001462E0"/>
    <w:rsid w:val="001468AD"/>
    <w:rsid w:val="0014784C"/>
    <w:rsid w:val="00147E33"/>
    <w:rsid w:val="00150C9E"/>
    <w:rsid w:val="001513FB"/>
    <w:rsid w:val="00152211"/>
    <w:rsid w:val="00152280"/>
    <w:rsid w:val="001525AB"/>
    <w:rsid w:val="001527C6"/>
    <w:rsid w:val="00152E55"/>
    <w:rsid w:val="001537CA"/>
    <w:rsid w:val="00153BE0"/>
    <w:rsid w:val="00153C7D"/>
    <w:rsid w:val="00153E3A"/>
    <w:rsid w:val="00153F1E"/>
    <w:rsid w:val="001540CE"/>
    <w:rsid w:val="001545D5"/>
    <w:rsid w:val="00154797"/>
    <w:rsid w:val="00154E4B"/>
    <w:rsid w:val="00155447"/>
    <w:rsid w:val="0015617E"/>
    <w:rsid w:val="0015721B"/>
    <w:rsid w:val="00157A6D"/>
    <w:rsid w:val="00160CEC"/>
    <w:rsid w:val="001610CE"/>
    <w:rsid w:val="00161309"/>
    <w:rsid w:val="00161331"/>
    <w:rsid w:val="001620C1"/>
    <w:rsid w:val="001624A1"/>
    <w:rsid w:val="00162CD8"/>
    <w:rsid w:val="00162EFE"/>
    <w:rsid w:val="00162FC6"/>
    <w:rsid w:val="001633CC"/>
    <w:rsid w:val="0016391E"/>
    <w:rsid w:val="00163A9B"/>
    <w:rsid w:val="00164B89"/>
    <w:rsid w:val="00164E80"/>
    <w:rsid w:val="001654E3"/>
    <w:rsid w:val="0016581C"/>
    <w:rsid w:val="00165A6B"/>
    <w:rsid w:val="001663D2"/>
    <w:rsid w:val="00166545"/>
    <w:rsid w:val="00166758"/>
    <w:rsid w:val="001672CD"/>
    <w:rsid w:val="00167367"/>
    <w:rsid w:val="001675E7"/>
    <w:rsid w:val="00167843"/>
    <w:rsid w:val="0017079E"/>
    <w:rsid w:val="001709BD"/>
    <w:rsid w:val="00170F1F"/>
    <w:rsid w:val="001718D1"/>
    <w:rsid w:val="00171FDD"/>
    <w:rsid w:val="00172CEA"/>
    <w:rsid w:val="00172E66"/>
    <w:rsid w:val="00172EDC"/>
    <w:rsid w:val="0017302E"/>
    <w:rsid w:val="001735B3"/>
    <w:rsid w:val="00173EE5"/>
    <w:rsid w:val="0017519D"/>
    <w:rsid w:val="00175D4A"/>
    <w:rsid w:val="00175E43"/>
    <w:rsid w:val="00175F59"/>
    <w:rsid w:val="00176377"/>
    <w:rsid w:val="00177454"/>
    <w:rsid w:val="00177638"/>
    <w:rsid w:val="00177AD9"/>
    <w:rsid w:val="001801F9"/>
    <w:rsid w:val="00181076"/>
    <w:rsid w:val="0018192A"/>
    <w:rsid w:val="00181B39"/>
    <w:rsid w:val="00182720"/>
    <w:rsid w:val="001827ED"/>
    <w:rsid w:val="00182823"/>
    <w:rsid w:val="00182E7E"/>
    <w:rsid w:val="00183345"/>
    <w:rsid w:val="0018360F"/>
    <w:rsid w:val="00183DA6"/>
    <w:rsid w:val="00184688"/>
    <w:rsid w:val="001848D2"/>
    <w:rsid w:val="00184C5E"/>
    <w:rsid w:val="001861B6"/>
    <w:rsid w:val="00186564"/>
    <w:rsid w:val="00186CD4"/>
    <w:rsid w:val="001877A4"/>
    <w:rsid w:val="00187912"/>
    <w:rsid w:val="00187C09"/>
    <w:rsid w:val="00187CD1"/>
    <w:rsid w:val="00190542"/>
    <w:rsid w:val="00191233"/>
    <w:rsid w:val="0019139A"/>
    <w:rsid w:val="00191957"/>
    <w:rsid w:val="001925A9"/>
    <w:rsid w:val="00192B27"/>
    <w:rsid w:val="00192F1F"/>
    <w:rsid w:val="00193332"/>
    <w:rsid w:val="0019347A"/>
    <w:rsid w:val="001936C4"/>
    <w:rsid w:val="00193FCE"/>
    <w:rsid w:val="00194185"/>
    <w:rsid w:val="00194B57"/>
    <w:rsid w:val="00195707"/>
    <w:rsid w:val="00195914"/>
    <w:rsid w:val="00195AEC"/>
    <w:rsid w:val="001964E6"/>
    <w:rsid w:val="001965EB"/>
    <w:rsid w:val="00196939"/>
    <w:rsid w:val="001969AC"/>
    <w:rsid w:val="00196CEF"/>
    <w:rsid w:val="00196EF2"/>
    <w:rsid w:val="0019720E"/>
    <w:rsid w:val="001977C0"/>
    <w:rsid w:val="0019796A"/>
    <w:rsid w:val="001A09C7"/>
    <w:rsid w:val="001A1BFE"/>
    <w:rsid w:val="001A1F2C"/>
    <w:rsid w:val="001A21D6"/>
    <w:rsid w:val="001A2575"/>
    <w:rsid w:val="001A25B8"/>
    <w:rsid w:val="001A2A8E"/>
    <w:rsid w:val="001A3587"/>
    <w:rsid w:val="001A3967"/>
    <w:rsid w:val="001A4D13"/>
    <w:rsid w:val="001A4DAE"/>
    <w:rsid w:val="001A4EB2"/>
    <w:rsid w:val="001A53B7"/>
    <w:rsid w:val="001A6DB0"/>
    <w:rsid w:val="001A6FB3"/>
    <w:rsid w:val="001A7179"/>
    <w:rsid w:val="001A75F1"/>
    <w:rsid w:val="001B042E"/>
    <w:rsid w:val="001B0EF1"/>
    <w:rsid w:val="001B10BF"/>
    <w:rsid w:val="001B119E"/>
    <w:rsid w:val="001B1498"/>
    <w:rsid w:val="001B1DF8"/>
    <w:rsid w:val="001B1E9B"/>
    <w:rsid w:val="001B20C3"/>
    <w:rsid w:val="001B2228"/>
    <w:rsid w:val="001B2888"/>
    <w:rsid w:val="001B3E5A"/>
    <w:rsid w:val="001B43DE"/>
    <w:rsid w:val="001B44C0"/>
    <w:rsid w:val="001B4F39"/>
    <w:rsid w:val="001B545F"/>
    <w:rsid w:val="001B58A0"/>
    <w:rsid w:val="001B5E34"/>
    <w:rsid w:val="001B6042"/>
    <w:rsid w:val="001B6078"/>
    <w:rsid w:val="001B60B2"/>
    <w:rsid w:val="001B6416"/>
    <w:rsid w:val="001B68C5"/>
    <w:rsid w:val="001B6F01"/>
    <w:rsid w:val="001B716E"/>
    <w:rsid w:val="001B7DF8"/>
    <w:rsid w:val="001C0682"/>
    <w:rsid w:val="001C093E"/>
    <w:rsid w:val="001C17CE"/>
    <w:rsid w:val="001C1843"/>
    <w:rsid w:val="001C2572"/>
    <w:rsid w:val="001C27FE"/>
    <w:rsid w:val="001C2AAB"/>
    <w:rsid w:val="001C45B9"/>
    <w:rsid w:val="001C5026"/>
    <w:rsid w:val="001C53C0"/>
    <w:rsid w:val="001C555F"/>
    <w:rsid w:val="001C598F"/>
    <w:rsid w:val="001C5E3F"/>
    <w:rsid w:val="001C65A1"/>
    <w:rsid w:val="001C68F8"/>
    <w:rsid w:val="001C6B3F"/>
    <w:rsid w:val="001C6F04"/>
    <w:rsid w:val="001C73A2"/>
    <w:rsid w:val="001C7415"/>
    <w:rsid w:val="001C7A1E"/>
    <w:rsid w:val="001D018F"/>
    <w:rsid w:val="001D04C8"/>
    <w:rsid w:val="001D04DC"/>
    <w:rsid w:val="001D0D96"/>
    <w:rsid w:val="001D17E5"/>
    <w:rsid w:val="001D1ACE"/>
    <w:rsid w:val="001D1C2F"/>
    <w:rsid w:val="001D1EA9"/>
    <w:rsid w:val="001D1FBA"/>
    <w:rsid w:val="001D1FBB"/>
    <w:rsid w:val="001D254F"/>
    <w:rsid w:val="001D2950"/>
    <w:rsid w:val="001D36F4"/>
    <w:rsid w:val="001D3F21"/>
    <w:rsid w:val="001D4C53"/>
    <w:rsid w:val="001D5389"/>
    <w:rsid w:val="001D5556"/>
    <w:rsid w:val="001D56A5"/>
    <w:rsid w:val="001D6151"/>
    <w:rsid w:val="001D6453"/>
    <w:rsid w:val="001D6781"/>
    <w:rsid w:val="001D6ECF"/>
    <w:rsid w:val="001D7094"/>
    <w:rsid w:val="001D70ED"/>
    <w:rsid w:val="001D7247"/>
    <w:rsid w:val="001D744C"/>
    <w:rsid w:val="001E0351"/>
    <w:rsid w:val="001E06CC"/>
    <w:rsid w:val="001E1112"/>
    <w:rsid w:val="001E12FA"/>
    <w:rsid w:val="001E19C5"/>
    <w:rsid w:val="001E1F14"/>
    <w:rsid w:val="001E2844"/>
    <w:rsid w:val="001E289D"/>
    <w:rsid w:val="001E3238"/>
    <w:rsid w:val="001E35AB"/>
    <w:rsid w:val="001E3787"/>
    <w:rsid w:val="001E48C8"/>
    <w:rsid w:val="001E4D16"/>
    <w:rsid w:val="001E63A3"/>
    <w:rsid w:val="001E7137"/>
    <w:rsid w:val="001E757E"/>
    <w:rsid w:val="001E77FE"/>
    <w:rsid w:val="001E79D3"/>
    <w:rsid w:val="001F011E"/>
    <w:rsid w:val="001F0149"/>
    <w:rsid w:val="001F0D73"/>
    <w:rsid w:val="001F1202"/>
    <w:rsid w:val="001F1366"/>
    <w:rsid w:val="001F16C7"/>
    <w:rsid w:val="001F1B26"/>
    <w:rsid w:val="001F2086"/>
    <w:rsid w:val="001F2706"/>
    <w:rsid w:val="001F3387"/>
    <w:rsid w:val="001F3436"/>
    <w:rsid w:val="001F348B"/>
    <w:rsid w:val="001F39D0"/>
    <w:rsid w:val="001F3BE7"/>
    <w:rsid w:val="001F48D0"/>
    <w:rsid w:val="001F514D"/>
    <w:rsid w:val="001F552B"/>
    <w:rsid w:val="001F57FD"/>
    <w:rsid w:val="001F583F"/>
    <w:rsid w:val="001F5EE7"/>
    <w:rsid w:val="001F656B"/>
    <w:rsid w:val="001F65C2"/>
    <w:rsid w:val="001F70D2"/>
    <w:rsid w:val="001F75FD"/>
    <w:rsid w:val="001F772D"/>
    <w:rsid w:val="001F7C95"/>
    <w:rsid w:val="001F7D77"/>
    <w:rsid w:val="0020046C"/>
    <w:rsid w:val="00200B93"/>
    <w:rsid w:val="00201015"/>
    <w:rsid w:val="0020131D"/>
    <w:rsid w:val="002015C3"/>
    <w:rsid w:val="00201CF2"/>
    <w:rsid w:val="00202353"/>
    <w:rsid w:val="002031CB"/>
    <w:rsid w:val="00204305"/>
    <w:rsid w:val="00204BB1"/>
    <w:rsid w:val="0020508D"/>
    <w:rsid w:val="002066D7"/>
    <w:rsid w:val="002067C8"/>
    <w:rsid w:val="002067F5"/>
    <w:rsid w:val="00206A28"/>
    <w:rsid w:val="00206C0B"/>
    <w:rsid w:val="00206D6A"/>
    <w:rsid w:val="00206ED4"/>
    <w:rsid w:val="002074C1"/>
    <w:rsid w:val="0020767B"/>
    <w:rsid w:val="0021010F"/>
    <w:rsid w:val="0021017B"/>
    <w:rsid w:val="0021042F"/>
    <w:rsid w:val="002110AD"/>
    <w:rsid w:val="0021188C"/>
    <w:rsid w:val="002119AB"/>
    <w:rsid w:val="00211A08"/>
    <w:rsid w:val="00211A55"/>
    <w:rsid w:val="00211AEF"/>
    <w:rsid w:val="00211F5F"/>
    <w:rsid w:val="002122BB"/>
    <w:rsid w:val="00212A1B"/>
    <w:rsid w:val="00212E11"/>
    <w:rsid w:val="00213103"/>
    <w:rsid w:val="002138D7"/>
    <w:rsid w:val="00213DC5"/>
    <w:rsid w:val="00214438"/>
    <w:rsid w:val="0021518A"/>
    <w:rsid w:val="002151DB"/>
    <w:rsid w:val="00215A23"/>
    <w:rsid w:val="00215E5F"/>
    <w:rsid w:val="00216089"/>
    <w:rsid w:val="00216362"/>
    <w:rsid w:val="00216477"/>
    <w:rsid w:val="00216487"/>
    <w:rsid w:val="00216512"/>
    <w:rsid w:val="00216C59"/>
    <w:rsid w:val="00217033"/>
    <w:rsid w:val="00217229"/>
    <w:rsid w:val="00217357"/>
    <w:rsid w:val="002177F2"/>
    <w:rsid w:val="00217FD8"/>
    <w:rsid w:val="002208EB"/>
    <w:rsid w:val="00220931"/>
    <w:rsid w:val="00221747"/>
    <w:rsid w:val="002217C0"/>
    <w:rsid w:val="00222744"/>
    <w:rsid w:val="00222942"/>
    <w:rsid w:val="00222C9C"/>
    <w:rsid w:val="002233D0"/>
    <w:rsid w:val="00223669"/>
    <w:rsid w:val="0022385F"/>
    <w:rsid w:val="00224046"/>
    <w:rsid w:val="002246A6"/>
    <w:rsid w:val="00224822"/>
    <w:rsid w:val="00224DCC"/>
    <w:rsid w:val="002252DE"/>
    <w:rsid w:val="00225448"/>
    <w:rsid w:val="0022593B"/>
    <w:rsid w:val="00225A43"/>
    <w:rsid w:val="00225C94"/>
    <w:rsid w:val="00225E7B"/>
    <w:rsid w:val="002263CE"/>
    <w:rsid w:val="00226496"/>
    <w:rsid w:val="002270E6"/>
    <w:rsid w:val="002273AC"/>
    <w:rsid w:val="002278D0"/>
    <w:rsid w:val="00227AFD"/>
    <w:rsid w:val="0022B8D9"/>
    <w:rsid w:val="002300AB"/>
    <w:rsid w:val="002304A5"/>
    <w:rsid w:val="00230A47"/>
    <w:rsid w:val="0023105F"/>
    <w:rsid w:val="002315C9"/>
    <w:rsid w:val="00231640"/>
    <w:rsid w:val="00231CDC"/>
    <w:rsid w:val="00233BB7"/>
    <w:rsid w:val="00233FA3"/>
    <w:rsid w:val="002347DD"/>
    <w:rsid w:val="00234B4A"/>
    <w:rsid w:val="00234DCB"/>
    <w:rsid w:val="00235503"/>
    <w:rsid w:val="0023593E"/>
    <w:rsid w:val="00235B8A"/>
    <w:rsid w:val="002360AD"/>
    <w:rsid w:val="002371F3"/>
    <w:rsid w:val="00237289"/>
    <w:rsid w:val="002377FB"/>
    <w:rsid w:val="002378F5"/>
    <w:rsid w:val="00237D50"/>
    <w:rsid w:val="00240006"/>
    <w:rsid w:val="00240600"/>
    <w:rsid w:val="002408AF"/>
    <w:rsid w:val="00240B11"/>
    <w:rsid w:val="00241447"/>
    <w:rsid w:val="00242040"/>
    <w:rsid w:val="0024211E"/>
    <w:rsid w:val="002422A6"/>
    <w:rsid w:val="002435D4"/>
    <w:rsid w:val="002435ED"/>
    <w:rsid w:val="00243687"/>
    <w:rsid w:val="00243998"/>
    <w:rsid w:val="002439BB"/>
    <w:rsid w:val="00244431"/>
    <w:rsid w:val="00244C15"/>
    <w:rsid w:val="002453FB"/>
    <w:rsid w:val="0024555F"/>
    <w:rsid w:val="00245901"/>
    <w:rsid w:val="0024594C"/>
    <w:rsid w:val="00245DEB"/>
    <w:rsid w:val="00245FB1"/>
    <w:rsid w:val="00246915"/>
    <w:rsid w:val="00246E6C"/>
    <w:rsid w:val="00247D38"/>
    <w:rsid w:val="002505F8"/>
    <w:rsid w:val="00250797"/>
    <w:rsid w:val="00251131"/>
    <w:rsid w:val="00251D5B"/>
    <w:rsid w:val="00251E69"/>
    <w:rsid w:val="00251EC7"/>
    <w:rsid w:val="00252343"/>
    <w:rsid w:val="00252448"/>
    <w:rsid w:val="00252535"/>
    <w:rsid w:val="00252567"/>
    <w:rsid w:val="00252DB8"/>
    <w:rsid w:val="0025321D"/>
    <w:rsid w:val="00253478"/>
    <w:rsid w:val="002535D2"/>
    <w:rsid w:val="00253D2E"/>
    <w:rsid w:val="002546F2"/>
    <w:rsid w:val="00254FAB"/>
    <w:rsid w:val="0025566D"/>
    <w:rsid w:val="00255E3E"/>
    <w:rsid w:val="00257DA8"/>
    <w:rsid w:val="00257E0E"/>
    <w:rsid w:val="00257E8D"/>
    <w:rsid w:val="0026089A"/>
    <w:rsid w:val="00260B59"/>
    <w:rsid w:val="00260BBD"/>
    <w:rsid w:val="0026147B"/>
    <w:rsid w:val="00261626"/>
    <w:rsid w:val="00261689"/>
    <w:rsid w:val="00261709"/>
    <w:rsid w:val="00261B02"/>
    <w:rsid w:val="0026203E"/>
    <w:rsid w:val="00262535"/>
    <w:rsid w:val="00262769"/>
    <w:rsid w:val="00262CC2"/>
    <w:rsid w:val="00262E66"/>
    <w:rsid w:val="00263799"/>
    <w:rsid w:val="00264AC1"/>
    <w:rsid w:val="00264C4E"/>
    <w:rsid w:val="00265020"/>
    <w:rsid w:val="002650BD"/>
    <w:rsid w:val="0026569E"/>
    <w:rsid w:val="00265ACC"/>
    <w:rsid w:val="00265E9A"/>
    <w:rsid w:val="0026616D"/>
    <w:rsid w:val="00266275"/>
    <w:rsid w:val="00266478"/>
    <w:rsid w:val="00266DFF"/>
    <w:rsid w:val="00267469"/>
    <w:rsid w:val="00267A1B"/>
    <w:rsid w:val="00267CD5"/>
    <w:rsid w:val="00267E5E"/>
    <w:rsid w:val="00267EAC"/>
    <w:rsid w:val="00271004"/>
    <w:rsid w:val="002716BB"/>
    <w:rsid w:val="00271988"/>
    <w:rsid w:val="00271C6C"/>
    <w:rsid w:val="00271DED"/>
    <w:rsid w:val="00272879"/>
    <w:rsid w:val="00272D6B"/>
    <w:rsid w:val="0027531C"/>
    <w:rsid w:val="002753CE"/>
    <w:rsid w:val="00275DFD"/>
    <w:rsid w:val="00276489"/>
    <w:rsid w:val="00277C63"/>
    <w:rsid w:val="002805D7"/>
    <w:rsid w:val="00280E41"/>
    <w:rsid w:val="00281037"/>
    <w:rsid w:val="002810AD"/>
    <w:rsid w:val="002810D3"/>
    <w:rsid w:val="0028185C"/>
    <w:rsid w:val="002822D3"/>
    <w:rsid w:val="0028246A"/>
    <w:rsid w:val="002826CA"/>
    <w:rsid w:val="00283448"/>
    <w:rsid w:val="00283B02"/>
    <w:rsid w:val="00283C6D"/>
    <w:rsid w:val="00283D2C"/>
    <w:rsid w:val="00284252"/>
    <w:rsid w:val="002849D2"/>
    <w:rsid w:val="00284B07"/>
    <w:rsid w:val="00284BCD"/>
    <w:rsid w:val="002851D7"/>
    <w:rsid w:val="00285320"/>
    <w:rsid w:val="002853A0"/>
    <w:rsid w:val="0028549E"/>
    <w:rsid w:val="002855D3"/>
    <w:rsid w:val="00285E55"/>
    <w:rsid w:val="00286136"/>
    <w:rsid w:val="00286961"/>
    <w:rsid w:val="00286B42"/>
    <w:rsid w:val="00286D75"/>
    <w:rsid w:val="00286E40"/>
    <w:rsid w:val="0028706D"/>
    <w:rsid w:val="002901FC"/>
    <w:rsid w:val="00290745"/>
    <w:rsid w:val="00293EF8"/>
    <w:rsid w:val="00294B28"/>
    <w:rsid w:val="002950E1"/>
    <w:rsid w:val="00295483"/>
    <w:rsid w:val="002957B9"/>
    <w:rsid w:val="002957CB"/>
    <w:rsid w:val="00295DDB"/>
    <w:rsid w:val="0029625F"/>
    <w:rsid w:val="002976F4"/>
    <w:rsid w:val="00297877"/>
    <w:rsid w:val="00297A54"/>
    <w:rsid w:val="00297C28"/>
    <w:rsid w:val="002A04FF"/>
    <w:rsid w:val="002A05E2"/>
    <w:rsid w:val="002A1312"/>
    <w:rsid w:val="002A13B2"/>
    <w:rsid w:val="002A16BA"/>
    <w:rsid w:val="002A3D50"/>
    <w:rsid w:val="002A4E44"/>
    <w:rsid w:val="002A5CEE"/>
    <w:rsid w:val="002A680A"/>
    <w:rsid w:val="002A6ACC"/>
    <w:rsid w:val="002A783E"/>
    <w:rsid w:val="002A7E74"/>
    <w:rsid w:val="002B020C"/>
    <w:rsid w:val="002B05F0"/>
    <w:rsid w:val="002B0C59"/>
    <w:rsid w:val="002B0C74"/>
    <w:rsid w:val="002B0F64"/>
    <w:rsid w:val="002B1833"/>
    <w:rsid w:val="002B2366"/>
    <w:rsid w:val="002B315B"/>
    <w:rsid w:val="002B41F9"/>
    <w:rsid w:val="002B424F"/>
    <w:rsid w:val="002B4C5C"/>
    <w:rsid w:val="002B4E69"/>
    <w:rsid w:val="002B5312"/>
    <w:rsid w:val="002B53CF"/>
    <w:rsid w:val="002B5AE8"/>
    <w:rsid w:val="002B6131"/>
    <w:rsid w:val="002B7298"/>
    <w:rsid w:val="002B72B2"/>
    <w:rsid w:val="002B74E6"/>
    <w:rsid w:val="002B7815"/>
    <w:rsid w:val="002C02B5"/>
    <w:rsid w:val="002C06E9"/>
    <w:rsid w:val="002C103C"/>
    <w:rsid w:val="002C1421"/>
    <w:rsid w:val="002C163A"/>
    <w:rsid w:val="002C17F1"/>
    <w:rsid w:val="002C1CBE"/>
    <w:rsid w:val="002C24BD"/>
    <w:rsid w:val="002C2915"/>
    <w:rsid w:val="002C35C9"/>
    <w:rsid w:val="002C3674"/>
    <w:rsid w:val="002C3CE3"/>
    <w:rsid w:val="002C4538"/>
    <w:rsid w:val="002C4EC2"/>
    <w:rsid w:val="002C5821"/>
    <w:rsid w:val="002C589A"/>
    <w:rsid w:val="002C5A1A"/>
    <w:rsid w:val="002C5AB4"/>
    <w:rsid w:val="002C5CDD"/>
    <w:rsid w:val="002C6007"/>
    <w:rsid w:val="002C633A"/>
    <w:rsid w:val="002C643E"/>
    <w:rsid w:val="002C6880"/>
    <w:rsid w:val="002C781E"/>
    <w:rsid w:val="002D01E7"/>
    <w:rsid w:val="002D0547"/>
    <w:rsid w:val="002D0606"/>
    <w:rsid w:val="002D11BC"/>
    <w:rsid w:val="002D14FF"/>
    <w:rsid w:val="002D1864"/>
    <w:rsid w:val="002D209E"/>
    <w:rsid w:val="002D21B3"/>
    <w:rsid w:val="002D2277"/>
    <w:rsid w:val="002D293B"/>
    <w:rsid w:val="002D2B24"/>
    <w:rsid w:val="002D2FD0"/>
    <w:rsid w:val="002D31B3"/>
    <w:rsid w:val="002D3B87"/>
    <w:rsid w:val="002D3D89"/>
    <w:rsid w:val="002D40C2"/>
    <w:rsid w:val="002D4439"/>
    <w:rsid w:val="002D47E8"/>
    <w:rsid w:val="002D5304"/>
    <w:rsid w:val="002D5943"/>
    <w:rsid w:val="002D5A42"/>
    <w:rsid w:val="002D66E1"/>
    <w:rsid w:val="002E0D58"/>
    <w:rsid w:val="002E11D8"/>
    <w:rsid w:val="002E150B"/>
    <w:rsid w:val="002E1B94"/>
    <w:rsid w:val="002E1F43"/>
    <w:rsid w:val="002E2453"/>
    <w:rsid w:val="002E2871"/>
    <w:rsid w:val="002E2AD5"/>
    <w:rsid w:val="002E2CB2"/>
    <w:rsid w:val="002E2DE4"/>
    <w:rsid w:val="002E2E11"/>
    <w:rsid w:val="002E325C"/>
    <w:rsid w:val="002E356A"/>
    <w:rsid w:val="002E3E5C"/>
    <w:rsid w:val="002E3ED7"/>
    <w:rsid w:val="002E45EE"/>
    <w:rsid w:val="002E4CF0"/>
    <w:rsid w:val="002E50E2"/>
    <w:rsid w:val="002E577E"/>
    <w:rsid w:val="002E6059"/>
    <w:rsid w:val="002E688D"/>
    <w:rsid w:val="002E6D6C"/>
    <w:rsid w:val="002E7553"/>
    <w:rsid w:val="002E77F5"/>
    <w:rsid w:val="002E7F91"/>
    <w:rsid w:val="002F01AE"/>
    <w:rsid w:val="002F01E1"/>
    <w:rsid w:val="002F05B3"/>
    <w:rsid w:val="002F1A87"/>
    <w:rsid w:val="002F1D91"/>
    <w:rsid w:val="002F218D"/>
    <w:rsid w:val="002F2325"/>
    <w:rsid w:val="002F2532"/>
    <w:rsid w:val="002F2F32"/>
    <w:rsid w:val="002F2F7E"/>
    <w:rsid w:val="002F32EC"/>
    <w:rsid w:val="002F352F"/>
    <w:rsid w:val="002F3D0D"/>
    <w:rsid w:val="002F3E0E"/>
    <w:rsid w:val="002F44E9"/>
    <w:rsid w:val="002F472C"/>
    <w:rsid w:val="002F5FE2"/>
    <w:rsid w:val="002F60E7"/>
    <w:rsid w:val="002F66B1"/>
    <w:rsid w:val="002F6BE1"/>
    <w:rsid w:val="002F714F"/>
    <w:rsid w:val="002F71CF"/>
    <w:rsid w:val="002F7373"/>
    <w:rsid w:val="00300DB1"/>
    <w:rsid w:val="00301017"/>
    <w:rsid w:val="00301106"/>
    <w:rsid w:val="00302659"/>
    <w:rsid w:val="00302C6D"/>
    <w:rsid w:val="00302D9D"/>
    <w:rsid w:val="00303173"/>
    <w:rsid w:val="00303489"/>
    <w:rsid w:val="00303CE0"/>
    <w:rsid w:val="00303D3D"/>
    <w:rsid w:val="0030435F"/>
    <w:rsid w:val="00305242"/>
    <w:rsid w:val="003053D5"/>
    <w:rsid w:val="00305A44"/>
    <w:rsid w:val="00305C8A"/>
    <w:rsid w:val="00305FD2"/>
    <w:rsid w:val="00306230"/>
    <w:rsid w:val="003068FD"/>
    <w:rsid w:val="00306AE6"/>
    <w:rsid w:val="003102AB"/>
    <w:rsid w:val="003110EC"/>
    <w:rsid w:val="00311AC2"/>
    <w:rsid w:val="00311D5B"/>
    <w:rsid w:val="00312064"/>
    <w:rsid w:val="0031311F"/>
    <w:rsid w:val="0031321C"/>
    <w:rsid w:val="00313C67"/>
    <w:rsid w:val="00313D23"/>
    <w:rsid w:val="00314271"/>
    <w:rsid w:val="00314627"/>
    <w:rsid w:val="003148B6"/>
    <w:rsid w:val="00314C4C"/>
    <w:rsid w:val="00314C75"/>
    <w:rsid w:val="00314D7A"/>
    <w:rsid w:val="00314DF6"/>
    <w:rsid w:val="00314E3A"/>
    <w:rsid w:val="003153FA"/>
    <w:rsid w:val="003168A1"/>
    <w:rsid w:val="00317392"/>
    <w:rsid w:val="003175BE"/>
    <w:rsid w:val="00317801"/>
    <w:rsid w:val="00317EC9"/>
    <w:rsid w:val="00321B01"/>
    <w:rsid w:val="00321E5F"/>
    <w:rsid w:val="003223B5"/>
    <w:rsid w:val="003226A6"/>
    <w:rsid w:val="00322B78"/>
    <w:rsid w:val="00322F94"/>
    <w:rsid w:val="00323925"/>
    <w:rsid w:val="00325137"/>
    <w:rsid w:val="003257B0"/>
    <w:rsid w:val="00325CE4"/>
    <w:rsid w:val="00325E8F"/>
    <w:rsid w:val="00326352"/>
    <w:rsid w:val="0032658F"/>
    <w:rsid w:val="003268EF"/>
    <w:rsid w:val="00327016"/>
    <w:rsid w:val="00327384"/>
    <w:rsid w:val="003275C4"/>
    <w:rsid w:val="00327635"/>
    <w:rsid w:val="003302DE"/>
    <w:rsid w:val="0033044E"/>
    <w:rsid w:val="00330F44"/>
    <w:rsid w:val="00331392"/>
    <w:rsid w:val="00331509"/>
    <w:rsid w:val="00331E45"/>
    <w:rsid w:val="0033246E"/>
    <w:rsid w:val="003347BC"/>
    <w:rsid w:val="003350AD"/>
    <w:rsid w:val="003352E2"/>
    <w:rsid w:val="003359E0"/>
    <w:rsid w:val="00335D9E"/>
    <w:rsid w:val="00335E1D"/>
    <w:rsid w:val="00335E45"/>
    <w:rsid w:val="0033608E"/>
    <w:rsid w:val="003363F3"/>
    <w:rsid w:val="0033654E"/>
    <w:rsid w:val="003368B0"/>
    <w:rsid w:val="003369BA"/>
    <w:rsid w:val="0033759F"/>
    <w:rsid w:val="003375FA"/>
    <w:rsid w:val="003377DE"/>
    <w:rsid w:val="00337FD8"/>
    <w:rsid w:val="003401CA"/>
    <w:rsid w:val="003403D6"/>
    <w:rsid w:val="0034146B"/>
    <w:rsid w:val="00341BE8"/>
    <w:rsid w:val="0034240E"/>
    <w:rsid w:val="00343A8D"/>
    <w:rsid w:val="00343B4E"/>
    <w:rsid w:val="00343E66"/>
    <w:rsid w:val="00344019"/>
    <w:rsid w:val="003443D4"/>
    <w:rsid w:val="0034445C"/>
    <w:rsid w:val="00344B05"/>
    <w:rsid w:val="00345896"/>
    <w:rsid w:val="00345B5E"/>
    <w:rsid w:val="00346CBD"/>
    <w:rsid w:val="00347117"/>
    <w:rsid w:val="00347159"/>
    <w:rsid w:val="003475E2"/>
    <w:rsid w:val="00347C2B"/>
    <w:rsid w:val="003502DE"/>
    <w:rsid w:val="0035077A"/>
    <w:rsid w:val="00350E34"/>
    <w:rsid w:val="003513D5"/>
    <w:rsid w:val="003514E1"/>
    <w:rsid w:val="00351B85"/>
    <w:rsid w:val="00351BAD"/>
    <w:rsid w:val="00351F54"/>
    <w:rsid w:val="00351FC0"/>
    <w:rsid w:val="00352A66"/>
    <w:rsid w:val="00353AD0"/>
    <w:rsid w:val="0035405B"/>
    <w:rsid w:val="0035444C"/>
    <w:rsid w:val="00354CC1"/>
    <w:rsid w:val="00354F2B"/>
    <w:rsid w:val="003551F7"/>
    <w:rsid w:val="0035629C"/>
    <w:rsid w:val="00356445"/>
    <w:rsid w:val="00356659"/>
    <w:rsid w:val="00356BF4"/>
    <w:rsid w:val="00356D29"/>
    <w:rsid w:val="00356FC6"/>
    <w:rsid w:val="003618AA"/>
    <w:rsid w:val="00361DE1"/>
    <w:rsid w:val="00361F03"/>
    <w:rsid w:val="00362B79"/>
    <w:rsid w:val="003631A0"/>
    <w:rsid w:val="00363243"/>
    <w:rsid w:val="00363632"/>
    <w:rsid w:val="0036373B"/>
    <w:rsid w:val="00363BBE"/>
    <w:rsid w:val="00363F10"/>
    <w:rsid w:val="00364951"/>
    <w:rsid w:val="00364A46"/>
    <w:rsid w:val="00364B43"/>
    <w:rsid w:val="003651FB"/>
    <w:rsid w:val="00365895"/>
    <w:rsid w:val="0036612A"/>
    <w:rsid w:val="0036612E"/>
    <w:rsid w:val="0036676E"/>
    <w:rsid w:val="00366C59"/>
    <w:rsid w:val="003679CD"/>
    <w:rsid w:val="00367FF4"/>
    <w:rsid w:val="003702E3"/>
    <w:rsid w:val="003708BB"/>
    <w:rsid w:val="00370C59"/>
    <w:rsid w:val="00370E30"/>
    <w:rsid w:val="00371ACF"/>
    <w:rsid w:val="003723EF"/>
    <w:rsid w:val="00372C75"/>
    <w:rsid w:val="00372D1C"/>
    <w:rsid w:val="00372EB1"/>
    <w:rsid w:val="0037307F"/>
    <w:rsid w:val="0037382A"/>
    <w:rsid w:val="0037472C"/>
    <w:rsid w:val="00374CAA"/>
    <w:rsid w:val="003758B0"/>
    <w:rsid w:val="00376036"/>
    <w:rsid w:val="00376221"/>
    <w:rsid w:val="00376679"/>
    <w:rsid w:val="00376DBD"/>
    <w:rsid w:val="00376F9A"/>
    <w:rsid w:val="00377805"/>
    <w:rsid w:val="0037783A"/>
    <w:rsid w:val="0037798C"/>
    <w:rsid w:val="00377A72"/>
    <w:rsid w:val="00377B32"/>
    <w:rsid w:val="00377EE9"/>
    <w:rsid w:val="003805F5"/>
    <w:rsid w:val="00380BE8"/>
    <w:rsid w:val="00380F43"/>
    <w:rsid w:val="003810F9"/>
    <w:rsid w:val="0038166E"/>
    <w:rsid w:val="0038170E"/>
    <w:rsid w:val="00381801"/>
    <w:rsid w:val="00381DE7"/>
    <w:rsid w:val="00382615"/>
    <w:rsid w:val="00382634"/>
    <w:rsid w:val="003830DD"/>
    <w:rsid w:val="003833F2"/>
    <w:rsid w:val="00383EDC"/>
    <w:rsid w:val="00383FAA"/>
    <w:rsid w:val="00384A9D"/>
    <w:rsid w:val="00384B18"/>
    <w:rsid w:val="00384B77"/>
    <w:rsid w:val="00384DBD"/>
    <w:rsid w:val="003857EE"/>
    <w:rsid w:val="003859AD"/>
    <w:rsid w:val="00386029"/>
    <w:rsid w:val="00386CFE"/>
    <w:rsid w:val="00386E3E"/>
    <w:rsid w:val="00387387"/>
    <w:rsid w:val="00387BC1"/>
    <w:rsid w:val="00387FC5"/>
    <w:rsid w:val="00390DA6"/>
    <w:rsid w:val="0039148B"/>
    <w:rsid w:val="003921B0"/>
    <w:rsid w:val="003926D2"/>
    <w:rsid w:val="00393114"/>
    <w:rsid w:val="003941DA"/>
    <w:rsid w:val="00394D0C"/>
    <w:rsid w:val="00394F8D"/>
    <w:rsid w:val="00395050"/>
    <w:rsid w:val="00395501"/>
    <w:rsid w:val="00395FDC"/>
    <w:rsid w:val="00396229"/>
    <w:rsid w:val="003968FE"/>
    <w:rsid w:val="0039740C"/>
    <w:rsid w:val="0039740F"/>
    <w:rsid w:val="0039746A"/>
    <w:rsid w:val="003A03CB"/>
    <w:rsid w:val="003A199A"/>
    <w:rsid w:val="003A2025"/>
    <w:rsid w:val="003A26F9"/>
    <w:rsid w:val="003A29DE"/>
    <w:rsid w:val="003A2C9E"/>
    <w:rsid w:val="003A314C"/>
    <w:rsid w:val="003A3927"/>
    <w:rsid w:val="003A3EBA"/>
    <w:rsid w:val="003A4449"/>
    <w:rsid w:val="003A45C5"/>
    <w:rsid w:val="003A57D7"/>
    <w:rsid w:val="003A6377"/>
    <w:rsid w:val="003A66BB"/>
    <w:rsid w:val="003A66FC"/>
    <w:rsid w:val="003A7B34"/>
    <w:rsid w:val="003B00A8"/>
    <w:rsid w:val="003B107B"/>
    <w:rsid w:val="003B11E0"/>
    <w:rsid w:val="003B13A7"/>
    <w:rsid w:val="003B1563"/>
    <w:rsid w:val="003B2434"/>
    <w:rsid w:val="003B28E7"/>
    <w:rsid w:val="003B2B56"/>
    <w:rsid w:val="003B2BF4"/>
    <w:rsid w:val="003B2F21"/>
    <w:rsid w:val="003B3D71"/>
    <w:rsid w:val="003B3E0E"/>
    <w:rsid w:val="003B3E12"/>
    <w:rsid w:val="003B3FD2"/>
    <w:rsid w:val="003B400B"/>
    <w:rsid w:val="003B425E"/>
    <w:rsid w:val="003B4806"/>
    <w:rsid w:val="003B6907"/>
    <w:rsid w:val="003B6A6D"/>
    <w:rsid w:val="003B718B"/>
    <w:rsid w:val="003B74BE"/>
    <w:rsid w:val="003B7982"/>
    <w:rsid w:val="003B7E4A"/>
    <w:rsid w:val="003C0400"/>
    <w:rsid w:val="003C1121"/>
    <w:rsid w:val="003C139E"/>
    <w:rsid w:val="003C1B65"/>
    <w:rsid w:val="003C1E06"/>
    <w:rsid w:val="003C26B5"/>
    <w:rsid w:val="003C301D"/>
    <w:rsid w:val="003C3022"/>
    <w:rsid w:val="003C38EE"/>
    <w:rsid w:val="003C3AF0"/>
    <w:rsid w:val="003C4022"/>
    <w:rsid w:val="003C4867"/>
    <w:rsid w:val="003C5058"/>
    <w:rsid w:val="003C59D3"/>
    <w:rsid w:val="003C615B"/>
    <w:rsid w:val="003C654F"/>
    <w:rsid w:val="003C66B2"/>
    <w:rsid w:val="003C66B9"/>
    <w:rsid w:val="003C69B2"/>
    <w:rsid w:val="003C6C8E"/>
    <w:rsid w:val="003C6D90"/>
    <w:rsid w:val="003C70C5"/>
    <w:rsid w:val="003C785F"/>
    <w:rsid w:val="003D02B1"/>
    <w:rsid w:val="003D0B93"/>
    <w:rsid w:val="003D159A"/>
    <w:rsid w:val="003D19AE"/>
    <w:rsid w:val="003D1DD8"/>
    <w:rsid w:val="003D22E7"/>
    <w:rsid w:val="003D23B4"/>
    <w:rsid w:val="003D272C"/>
    <w:rsid w:val="003D2C75"/>
    <w:rsid w:val="003D2C83"/>
    <w:rsid w:val="003D3996"/>
    <w:rsid w:val="003D3C8C"/>
    <w:rsid w:val="003D4014"/>
    <w:rsid w:val="003D4089"/>
    <w:rsid w:val="003D4138"/>
    <w:rsid w:val="003D4B4B"/>
    <w:rsid w:val="003D4C06"/>
    <w:rsid w:val="003D4F35"/>
    <w:rsid w:val="003D54CB"/>
    <w:rsid w:val="003D5A28"/>
    <w:rsid w:val="003D5B39"/>
    <w:rsid w:val="003D5BD0"/>
    <w:rsid w:val="003D71AF"/>
    <w:rsid w:val="003D724C"/>
    <w:rsid w:val="003D7942"/>
    <w:rsid w:val="003D7FC0"/>
    <w:rsid w:val="003E003C"/>
    <w:rsid w:val="003E04DB"/>
    <w:rsid w:val="003E0A08"/>
    <w:rsid w:val="003E0A49"/>
    <w:rsid w:val="003E1D16"/>
    <w:rsid w:val="003E2B51"/>
    <w:rsid w:val="003E2BB4"/>
    <w:rsid w:val="003E2BD3"/>
    <w:rsid w:val="003E2F23"/>
    <w:rsid w:val="003E361B"/>
    <w:rsid w:val="003E36FB"/>
    <w:rsid w:val="003E3B17"/>
    <w:rsid w:val="003E45FA"/>
    <w:rsid w:val="003E4705"/>
    <w:rsid w:val="003E4B50"/>
    <w:rsid w:val="003E5721"/>
    <w:rsid w:val="003E667A"/>
    <w:rsid w:val="003E6CEA"/>
    <w:rsid w:val="003E70C6"/>
    <w:rsid w:val="003E74FE"/>
    <w:rsid w:val="003E7D02"/>
    <w:rsid w:val="003F0417"/>
    <w:rsid w:val="003F066E"/>
    <w:rsid w:val="003F0739"/>
    <w:rsid w:val="003F0FC9"/>
    <w:rsid w:val="003F11C9"/>
    <w:rsid w:val="003F17E9"/>
    <w:rsid w:val="003F2619"/>
    <w:rsid w:val="003F265A"/>
    <w:rsid w:val="003F27B8"/>
    <w:rsid w:val="003F36CA"/>
    <w:rsid w:val="003F4506"/>
    <w:rsid w:val="003F4800"/>
    <w:rsid w:val="003F48DA"/>
    <w:rsid w:val="003F545C"/>
    <w:rsid w:val="003F60BA"/>
    <w:rsid w:val="003F61D6"/>
    <w:rsid w:val="003F6202"/>
    <w:rsid w:val="003F6643"/>
    <w:rsid w:val="003F69A7"/>
    <w:rsid w:val="003F72F8"/>
    <w:rsid w:val="003F7544"/>
    <w:rsid w:val="003F7A63"/>
    <w:rsid w:val="004003D6"/>
    <w:rsid w:val="0040075C"/>
    <w:rsid w:val="00400E49"/>
    <w:rsid w:val="004016D6"/>
    <w:rsid w:val="00401A3A"/>
    <w:rsid w:val="00401B24"/>
    <w:rsid w:val="00401E13"/>
    <w:rsid w:val="00401F79"/>
    <w:rsid w:val="004022B4"/>
    <w:rsid w:val="00402AFD"/>
    <w:rsid w:val="00402ED1"/>
    <w:rsid w:val="00403920"/>
    <w:rsid w:val="00403A57"/>
    <w:rsid w:val="00403AC9"/>
    <w:rsid w:val="00404A95"/>
    <w:rsid w:val="00405079"/>
    <w:rsid w:val="00405413"/>
    <w:rsid w:val="0040601C"/>
    <w:rsid w:val="00406B40"/>
    <w:rsid w:val="00406DC1"/>
    <w:rsid w:val="00407362"/>
    <w:rsid w:val="00407773"/>
    <w:rsid w:val="00407F7C"/>
    <w:rsid w:val="004102FD"/>
    <w:rsid w:val="00410564"/>
    <w:rsid w:val="0041101A"/>
    <w:rsid w:val="0041105E"/>
    <w:rsid w:val="004115A6"/>
    <w:rsid w:val="00411AB7"/>
    <w:rsid w:val="00411AE5"/>
    <w:rsid w:val="00411DA7"/>
    <w:rsid w:val="0041224C"/>
    <w:rsid w:val="00412465"/>
    <w:rsid w:val="00412A51"/>
    <w:rsid w:val="00412E91"/>
    <w:rsid w:val="004133C8"/>
    <w:rsid w:val="00413A07"/>
    <w:rsid w:val="00414E60"/>
    <w:rsid w:val="00415E32"/>
    <w:rsid w:val="00416165"/>
    <w:rsid w:val="004163D9"/>
    <w:rsid w:val="00417586"/>
    <w:rsid w:val="0042033E"/>
    <w:rsid w:val="0042165E"/>
    <w:rsid w:val="004217CF"/>
    <w:rsid w:val="00421BC3"/>
    <w:rsid w:val="0042290D"/>
    <w:rsid w:val="004230A6"/>
    <w:rsid w:val="00423B27"/>
    <w:rsid w:val="00423C8F"/>
    <w:rsid w:val="00423CF7"/>
    <w:rsid w:val="00423E1C"/>
    <w:rsid w:val="0042439A"/>
    <w:rsid w:val="00424413"/>
    <w:rsid w:val="00424C17"/>
    <w:rsid w:val="00424F95"/>
    <w:rsid w:val="0042624B"/>
    <w:rsid w:val="004279FF"/>
    <w:rsid w:val="0043012D"/>
    <w:rsid w:val="00430EA0"/>
    <w:rsid w:val="00431031"/>
    <w:rsid w:val="0043194A"/>
    <w:rsid w:val="00431B36"/>
    <w:rsid w:val="00431DA2"/>
    <w:rsid w:val="00431E55"/>
    <w:rsid w:val="00432A86"/>
    <w:rsid w:val="0043413C"/>
    <w:rsid w:val="004345BC"/>
    <w:rsid w:val="00434AF1"/>
    <w:rsid w:val="00434BF3"/>
    <w:rsid w:val="004350FD"/>
    <w:rsid w:val="00435717"/>
    <w:rsid w:val="00435AD8"/>
    <w:rsid w:val="00435C09"/>
    <w:rsid w:val="0043610B"/>
    <w:rsid w:val="004362B0"/>
    <w:rsid w:val="00436560"/>
    <w:rsid w:val="00436D9E"/>
    <w:rsid w:val="0043732C"/>
    <w:rsid w:val="00437C5A"/>
    <w:rsid w:val="004405B5"/>
    <w:rsid w:val="004409BD"/>
    <w:rsid w:val="00440BCD"/>
    <w:rsid w:val="00441294"/>
    <w:rsid w:val="00441D0E"/>
    <w:rsid w:val="00442307"/>
    <w:rsid w:val="004423A0"/>
    <w:rsid w:val="0044259F"/>
    <w:rsid w:val="004427EA"/>
    <w:rsid w:val="0044281B"/>
    <w:rsid w:val="00442826"/>
    <w:rsid w:val="004428C2"/>
    <w:rsid w:val="00442A63"/>
    <w:rsid w:val="0044367B"/>
    <w:rsid w:val="0044381F"/>
    <w:rsid w:val="00443874"/>
    <w:rsid w:val="00443AE6"/>
    <w:rsid w:val="004440D9"/>
    <w:rsid w:val="00445709"/>
    <w:rsid w:val="00445A08"/>
    <w:rsid w:val="00446047"/>
    <w:rsid w:val="004475FC"/>
    <w:rsid w:val="00447647"/>
    <w:rsid w:val="0044786A"/>
    <w:rsid w:val="00447A74"/>
    <w:rsid w:val="004501B5"/>
    <w:rsid w:val="00450709"/>
    <w:rsid w:val="004510AF"/>
    <w:rsid w:val="00451626"/>
    <w:rsid w:val="004516E2"/>
    <w:rsid w:val="004525AD"/>
    <w:rsid w:val="004531D3"/>
    <w:rsid w:val="00453A72"/>
    <w:rsid w:val="00453E30"/>
    <w:rsid w:val="00453EFF"/>
    <w:rsid w:val="00454214"/>
    <w:rsid w:val="004544A9"/>
    <w:rsid w:val="004545DC"/>
    <w:rsid w:val="004547C4"/>
    <w:rsid w:val="004547D9"/>
    <w:rsid w:val="00454803"/>
    <w:rsid w:val="00455E26"/>
    <w:rsid w:val="00456355"/>
    <w:rsid w:val="00456C00"/>
    <w:rsid w:val="00457040"/>
    <w:rsid w:val="00460969"/>
    <w:rsid w:val="00461997"/>
    <w:rsid w:val="00461FED"/>
    <w:rsid w:val="00462028"/>
    <w:rsid w:val="0046227F"/>
    <w:rsid w:val="0046285A"/>
    <w:rsid w:val="00462EB1"/>
    <w:rsid w:val="004630CB"/>
    <w:rsid w:val="004640A9"/>
    <w:rsid w:val="004643B5"/>
    <w:rsid w:val="004643F2"/>
    <w:rsid w:val="004646E9"/>
    <w:rsid w:val="00464BA2"/>
    <w:rsid w:val="00465329"/>
    <w:rsid w:val="00465ABF"/>
    <w:rsid w:val="004665F9"/>
    <w:rsid w:val="00466D05"/>
    <w:rsid w:val="0046747D"/>
    <w:rsid w:val="00467780"/>
    <w:rsid w:val="0046789C"/>
    <w:rsid w:val="0047105D"/>
    <w:rsid w:val="004713F7"/>
    <w:rsid w:val="0047211F"/>
    <w:rsid w:val="00472593"/>
    <w:rsid w:val="0047266F"/>
    <w:rsid w:val="00472DEA"/>
    <w:rsid w:val="00473261"/>
    <w:rsid w:val="00473AC3"/>
    <w:rsid w:val="00473AFC"/>
    <w:rsid w:val="00474068"/>
    <w:rsid w:val="00474498"/>
    <w:rsid w:val="004748A6"/>
    <w:rsid w:val="00474DCD"/>
    <w:rsid w:val="0047540F"/>
    <w:rsid w:val="00475694"/>
    <w:rsid w:val="004765CE"/>
    <w:rsid w:val="004766AD"/>
    <w:rsid w:val="00476D1E"/>
    <w:rsid w:val="004779C0"/>
    <w:rsid w:val="00477B5D"/>
    <w:rsid w:val="00480176"/>
    <w:rsid w:val="004808F3"/>
    <w:rsid w:val="00480CC3"/>
    <w:rsid w:val="00480F18"/>
    <w:rsid w:val="00481054"/>
    <w:rsid w:val="00481B63"/>
    <w:rsid w:val="00482CF0"/>
    <w:rsid w:val="00483145"/>
    <w:rsid w:val="00483AC2"/>
    <w:rsid w:val="00484DB9"/>
    <w:rsid w:val="00484E3A"/>
    <w:rsid w:val="004850AD"/>
    <w:rsid w:val="00486C05"/>
    <w:rsid w:val="00486E90"/>
    <w:rsid w:val="0048762E"/>
    <w:rsid w:val="004877E9"/>
    <w:rsid w:val="00487E1B"/>
    <w:rsid w:val="004900FD"/>
    <w:rsid w:val="00490602"/>
    <w:rsid w:val="0049126A"/>
    <w:rsid w:val="00491D0F"/>
    <w:rsid w:val="00492AD9"/>
    <w:rsid w:val="00493690"/>
    <w:rsid w:val="00493836"/>
    <w:rsid w:val="00494923"/>
    <w:rsid w:val="00494941"/>
    <w:rsid w:val="004960D6"/>
    <w:rsid w:val="00496224"/>
    <w:rsid w:val="0049673A"/>
    <w:rsid w:val="00496EC7"/>
    <w:rsid w:val="00496FB7"/>
    <w:rsid w:val="004A05FB"/>
    <w:rsid w:val="004A084D"/>
    <w:rsid w:val="004A0E45"/>
    <w:rsid w:val="004A0F84"/>
    <w:rsid w:val="004A19FD"/>
    <w:rsid w:val="004A1A42"/>
    <w:rsid w:val="004A2A04"/>
    <w:rsid w:val="004A2EB2"/>
    <w:rsid w:val="004A3F15"/>
    <w:rsid w:val="004A4142"/>
    <w:rsid w:val="004A4DB2"/>
    <w:rsid w:val="004A4EC9"/>
    <w:rsid w:val="004A4ECB"/>
    <w:rsid w:val="004A4F26"/>
    <w:rsid w:val="004A58E4"/>
    <w:rsid w:val="004A5B9D"/>
    <w:rsid w:val="004A5DBA"/>
    <w:rsid w:val="004A6225"/>
    <w:rsid w:val="004A6485"/>
    <w:rsid w:val="004A66E1"/>
    <w:rsid w:val="004A68D2"/>
    <w:rsid w:val="004A723C"/>
    <w:rsid w:val="004A75F3"/>
    <w:rsid w:val="004B01D9"/>
    <w:rsid w:val="004B05B0"/>
    <w:rsid w:val="004B1E74"/>
    <w:rsid w:val="004B2C87"/>
    <w:rsid w:val="004B2DE5"/>
    <w:rsid w:val="004B3036"/>
    <w:rsid w:val="004B3B5D"/>
    <w:rsid w:val="004B3FEC"/>
    <w:rsid w:val="004B42CB"/>
    <w:rsid w:val="004B4B32"/>
    <w:rsid w:val="004B4C50"/>
    <w:rsid w:val="004B6223"/>
    <w:rsid w:val="004B6592"/>
    <w:rsid w:val="004B6769"/>
    <w:rsid w:val="004B6774"/>
    <w:rsid w:val="004B6F7E"/>
    <w:rsid w:val="004B7254"/>
    <w:rsid w:val="004B758B"/>
    <w:rsid w:val="004B76BA"/>
    <w:rsid w:val="004B7C63"/>
    <w:rsid w:val="004C0054"/>
    <w:rsid w:val="004C03FE"/>
    <w:rsid w:val="004C0688"/>
    <w:rsid w:val="004C0CCE"/>
    <w:rsid w:val="004C0E20"/>
    <w:rsid w:val="004C1848"/>
    <w:rsid w:val="004C1BD8"/>
    <w:rsid w:val="004C1C55"/>
    <w:rsid w:val="004C1D12"/>
    <w:rsid w:val="004C1DA1"/>
    <w:rsid w:val="004C309B"/>
    <w:rsid w:val="004C3241"/>
    <w:rsid w:val="004C3E1A"/>
    <w:rsid w:val="004C4134"/>
    <w:rsid w:val="004C5924"/>
    <w:rsid w:val="004C66AF"/>
    <w:rsid w:val="004C6E7B"/>
    <w:rsid w:val="004C7811"/>
    <w:rsid w:val="004D0384"/>
    <w:rsid w:val="004D0869"/>
    <w:rsid w:val="004D0A5D"/>
    <w:rsid w:val="004D0A98"/>
    <w:rsid w:val="004D0ABE"/>
    <w:rsid w:val="004D13D8"/>
    <w:rsid w:val="004D1411"/>
    <w:rsid w:val="004D1800"/>
    <w:rsid w:val="004D1E10"/>
    <w:rsid w:val="004D2AC0"/>
    <w:rsid w:val="004D35F0"/>
    <w:rsid w:val="004D36CC"/>
    <w:rsid w:val="004D3BEF"/>
    <w:rsid w:val="004D408B"/>
    <w:rsid w:val="004D41B2"/>
    <w:rsid w:val="004D422C"/>
    <w:rsid w:val="004D444B"/>
    <w:rsid w:val="004D4BED"/>
    <w:rsid w:val="004D5637"/>
    <w:rsid w:val="004D56FC"/>
    <w:rsid w:val="004D5821"/>
    <w:rsid w:val="004D6287"/>
    <w:rsid w:val="004D6516"/>
    <w:rsid w:val="004D6B95"/>
    <w:rsid w:val="004D7479"/>
    <w:rsid w:val="004D7765"/>
    <w:rsid w:val="004D7A95"/>
    <w:rsid w:val="004D7B3D"/>
    <w:rsid w:val="004E0A3E"/>
    <w:rsid w:val="004E0A61"/>
    <w:rsid w:val="004E0BB4"/>
    <w:rsid w:val="004E0EF8"/>
    <w:rsid w:val="004E17A3"/>
    <w:rsid w:val="004E1822"/>
    <w:rsid w:val="004E1D2C"/>
    <w:rsid w:val="004E21F8"/>
    <w:rsid w:val="004E2C16"/>
    <w:rsid w:val="004E303C"/>
    <w:rsid w:val="004E30A8"/>
    <w:rsid w:val="004E37AA"/>
    <w:rsid w:val="004E3A3F"/>
    <w:rsid w:val="004E3CE8"/>
    <w:rsid w:val="004E4942"/>
    <w:rsid w:val="004E4BCE"/>
    <w:rsid w:val="004E4BDA"/>
    <w:rsid w:val="004E5C2D"/>
    <w:rsid w:val="004E5F16"/>
    <w:rsid w:val="004E6205"/>
    <w:rsid w:val="004E658C"/>
    <w:rsid w:val="004E6B47"/>
    <w:rsid w:val="004F02C4"/>
    <w:rsid w:val="004F0306"/>
    <w:rsid w:val="004F05B4"/>
    <w:rsid w:val="004F0835"/>
    <w:rsid w:val="004F0DC1"/>
    <w:rsid w:val="004F14F6"/>
    <w:rsid w:val="004F1731"/>
    <w:rsid w:val="004F236A"/>
    <w:rsid w:val="004F24F8"/>
    <w:rsid w:val="004F2949"/>
    <w:rsid w:val="004F2D89"/>
    <w:rsid w:val="004F31A4"/>
    <w:rsid w:val="004F3F06"/>
    <w:rsid w:val="004F3F55"/>
    <w:rsid w:val="004F4B75"/>
    <w:rsid w:val="004F530B"/>
    <w:rsid w:val="004F5E73"/>
    <w:rsid w:val="004F5EF7"/>
    <w:rsid w:val="004F63BD"/>
    <w:rsid w:val="004F67E5"/>
    <w:rsid w:val="004F6996"/>
    <w:rsid w:val="004F6B09"/>
    <w:rsid w:val="004F6FDA"/>
    <w:rsid w:val="004F776C"/>
    <w:rsid w:val="004F77F0"/>
    <w:rsid w:val="004F7837"/>
    <w:rsid w:val="004F7F08"/>
    <w:rsid w:val="004F7FB3"/>
    <w:rsid w:val="00500107"/>
    <w:rsid w:val="005001ED"/>
    <w:rsid w:val="0050053C"/>
    <w:rsid w:val="005006E6"/>
    <w:rsid w:val="00500CB5"/>
    <w:rsid w:val="0050120A"/>
    <w:rsid w:val="005022EF"/>
    <w:rsid w:val="00502468"/>
    <w:rsid w:val="0050263D"/>
    <w:rsid w:val="005029F5"/>
    <w:rsid w:val="00503271"/>
    <w:rsid w:val="0050356B"/>
    <w:rsid w:val="00503B39"/>
    <w:rsid w:val="005041BC"/>
    <w:rsid w:val="00504447"/>
    <w:rsid w:val="005044AB"/>
    <w:rsid w:val="00505239"/>
    <w:rsid w:val="00505488"/>
    <w:rsid w:val="00507401"/>
    <w:rsid w:val="0051000B"/>
    <w:rsid w:val="00510CDB"/>
    <w:rsid w:val="00510E95"/>
    <w:rsid w:val="0051121E"/>
    <w:rsid w:val="0051161E"/>
    <w:rsid w:val="005119C5"/>
    <w:rsid w:val="00512237"/>
    <w:rsid w:val="00512AA0"/>
    <w:rsid w:val="005132D5"/>
    <w:rsid w:val="00513AA3"/>
    <w:rsid w:val="00513E5A"/>
    <w:rsid w:val="0051401D"/>
    <w:rsid w:val="005141C7"/>
    <w:rsid w:val="005152C1"/>
    <w:rsid w:val="005153D8"/>
    <w:rsid w:val="005155FE"/>
    <w:rsid w:val="005159E7"/>
    <w:rsid w:val="00515B17"/>
    <w:rsid w:val="00515C77"/>
    <w:rsid w:val="005164E4"/>
    <w:rsid w:val="0051699A"/>
    <w:rsid w:val="0051734F"/>
    <w:rsid w:val="005173AC"/>
    <w:rsid w:val="005179DF"/>
    <w:rsid w:val="00517BAD"/>
    <w:rsid w:val="00517DE8"/>
    <w:rsid w:val="00517E8C"/>
    <w:rsid w:val="005203BF"/>
    <w:rsid w:val="00520421"/>
    <w:rsid w:val="0052094A"/>
    <w:rsid w:val="00521418"/>
    <w:rsid w:val="0052175C"/>
    <w:rsid w:val="005222DA"/>
    <w:rsid w:val="00522940"/>
    <w:rsid w:val="00523AA9"/>
    <w:rsid w:val="00523D00"/>
    <w:rsid w:val="00523DC6"/>
    <w:rsid w:val="005243E4"/>
    <w:rsid w:val="00524C47"/>
    <w:rsid w:val="005253EF"/>
    <w:rsid w:val="005260E3"/>
    <w:rsid w:val="00526DD4"/>
    <w:rsid w:val="00526E37"/>
    <w:rsid w:val="00526F19"/>
    <w:rsid w:val="005300C9"/>
    <w:rsid w:val="0053050F"/>
    <w:rsid w:val="005307E8"/>
    <w:rsid w:val="005308E1"/>
    <w:rsid w:val="00530B6C"/>
    <w:rsid w:val="00530C5A"/>
    <w:rsid w:val="00530D0E"/>
    <w:rsid w:val="00530EFC"/>
    <w:rsid w:val="0053102D"/>
    <w:rsid w:val="00531341"/>
    <w:rsid w:val="005321AB"/>
    <w:rsid w:val="0053278B"/>
    <w:rsid w:val="00532876"/>
    <w:rsid w:val="0053296F"/>
    <w:rsid w:val="0053319F"/>
    <w:rsid w:val="00533403"/>
    <w:rsid w:val="005340A4"/>
    <w:rsid w:val="005342BC"/>
    <w:rsid w:val="00534375"/>
    <w:rsid w:val="005359CB"/>
    <w:rsid w:val="00535DA1"/>
    <w:rsid w:val="005365C0"/>
    <w:rsid w:val="00536AB3"/>
    <w:rsid w:val="00536EF5"/>
    <w:rsid w:val="005378BB"/>
    <w:rsid w:val="00537EF8"/>
    <w:rsid w:val="00540BAD"/>
    <w:rsid w:val="00540BE7"/>
    <w:rsid w:val="00540F49"/>
    <w:rsid w:val="0054100D"/>
    <w:rsid w:val="0054144A"/>
    <w:rsid w:val="00542832"/>
    <w:rsid w:val="00543245"/>
    <w:rsid w:val="00543440"/>
    <w:rsid w:val="00543597"/>
    <w:rsid w:val="00543FD4"/>
    <w:rsid w:val="00544098"/>
    <w:rsid w:val="005443BE"/>
    <w:rsid w:val="005444E8"/>
    <w:rsid w:val="0054483F"/>
    <w:rsid w:val="00545177"/>
    <w:rsid w:val="005454E0"/>
    <w:rsid w:val="005469EF"/>
    <w:rsid w:val="00546A61"/>
    <w:rsid w:val="00547532"/>
    <w:rsid w:val="00547B6D"/>
    <w:rsid w:val="00547C56"/>
    <w:rsid w:val="005508E6"/>
    <w:rsid w:val="00551034"/>
    <w:rsid w:val="005515BA"/>
    <w:rsid w:val="005515F8"/>
    <w:rsid w:val="00552156"/>
    <w:rsid w:val="005522B0"/>
    <w:rsid w:val="00553225"/>
    <w:rsid w:val="00553254"/>
    <w:rsid w:val="00553256"/>
    <w:rsid w:val="00553A78"/>
    <w:rsid w:val="00553A80"/>
    <w:rsid w:val="00553C84"/>
    <w:rsid w:val="00553F81"/>
    <w:rsid w:val="00553FB4"/>
    <w:rsid w:val="005540A8"/>
    <w:rsid w:val="00554784"/>
    <w:rsid w:val="00554C82"/>
    <w:rsid w:val="0055561C"/>
    <w:rsid w:val="00555986"/>
    <w:rsid w:val="00555D10"/>
    <w:rsid w:val="00555D4F"/>
    <w:rsid w:val="00555F12"/>
    <w:rsid w:val="00557241"/>
    <w:rsid w:val="0055755C"/>
    <w:rsid w:val="005576F6"/>
    <w:rsid w:val="00557D6D"/>
    <w:rsid w:val="0056009F"/>
    <w:rsid w:val="0056022A"/>
    <w:rsid w:val="00560436"/>
    <w:rsid w:val="0056087B"/>
    <w:rsid w:val="00560CBE"/>
    <w:rsid w:val="00560D6F"/>
    <w:rsid w:val="00560F6E"/>
    <w:rsid w:val="00561263"/>
    <w:rsid w:val="0056196A"/>
    <w:rsid w:val="0056229F"/>
    <w:rsid w:val="00562573"/>
    <w:rsid w:val="005629C1"/>
    <w:rsid w:val="00562B3D"/>
    <w:rsid w:val="00563E6B"/>
    <w:rsid w:val="00564AEE"/>
    <w:rsid w:val="00565988"/>
    <w:rsid w:val="00565F3E"/>
    <w:rsid w:val="00566090"/>
    <w:rsid w:val="005661B6"/>
    <w:rsid w:val="00566389"/>
    <w:rsid w:val="005664F6"/>
    <w:rsid w:val="00567086"/>
    <w:rsid w:val="005675D3"/>
    <w:rsid w:val="0056765A"/>
    <w:rsid w:val="0056789F"/>
    <w:rsid w:val="00567938"/>
    <w:rsid w:val="00567E77"/>
    <w:rsid w:val="005703C1"/>
    <w:rsid w:val="00570F1E"/>
    <w:rsid w:val="0057104C"/>
    <w:rsid w:val="0057135E"/>
    <w:rsid w:val="005713D9"/>
    <w:rsid w:val="005714E3"/>
    <w:rsid w:val="00571B32"/>
    <w:rsid w:val="00571B34"/>
    <w:rsid w:val="00571C15"/>
    <w:rsid w:val="00571D1B"/>
    <w:rsid w:val="005729F6"/>
    <w:rsid w:val="00572CFC"/>
    <w:rsid w:val="00573F40"/>
    <w:rsid w:val="00573F77"/>
    <w:rsid w:val="00573F9C"/>
    <w:rsid w:val="00573FFE"/>
    <w:rsid w:val="0057430B"/>
    <w:rsid w:val="00574555"/>
    <w:rsid w:val="005762B5"/>
    <w:rsid w:val="005764D5"/>
    <w:rsid w:val="00576A9D"/>
    <w:rsid w:val="00577B86"/>
    <w:rsid w:val="00580076"/>
    <w:rsid w:val="00580EDC"/>
    <w:rsid w:val="00581095"/>
    <w:rsid w:val="005810B9"/>
    <w:rsid w:val="0058133F"/>
    <w:rsid w:val="0058184F"/>
    <w:rsid w:val="005818B9"/>
    <w:rsid w:val="00582130"/>
    <w:rsid w:val="00582161"/>
    <w:rsid w:val="005823C4"/>
    <w:rsid w:val="005826D0"/>
    <w:rsid w:val="00582A15"/>
    <w:rsid w:val="00582AEE"/>
    <w:rsid w:val="00583235"/>
    <w:rsid w:val="0058335B"/>
    <w:rsid w:val="00583C61"/>
    <w:rsid w:val="00583D7C"/>
    <w:rsid w:val="00583D8E"/>
    <w:rsid w:val="00583ED0"/>
    <w:rsid w:val="005846B0"/>
    <w:rsid w:val="005850FC"/>
    <w:rsid w:val="0058557C"/>
    <w:rsid w:val="00585793"/>
    <w:rsid w:val="00585886"/>
    <w:rsid w:val="00585E42"/>
    <w:rsid w:val="00586B10"/>
    <w:rsid w:val="0058726E"/>
    <w:rsid w:val="00590400"/>
    <w:rsid w:val="0059051C"/>
    <w:rsid w:val="005911B7"/>
    <w:rsid w:val="00591EE2"/>
    <w:rsid w:val="00592394"/>
    <w:rsid w:val="00592AF4"/>
    <w:rsid w:val="00592F38"/>
    <w:rsid w:val="00593396"/>
    <w:rsid w:val="005934DD"/>
    <w:rsid w:val="00593864"/>
    <w:rsid w:val="00594149"/>
    <w:rsid w:val="005943CE"/>
    <w:rsid w:val="005944BA"/>
    <w:rsid w:val="00594711"/>
    <w:rsid w:val="00594A1E"/>
    <w:rsid w:val="005962F3"/>
    <w:rsid w:val="00596A18"/>
    <w:rsid w:val="00596A59"/>
    <w:rsid w:val="00596B2C"/>
    <w:rsid w:val="00596DF4"/>
    <w:rsid w:val="00596E45"/>
    <w:rsid w:val="00597459"/>
    <w:rsid w:val="005975F7"/>
    <w:rsid w:val="00597768"/>
    <w:rsid w:val="005979D7"/>
    <w:rsid w:val="00597B22"/>
    <w:rsid w:val="005A1148"/>
    <w:rsid w:val="005A14AF"/>
    <w:rsid w:val="005A1BE4"/>
    <w:rsid w:val="005A1DFD"/>
    <w:rsid w:val="005A24CC"/>
    <w:rsid w:val="005A2F75"/>
    <w:rsid w:val="005A2FBE"/>
    <w:rsid w:val="005A32A1"/>
    <w:rsid w:val="005A3462"/>
    <w:rsid w:val="005A37F0"/>
    <w:rsid w:val="005A38F4"/>
    <w:rsid w:val="005A3DBF"/>
    <w:rsid w:val="005A3F17"/>
    <w:rsid w:val="005A42DA"/>
    <w:rsid w:val="005A4A63"/>
    <w:rsid w:val="005A682C"/>
    <w:rsid w:val="005A6F04"/>
    <w:rsid w:val="005A7312"/>
    <w:rsid w:val="005A74A7"/>
    <w:rsid w:val="005A7735"/>
    <w:rsid w:val="005A7B9F"/>
    <w:rsid w:val="005B00BD"/>
    <w:rsid w:val="005B10E8"/>
    <w:rsid w:val="005B12AE"/>
    <w:rsid w:val="005B13B0"/>
    <w:rsid w:val="005B163D"/>
    <w:rsid w:val="005B16F8"/>
    <w:rsid w:val="005B1783"/>
    <w:rsid w:val="005B18AE"/>
    <w:rsid w:val="005B18F2"/>
    <w:rsid w:val="005B29B5"/>
    <w:rsid w:val="005B2C4C"/>
    <w:rsid w:val="005B3642"/>
    <w:rsid w:val="005B393C"/>
    <w:rsid w:val="005B50F2"/>
    <w:rsid w:val="005B5DA7"/>
    <w:rsid w:val="005B65D4"/>
    <w:rsid w:val="005B69BA"/>
    <w:rsid w:val="005B6AF9"/>
    <w:rsid w:val="005B7384"/>
    <w:rsid w:val="005B77BD"/>
    <w:rsid w:val="005C02E8"/>
    <w:rsid w:val="005C05D8"/>
    <w:rsid w:val="005C109A"/>
    <w:rsid w:val="005C1A35"/>
    <w:rsid w:val="005C1CB5"/>
    <w:rsid w:val="005C1E71"/>
    <w:rsid w:val="005C407B"/>
    <w:rsid w:val="005C4304"/>
    <w:rsid w:val="005C49D0"/>
    <w:rsid w:val="005C509B"/>
    <w:rsid w:val="005C51A9"/>
    <w:rsid w:val="005C528E"/>
    <w:rsid w:val="005C544F"/>
    <w:rsid w:val="005C55F2"/>
    <w:rsid w:val="005C5756"/>
    <w:rsid w:val="005C5AAF"/>
    <w:rsid w:val="005C65F3"/>
    <w:rsid w:val="005C68A8"/>
    <w:rsid w:val="005C6B25"/>
    <w:rsid w:val="005C6E68"/>
    <w:rsid w:val="005C7030"/>
    <w:rsid w:val="005C755D"/>
    <w:rsid w:val="005C7A40"/>
    <w:rsid w:val="005C7FEC"/>
    <w:rsid w:val="005D001E"/>
    <w:rsid w:val="005D03E8"/>
    <w:rsid w:val="005D0F4C"/>
    <w:rsid w:val="005D1758"/>
    <w:rsid w:val="005D1E32"/>
    <w:rsid w:val="005D1F39"/>
    <w:rsid w:val="005D1F8A"/>
    <w:rsid w:val="005D20BF"/>
    <w:rsid w:val="005D20DE"/>
    <w:rsid w:val="005D35BE"/>
    <w:rsid w:val="005D37CA"/>
    <w:rsid w:val="005D411C"/>
    <w:rsid w:val="005D41AD"/>
    <w:rsid w:val="005D41C4"/>
    <w:rsid w:val="005D4ADC"/>
    <w:rsid w:val="005D561D"/>
    <w:rsid w:val="005D59EA"/>
    <w:rsid w:val="005D6936"/>
    <w:rsid w:val="005D6B96"/>
    <w:rsid w:val="005D6C1E"/>
    <w:rsid w:val="005D7694"/>
    <w:rsid w:val="005E0CD7"/>
    <w:rsid w:val="005E1608"/>
    <w:rsid w:val="005E18AC"/>
    <w:rsid w:val="005E1A87"/>
    <w:rsid w:val="005E1BA8"/>
    <w:rsid w:val="005E21BA"/>
    <w:rsid w:val="005E248F"/>
    <w:rsid w:val="005E375E"/>
    <w:rsid w:val="005E4C72"/>
    <w:rsid w:val="005E4F20"/>
    <w:rsid w:val="005E57B8"/>
    <w:rsid w:val="005E5F91"/>
    <w:rsid w:val="005E626B"/>
    <w:rsid w:val="005E6CB3"/>
    <w:rsid w:val="005E7485"/>
    <w:rsid w:val="005E7622"/>
    <w:rsid w:val="005E7B14"/>
    <w:rsid w:val="005F03C5"/>
    <w:rsid w:val="005F1FED"/>
    <w:rsid w:val="005F2BB0"/>
    <w:rsid w:val="005F2BD9"/>
    <w:rsid w:val="005F2DC7"/>
    <w:rsid w:val="005F2EA8"/>
    <w:rsid w:val="005F3C99"/>
    <w:rsid w:val="005F4166"/>
    <w:rsid w:val="005F4487"/>
    <w:rsid w:val="005F4DE3"/>
    <w:rsid w:val="005F4E45"/>
    <w:rsid w:val="005F595B"/>
    <w:rsid w:val="005F5AB4"/>
    <w:rsid w:val="005F62AD"/>
    <w:rsid w:val="005F6B2D"/>
    <w:rsid w:val="005F7C74"/>
    <w:rsid w:val="0060009E"/>
    <w:rsid w:val="0060066E"/>
    <w:rsid w:val="00600FAE"/>
    <w:rsid w:val="00601373"/>
    <w:rsid w:val="00601AB1"/>
    <w:rsid w:val="00602048"/>
    <w:rsid w:val="00603E77"/>
    <w:rsid w:val="00604171"/>
    <w:rsid w:val="00604513"/>
    <w:rsid w:val="00604EE5"/>
    <w:rsid w:val="00605FA6"/>
    <w:rsid w:val="0060609B"/>
    <w:rsid w:val="0060611E"/>
    <w:rsid w:val="00606887"/>
    <w:rsid w:val="00607547"/>
    <w:rsid w:val="00607561"/>
    <w:rsid w:val="00607D1E"/>
    <w:rsid w:val="00607DBF"/>
    <w:rsid w:val="0061013D"/>
    <w:rsid w:val="006101C5"/>
    <w:rsid w:val="00610621"/>
    <w:rsid w:val="006106E2"/>
    <w:rsid w:val="00610C5A"/>
    <w:rsid w:val="00610C91"/>
    <w:rsid w:val="00611270"/>
    <w:rsid w:val="006119A6"/>
    <w:rsid w:val="006119FF"/>
    <w:rsid w:val="00612394"/>
    <w:rsid w:val="00612A17"/>
    <w:rsid w:val="00612C3D"/>
    <w:rsid w:val="00612F06"/>
    <w:rsid w:val="0061388C"/>
    <w:rsid w:val="00614410"/>
    <w:rsid w:val="00614CFB"/>
    <w:rsid w:val="00615E14"/>
    <w:rsid w:val="00615FFF"/>
    <w:rsid w:val="00616251"/>
    <w:rsid w:val="006162CE"/>
    <w:rsid w:val="0061632B"/>
    <w:rsid w:val="006169D7"/>
    <w:rsid w:val="00616B7F"/>
    <w:rsid w:val="00616FB3"/>
    <w:rsid w:val="0061728D"/>
    <w:rsid w:val="006202A5"/>
    <w:rsid w:val="00621026"/>
    <w:rsid w:val="006212FB"/>
    <w:rsid w:val="00622393"/>
    <w:rsid w:val="00622609"/>
    <w:rsid w:val="00622F1F"/>
    <w:rsid w:val="00623401"/>
    <w:rsid w:val="006236BE"/>
    <w:rsid w:val="00623D14"/>
    <w:rsid w:val="00623D55"/>
    <w:rsid w:val="00623EDF"/>
    <w:rsid w:val="00624F5F"/>
    <w:rsid w:val="00625171"/>
    <w:rsid w:val="00625692"/>
    <w:rsid w:val="006262F9"/>
    <w:rsid w:val="00626C68"/>
    <w:rsid w:val="00626DCF"/>
    <w:rsid w:val="00627168"/>
    <w:rsid w:val="00627336"/>
    <w:rsid w:val="00627999"/>
    <w:rsid w:val="00627ECD"/>
    <w:rsid w:val="0063177B"/>
    <w:rsid w:val="0063213A"/>
    <w:rsid w:val="006324F8"/>
    <w:rsid w:val="0063259B"/>
    <w:rsid w:val="0063280D"/>
    <w:rsid w:val="00632CA2"/>
    <w:rsid w:val="00632D92"/>
    <w:rsid w:val="00633107"/>
    <w:rsid w:val="00633808"/>
    <w:rsid w:val="00633A35"/>
    <w:rsid w:val="00633A81"/>
    <w:rsid w:val="00633AA8"/>
    <w:rsid w:val="00633CEC"/>
    <w:rsid w:val="00633D8D"/>
    <w:rsid w:val="00633E85"/>
    <w:rsid w:val="0063452E"/>
    <w:rsid w:val="006349E9"/>
    <w:rsid w:val="00634AA5"/>
    <w:rsid w:val="00635A2B"/>
    <w:rsid w:val="00635BF2"/>
    <w:rsid w:val="00637AD7"/>
    <w:rsid w:val="0064117E"/>
    <w:rsid w:val="00641DC4"/>
    <w:rsid w:val="00642207"/>
    <w:rsid w:val="0064241E"/>
    <w:rsid w:val="0064298C"/>
    <w:rsid w:val="0064305F"/>
    <w:rsid w:val="0064334F"/>
    <w:rsid w:val="00643415"/>
    <w:rsid w:val="0064347E"/>
    <w:rsid w:val="0064395F"/>
    <w:rsid w:val="00643A59"/>
    <w:rsid w:val="006454E9"/>
    <w:rsid w:val="00646A8C"/>
    <w:rsid w:val="00650938"/>
    <w:rsid w:val="00650C41"/>
    <w:rsid w:val="00651461"/>
    <w:rsid w:val="006514FE"/>
    <w:rsid w:val="006519E5"/>
    <w:rsid w:val="00651E06"/>
    <w:rsid w:val="00652710"/>
    <w:rsid w:val="00653E9C"/>
    <w:rsid w:val="0065414C"/>
    <w:rsid w:val="006543D6"/>
    <w:rsid w:val="006545DE"/>
    <w:rsid w:val="0065498B"/>
    <w:rsid w:val="006553DE"/>
    <w:rsid w:val="00655F74"/>
    <w:rsid w:val="00656325"/>
    <w:rsid w:val="00656B41"/>
    <w:rsid w:val="006570AE"/>
    <w:rsid w:val="006579BD"/>
    <w:rsid w:val="00657B33"/>
    <w:rsid w:val="006612FD"/>
    <w:rsid w:val="0066165A"/>
    <w:rsid w:val="00661BB3"/>
    <w:rsid w:val="0066279B"/>
    <w:rsid w:val="00662A50"/>
    <w:rsid w:val="0066384E"/>
    <w:rsid w:val="00663D1F"/>
    <w:rsid w:val="00663D7C"/>
    <w:rsid w:val="006643C2"/>
    <w:rsid w:val="006646AF"/>
    <w:rsid w:val="0066478F"/>
    <w:rsid w:val="006652FC"/>
    <w:rsid w:val="00665636"/>
    <w:rsid w:val="00665D48"/>
    <w:rsid w:val="00666080"/>
    <w:rsid w:val="006663D7"/>
    <w:rsid w:val="006669C9"/>
    <w:rsid w:val="0066740E"/>
    <w:rsid w:val="006676EE"/>
    <w:rsid w:val="00667FC2"/>
    <w:rsid w:val="00670083"/>
    <w:rsid w:val="00670635"/>
    <w:rsid w:val="00670C3F"/>
    <w:rsid w:val="00671107"/>
    <w:rsid w:val="00671275"/>
    <w:rsid w:val="006716B3"/>
    <w:rsid w:val="00671E4A"/>
    <w:rsid w:val="00672A1E"/>
    <w:rsid w:val="0067318F"/>
    <w:rsid w:val="0067347B"/>
    <w:rsid w:val="0067365C"/>
    <w:rsid w:val="00673D28"/>
    <w:rsid w:val="00674B73"/>
    <w:rsid w:val="006757A1"/>
    <w:rsid w:val="00675A87"/>
    <w:rsid w:val="00676CB9"/>
    <w:rsid w:val="00677314"/>
    <w:rsid w:val="00677614"/>
    <w:rsid w:val="0067796D"/>
    <w:rsid w:val="00677D70"/>
    <w:rsid w:val="00677DC4"/>
    <w:rsid w:val="00677F1F"/>
    <w:rsid w:val="00680224"/>
    <w:rsid w:val="00680643"/>
    <w:rsid w:val="00680D45"/>
    <w:rsid w:val="0068116C"/>
    <w:rsid w:val="0068134E"/>
    <w:rsid w:val="00681BDB"/>
    <w:rsid w:val="00682CCB"/>
    <w:rsid w:val="00682F51"/>
    <w:rsid w:val="00683004"/>
    <w:rsid w:val="0068368A"/>
    <w:rsid w:val="00683772"/>
    <w:rsid w:val="00683AA7"/>
    <w:rsid w:val="00683F93"/>
    <w:rsid w:val="00684106"/>
    <w:rsid w:val="00684ECF"/>
    <w:rsid w:val="0068580A"/>
    <w:rsid w:val="00686197"/>
    <w:rsid w:val="006863C1"/>
    <w:rsid w:val="00686BAB"/>
    <w:rsid w:val="00686CBD"/>
    <w:rsid w:val="00687359"/>
    <w:rsid w:val="00687839"/>
    <w:rsid w:val="00690501"/>
    <w:rsid w:val="0069077C"/>
    <w:rsid w:val="00690B37"/>
    <w:rsid w:val="00690DA6"/>
    <w:rsid w:val="00690E67"/>
    <w:rsid w:val="00690FC1"/>
    <w:rsid w:val="0069134A"/>
    <w:rsid w:val="006914D8"/>
    <w:rsid w:val="0069293C"/>
    <w:rsid w:val="00693394"/>
    <w:rsid w:val="006933D8"/>
    <w:rsid w:val="00693A5B"/>
    <w:rsid w:val="00694184"/>
    <w:rsid w:val="00694B06"/>
    <w:rsid w:val="00694D17"/>
    <w:rsid w:val="00694F6D"/>
    <w:rsid w:val="00695309"/>
    <w:rsid w:val="00695662"/>
    <w:rsid w:val="006956D7"/>
    <w:rsid w:val="00695DA3"/>
    <w:rsid w:val="006968AF"/>
    <w:rsid w:val="006969DE"/>
    <w:rsid w:val="006978C6"/>
    <w:rsid w:val="006979A8"/>
    <w:rsid w:val="006A0117"/>
    <w:rsid w:val="006A0885"/>
    <w:rsid w:val="006A09C2"/>
    <w:rsid w:val="006A09EA"/>
    <w:rsid w:val="006A0CBD"/>
    <w:rsid w:val="006A150D"/>
    <w:rsid w:val="006A1A7D"/>
    <w:rsid w:val="006A2014"/>
    <w:rsid w:val="006A23CC"/>
    <w:rsid w:val="006A37DC"/>
    <w:rsid w:val="006A4D54"/>
    <w:rsid w:val="006A517C"/>
    <w:rsid w:val="006A51EB"/>
    <w:rsid w:val="006A54BE"/>
    <w:rsid w:val="006A5A11"/>
    <w:rsid w:val="006A5B5F"/>
    <w:rsid w:val="006A6686"/>
    <w:rsid w:val="006A6E12"/>
    <w:rsid w:val="006A6FA6"/>
    <w:rsid w:val="006A752A"/>
    <w:rsid w:val="006B0247"/>
    <w:rsid w:val="006B02D8"/>
    <w:rsid w:val="006B04B9"/>
    <w:rsid w:val="006B0BDF"/>
    <w:rsid w:val="006B0EAE"/>
    <w:rsid w:val="006B0EE9"/>
    <w:rsid w:val="006B23A4"/>
    <w:rsid w:val="006B23CE"/>
    <w:rsid w:val="006B2DE1"/>
    <w:rsid w:val="006B30C6"/>
    <w:rsid w:val="006B4BF1"/>
    <w:rsid w:val="006B4EDD"/>
    <w:rsid w:val="006B529D"/>
    <w:rsid w:val="006B5CD9"/>
    <w:rsid w:val="006B6585"/>
    <w:rsid w:val="006B658E"/>
    <w:rsid w:val="006B678E"/>
    <w:rsid w:val="006B687A"/>
    <w:rsid w:val="006B72C1"/>
    <w:rsid w:val="006B747B"/>
    <w:rsid w:val="006B7C4C"/>
    <w:rsid w:val="006C0253"/>
    <w:rsid w:val="006C0B4B"/>
    <w:rsid w:val="006C0D78"/>
    <w:rsid w:val="006C0DF8"/>
    <w:rsid w:val="006C1504"/>
    <w:rsid w:val="006C1AEA"/>
    <w:rsid w:val="006C1D5D"/>
    <w:rsid w:val="006C2082"/>
    <w:rsid w:val="006C2197"/>
    <w:rsid w:val="006C2623"/>
    <w:rsid w:val="006C26F7"/>
    <w:rsid w:val="006C2D17"/>
    <w:rsid w:val="006C337C"/>
    <w:rsid w:val="006C3FD1"/>
    <w:rsid w:val="006C4378"/>
    <w:rsid w:val="006C4B52"/>
    <w:rsid w:val="006C54CC"/>
    <w:rsid w:val="006C55B7"/>
    <w:rsid w:val="006C669A"/>
    <w:rsid w:val="006C7AAB"/>
    <w:rsid w:val="006C7AE9"/>
    <w:rsid w:val="006C7E21"/>
    <w:rsid w:val="006D0156"/>
    <w:rsid w:val="006D02DC"/>
    <w:rsid w:val="006D06CF"/>
    <w:rsid w:val="006D0AA1"/>
    <w:rsid w:val="006D0BEB"/>
    <w:rsid w:val="006D0FC1"/>
    <w:rsid w:val="006D151E"/>
    <w:rsid w:val="006D1E1E"/>
    <w:rsid w:val="006D339F"/>
    <w:rsid w:val="006D3469"/>
    <w:rsid w:val="006D42CF"/>
    <w:rsid w:val="006D4477"/>
    <w:rsid w:val="006D45AE"/>
    <w:rsid w:val="006D4F1E"/>
    <w:rsid w:val="006D511E"/>
    <w:rsid w:val="006D51A9"/>
    <w:rsid w:val="006D59FC"/>
    <w:rsid w:val="006D68A2"/>
    <w:rsid w:val="006D6AAC"/>
    <w:rsid w:val="006D72A6"/>
    <w:rsid w:val="006D7F42"/>
    <w:rsid w:val="006E05A2"/>
    <w:rsid w:val="006E07CD"/>
    <w:rsid w:val="006E0A2E"/>
    <w:rsid w:val="006E0CB5"/>
    <w:rsid w:val="006E16A4"/>
    <w:rsid w:val="006E175B"/>
    <w:rsid w:val="006E1B40"/>
    <w:rsid w:val="006E25BB"/>
    <w:rsid w:val="006E3BE5"/>
    <w:rsid w:val="006E4362"/>
    <w:rsid w:val="006E4728"/>
    <w:rsid w:val="006E48DE"/>
    <w:rsid w:val="006E508C"/>
    <w:rsid w:val="006E5B70"/>
    <w:rsid w:val="006E609E"/>
    <w:rsid w:val="006E6601"/>
    <w:rsid w:val="006E6844"/>
    <w:rsid w:val="006E6865"/>
    <w:rsid w:val="006E74FD"/>
    <w:rsid w:val="006F03CA"/>
    <w:rsid w:val="006F0B42"/>
    <w:rsid w:val="006F0B71"/>
    <w:rsid w:val="006F0C7F"/>
    <w:rsid w:val="006F0CF5"/>
    <w:rsid w:val="006F0DE8"/>
    <w:rsid w:val="006F11B4"/>
    <w:rsid w:val="006F1AF5"/>
    <w:rsid w:val="006F1EBA"/>
    <w:rsid w:val="006F1F37"/>
    <w:rsid w:val="006F2258"/>
    <w:rsid w:val="006F2771"/>
    <w:rsid w:val="006F2AD9"/>
    <w:rsid w:val="006F3860"/>
    <w:rsid w:val="006F39F9"/>
    <w:rsid w:val="006F3E2B"/>
    <w:rsid w:val="006F3EDB"/>
    <w:rsid w:val="006F419C"/>
    <w:rsid w:val="006F503B"/>
    <w:rsid w:val="006F50AF"/>
    <w:rsid w:val="006F54E4"/>
    <w:rsid w:val="006F5BFB"/>
    <w:rsid w:val="006F6230"/>
    <w:rsid w:val="006F67FD"/>
    <w:rsid w:val="006F68DB"/>
    <w:rsid w:val="006F69C2"/>
    <w:rsid w:val="006F6C8A"/>
    <w:rsid w:val="006F7970"/>
    <w:rsid w:val="007001FC"/>
    <w:rsid w:val="00700B37"/>
    <w:rsid w:val="0070232E"/>
    <w:rsid w:val="007023C6"/>
    <w:rsid w:val="007028BD"/>
    <w:rsid w:val="00702D41"/>
    <w:rsid w:val="00703531"/>
    <w:rsid w:val="00703F4F"/>
    <w:rsid w:val="00703FDE"/>
    <w:rsid w:val="00704743"/>
    <w:rsid w:val="0070480E"/>
    <w:rsid w:val="00704B20"/>
    <w:rsid w:val="00704DB8"/>
    <w:rsid w:val="00705B0B"/>
    <w:rsid w:val="00705ECE"/>
    <w:rsid w:val="007073E6"/>
    <w:rsid w:val="00707F60"/>
    <w:rsid w:val="0071066B"/>
    <w:rsid w:val="007107C4"/>
    <w:rsid w:val="00710978"/>
    <w:rsid w:val="007109B4"/>
    <w:rsid w:val="007110E3"/>
    <w:rsid w:val="0071183E"/>
    <w:rsid w:val="00711F07"/>
    <w:rsid w:val="00712755"/>
    <w:rsid w:val="00712957"/>
    <w:rsid w:val="00712FAB"/>
    <w:rsid w:val="00713B20"/>
    <w:rsid w:val="00714548"/>
    <w:rsid w:val="00715002"/>
    <w:rsid w:val="0071525C"/>
    <w:rsid w:val="0071584F"/>
    <w:rsid w:val="00715F4B"/>
    <w:rsid w:val="00716CC9"/>
    <w:rsid w:val="00717229"/>
    <w:rsid w:val="0071751C"/>
    <w:rsid w:val="007175ED"/>
    <w:rsid w:val="00717B6E"/>
    <w:rsid w:val="007207A3"/>
    <w:rsid w:val="00720AD3"/>
    <w:rsid w:val="00720FA8"/>
    <w:rsid w:val="00721276"/>
    <w:rsid w:val="0072160D"/>
    <w:rsid w:val="00721D73"/>
    <w:rsid w:val="007221F1"/>
    <w:rsid w:val="0072311A"/>
    <w:rsid w:val="007231C8"/>
    <w:rsid w:val="007233E3"/>
    <w:rsid w:val="007237E7"/>
    <w:rsid w:val="007244BB"/>
    <w:rsid w:val="00724CA4"/>
    <w:rsid w:val="0072521E"/>
    <w:rsid w:val="00725D0C"/>
    <w:rsid w:val="00726151"/>
    <w:rsid w:val="007262CC"/>
    <w:rsid w:val="00726857"/>
    <w:rsid w:val="007304FD"/>
    <w:rsid w:val="00730AC8"/>
    <w:rsid w:val="00730D62"/>
    <w:rsid w:val="00730E1E"/>
    <w:rsid w:val="007310F9"/>
    <w:rsid w:val="00731774"/>
    <w:rsid w:val="00731938"/>
    <w:rsid w:val="00732656"/>
    <w:rsid w:val="0073265E"/>
    <w:rsid w:val="00732A17"/>
    <w:rsid w:val="00732C8E"/>
    <w:rsid w:val="00732F16"/>
    <w:rsid w:val="00733204"/>
    <w:rsid w:val="00734548"/>
    <w:rsid w:val="00734E9D"/>
    <w:rsid w:val="007353CD"/>
    <w:rsid w:val="00735628"/>
    <w:rsid w:val="007366EF"/>
    <w:rsid w:val="007369EF"/>
    <w:rsid w:val="00736F61"/>
    <w:rsid w:val="00736FDC"/>
    <w:rsid w:val="00737A8D"/>
    <w:rsid w:val="00737B64"/>
    <w:rsid w:val="00740039"/>
    <w:rsid w:val="00740132"/>
    <w:rsid w:val="007405B0"/>
    <w:rsid w:val="00740EE8"/>
    <w:rsid w:val="007417D9"/>
    <w:rsid w:val="00741A5E"/>
    <w:rsid w:val="00741CE5"/>
    <w:rsid w:val="00742329"/>
    <w:rsid w:val="00742529"/>
    <w:rsid w:val="00742687"/>
    <w:rsid w:val="0074274B"/>
    <w:rsid w:val="00742946"/>
    <w:rsid w:val="00742EAA"/>
    <w:rsid w:val="00744612"/>
    <w:rsid w:val="00744CFA"/>
    <w:rsid w:val="00745A91"/>
    <w:rsid w:val="00746328"/>
    <w:rsid w:val="0074661C"/>
    <w:rsid w:val="00747C3C"/>
    <w:rsid w:val="00750221"/>
    <w:rsid w:val="0075063E"/>
    <w:rsid w:val="0075070B"/>
    <w:rsid w:val="00750AEB"/>
    <w:rsid w:val="007519CA"/>
    <w:rsid w:val="00751D2F"/>
    <w:rsid w:val="007520F9"/>
    <w:rsid w:val="00752571"/>
    <w:rsid w:val="0075280E"/>
    <w:rsid w:val="007529DF"/>
    <w:rsid w:val="00752B76"/>
    <w:rsid w:val="007537CB"/>
    <w:rsid w:val="007542D3"/>
    <w:rsid w:val="0075497E"/>
    <w:rsid w:val="00755253"/>
    <w:rsid w:val="007569C1"/>
    <w:rsid w:val="00756BA3"/>
    <w:rsid w:val="00756C38"/>
    <w:rsid w:val="007571A4"/>
    <w:rsid w:val="00757496"/>
    <w:rsid w:val="00757652"/>
    <w:rsid w:val="00760A0D"/>
    <w:rsid w:val="00761629"/>
    <w:rsid w:val="007618CB"/>
    <w:rsid w:val="007618D7"/>
    <w:rsid w:val="00761F58"/>
    <w:rsid w:val="00761FE7"/>
    <w:rsid w:val="007627B1"/>
    <w:rsid w:val="00762A81"/>
    <w:rsid w:val="00763DDC"/>
    <w:rsid w:val="00763E87"/>
    <w:rsid w:val="00764088"/>
    <w:rsid w:val="007648AC"/>
    <w:rsid w:val="00766F96"/>
    <w:rsid w:val="0077015D"/>
    <w:rsid w:val="0077022F"/>
    <w:rsid w:val="00771067"/>
    <w:rsid w:val="0077167B"/>
    <w:rsid w:val="007719DD"/>
    <w:rsid w:val="00771AA4"/>
    <w:rsid w:val="007738A4"/>
    <w:rsid w:val="00774090"/>
    <w:rsid w:val="00774466"/>
    <w:rsid w:val="00775310"/>
    <w:rsid w:val="00775A75"/>
    <w:rsid w:val="00775A99"/>
    <w:rsid w:val="00775C09"/>
    <w:rsid w:val="00775D04"/>
    <w:rsid w:val="00775F59"/>
    <w:rsid w:val="0077655C"/>
    <w:rsid w:val="00776A50"/>
    <w:rsid w:val="00776B7A"/>
    <w:rsid w:val="007770CF"/>
    <w:rsid w:val="00777558"/>
    <w:rsid w:val="00777DDB"/>
    <w:rsid w:val="00777F5D"/>
    <w:rsid w:val="007807EC"/>
    <w:rsid w:val="00780D65"/>
    <w:rsid w:val="00780E96"/>
    <w:rsid w:val="00780F4A"/>
    <w:rsid w:val="0078114E"/>
    <w:rsid w:val="00781A0B"/>
    <w:rsid w:val="00781A21"/>
    <w:rsid w:val="00781B10"/>
    <w:rsid w:val="0078213B"/>
    <w:rsid w:val="00782334"/>
    <w:rsid w:val="007824F8"/>
    <w:rsid w:val="0078322A"/>
    <w:rsid w:val="0078327D"/>
    <w:rsid w:val="00783883"/>
    <w:rsid w:val="007838D6"/>
    <w:rsid w:val="007838F5"/>
    <w:rsid w:val="00784944"/>
    <w:rsid w:val="00785C4F"/>
    <w:rsid w:val="00786338"/>
    <w:rsid w:val="0078691E"/>
    <w:rsid w:val="00786FA8"/>
    <w:rsid w:val="00787807"/>
    <w:rsid w:val="00787A05"/>
    <w:rsid w:val="00790390"/>
    <w:rsid w:val="007909F1"/>
    <w:rsid w:val="00791DB5"/>
    <w:rsid w:val="00792BB8"/>
    <w:rsid w:val="00792F1E"/>
    <w:rsid w:val="00794061"/>
    <w:rsid w:val="00794B8C"/>
    <w:rsid w:val="00794DC9"/>
    <w:rsid w:val="00794EC1"/>
    <w:rsid w:val="0079569F"/>
    <w:rsid w:val="00795FB7"/>
    <w:rsid w:val="00796575"/>
    <w:rsid w:val="00796769"/>
    <w:rsid w:val="00796ED3"/>
    <w:rsid w:val="007972F8"/>
    <w:rsid w:val="00797707"/>
    <w:rsid w:val="00797A75"/>
    <w:rsid w:val="00797BB4"/>
    <w:rsid w:val="007A03C1"/>
    <w:rsid w:val="007A0648"/>
    <w:rsid w:val="007A1254"/>
    <w:rsid w:val="007A14CA"/>
    <w:rsid w:val="007A1606"/>
    <w:rsid w:val="007A1F03"/>
    <w:rsid w:val="007A29A9"/>
    <w:rsid w:val="007A2AA5"/>
    <w:rsid w:val="007A3970"/>
    <w:rsid w:val="007A3F7A"/>
    <w:rsid w:val="007A4E86"/>
    <w:rsid w:val="007A50C5"/>
    <w:rsid w:val="007A5109"/>
    <w:rsid w:val="007A5618"/>
    <w:rsid w:val="007A57BB"/>
    <w:rsid w:val="007A6E64"/>
    <w:rsid w:val="007A7A93"/>
    <w:rsid w:val="007A7E75"/>
    <w:rsid w:val="007A7EB5"/>
    <w:rsid w:val="007B00BB"/>
    <w:rsid w:val="007B084E"/>
    <w:rsid w:val="007B10FC"/>
    <w:rsid w:val="007B1212"/>
    <w:rsid w:val="007B1770"/>
    <w:rsid w:val="007B1AB0"/>
    <w:rsid w:val="007B2737"/>
    <w:rsid w:val="007B39CC"/>
    <w:rsid w:val="007B3A74"/>
    <w:rsid w:val="007B3C70"/>
    <w:rsid w:val="007B3FD1"/>
    <w:rsid w:val="007B40F1"/>
    <w:rsid w:val="007B4921"/>
    <w:rsid w:val="007B4B2D"/>
    <w:rsid w:val="007B5B3F"/>
    <w:rsid w:val="007B5EAE"/>
    <w:rsid w:val="007B61C3"/>
    <w:rsid w:val="007B6970"/>
    <w:rsid w:val="007C0130"/>
    <w:rsid w:val="007C01DD"/>
    <w:rsid w:val="007C10F7"/>
    <w:rsid w:val="007C164B"/>
    <w:rsid w:val="007C1745"/>
    <w:rsid w:val="007C180B"/>
    <w:rsid w:val="007C1E63"/>
    <w:rsid w:val="007C2406"/>
    <w:rsid w:val="007C258C"/>
    <w:rsid w:val="007C2A54"/>
    <w:rsid w:val="007C2B87"/>
    <w:rsid w:val="007C2CE6"/>
    <w:rsid w:val="007C3305"/>
    <w:rsid w:val="007C3D56"/>
    <w:rsid w:val="007C3DE9"/>
    <w:rsid w:val="007C4091"/>
    <w:rsid w:val="007C40C6"/>
    <w:rsid w:val="007C4627"/>
    <w:rsid w:val="007C4656"/>
    <w:rsid w:val="007C5EE8"/>
    <w:rsid w:val="007C67A8"/>
    <w:rsid w:val="007C68AC"/>
    <w:rsid w:val="007C6C90"/>
    <w:rsid w:val="007C7425"/>
    <w:rsid w:val="007C79E0"/>
    <w:rsid w:val="007C7A30"/>
    <w:rsid w:val="007C7FA1"/>
    <w:rsid w:val="007D032B"/>
    <w:rsid w:val="007D05B5"/>
    <w:rsid w:val="007D0E70"/>
    <w:rsid w:val="007D1809"/>
    <w:rsid w:val="007D2871"/>
    <w:rsid w:val="007D30BD"/>
    <w:rsid w:val="007D3369"/>
    <w:rsid w:val="007D372B"/>
    <w:rsid w:val="007D386D"/>
    <w:rsid w:val="007D3C4C"/>
    <w:rsid w:val="007D4022"/>
    <w:rsid w:val="007D408A"/>
    <w:rsid w:val="007D4301"/>
    <w:rsid w:val="007D44DF"/>
    <w:rsid w:val="007D4BDD"/>
    <w:rsid w:val="007D5392"/>
    <w:rsid w:val="007D5AB0"/>
    <w:rsid w:val="007D5E3E"/>
    <w:rsid w:val="007D64EE"/>
    <w:rsid w:val="007D6661"/>
    <w:rsid w:val="007D71DE"/>
    <w:rsid w:val="007D74C9"/>
    <w:rsid w:val="007D7DA5"/>
    <w:rsid w:val="007E09FA"/>
    <w:rsid w:val="007E0BFC"/>
    <w:rsid w:val="007E180E"/>
    <w:rsid w:val="007E1998"/>
    <w:rsid w:val="007E1E67"/>
    <w:rsid w:val="007E1FE9"/>
    <w:rsid w:val="007E2F98"/>
    <w:rsid w:val="007E3AAD"/>
    <w:rsid w:val="007E3C19"/>
    <w:rsid w:val="007E3CE8"/>
    <w:rsid w:val="007E43D1"/>
    <w:rsid w:val="007E4D23"/>
    <w:rsid w:val="007E52DE"/>
    <w:rsid w:val="007E58BF"/>
    <w:rsid w:val="007E63C5"/>
    <w:rsid w:val="007E698C"/>
    <w:rsid w:val="007E69A3"/>
    <w:rsid w:val="007E71B6"/>
    <w:rsid w:val="007E7280"/>
    <w:rsid w:val="007E7A71"/>
    <w:rsid w:val="007F142F"/>
    <w:rsid w:val="007F1452"/>
    <w:rsid w:val="007F15C7"/>
    <w:rsid w:val="007F2482"/>
    <w:rsid w:val="007F272D"/>
    <w:rsid w:val="007F2751"/>
    <w:rsid w:val="007F2933"/>
    <w:rsid w:val="007F2D7A"/>
    <w:rsid w:val="007F2F01"/>
    <w:rsid w:val="007F3099"/>
    <w:rsid w:val="007F3F42"/>
    <w:rsid w:val="007F454A"/>
    <w:rsid w:val="007F4A55"/>
    <w:rsid w:val="007F4C23"/>
    <w:rsid w:val="007F4C33"/>
    <w:rsid w:val="007F568E"/>
    <w:rsid w:val="007F65D7"/>
    <w:rsid w:val="007F6E68"/>
    <w:rsid w:val="007F76F2"/>
    <w:rsid w:val="00801160"/>
    <w:rsid w:val="00801285"/>
    <w:rsid w:val="0080142B"/>
    <w:rsid w:val="008014CB"/>
    <w:rsid w:val="00801C2B"/>
    <w:rsid w:val="0080231F"/>
    <w:rsid w:val="00802481"/>
    <w:rsid w:val="00802ECF"/>
    <w:rsid w:val="00803001"/>
    <w:rsid w:val="00803B21"/>
    <w:rsid w:val="00803C8A"/>
    <w:rsid w:val="008045B7"/>
    <w:rsid w:val="008048E7"/>
    <w:rsid w:val="00804E49"/>
    <w:rsid w:val="00805D8B"/>
    <w:rsid w:val="00805EB6"/>
    <w:rsid w:val="00805F11"/>
    <w:rsid w:val="00806395"/>
    <w:rsid w:val="0080749D"/>
    <w:rsid w:val="008079D9"/>
    <w:rsid w:val="00807B0C"/>
    <w:rsid w:val="00810530"/>
    <w:rsid w:val="00810783"/>
    <w:rsid w:val="008108D2"/>
    <w:rsid w:val="00810BED"/>
    <w:rsid w:val="00810CE9"/>
    <w:rsid w:val="00810D12"/>
    <w:rsid w:val="008112EF"/>
    <w:rsid w:val="0081194B"/>
    <w:rsid w:val="00811FE1"/>
    <w:rsid w:val="0081218A"/>
    <w:rsid w:val="008121F5"/>
    <w:rsid w:val="00812566"/>
    <w:rsid w:val="008125F4"/>
    <w:rsid w:val="00812670"/>
    <w:rsid w:val="008126A3"/>
    <w:rsid w:val="008127D9"/>
    <w:rsid w:val="008134BD"/>
    <w:rsid w:val="0081370D"/>
    <w:rsid w:val="00813CAA"/>
    <w:rsid w:val="00814207"/>
    <w:rsid w:val="008142CB"/>
    <w:rsid w:val="00814A2E"/>
    <w:rsid w:val="00814D5D"/>
    <w:rsid w:val="00815159"/>
    <w:rsid w:val="00815733"/>
    <w:rsid w:val="00815BF4"/>
    <w:rsid w:val="00815D57"/>
    <w:rsid w:val="008160A4"/>
    <w:rsid w:val="0081661E"/>
    <w:rsid w:val="008168D8"/>
    <w:rsid w:val="008173C6"/>
    <w:rsid w:val="00817905"/>
    <w:rsid w:val="00817F15"/>
    <w:rsid w:val="00820C9B"/>
    <w:rsid w:val="00821540"/>
    <w:rsid w:val="008221CA"/>
    <w:rsid w:val="0082421C"/>
    <w:rsid w:val="0082424D"/>
    <w:rsid w:val="0082463B"/>
    <w:rsid w:val="0082471C"/>
    <w:rsid w:val="00824B58"/>
    <w:rsid w:val="00825ADB"/>
    <w:rsid w:val="00826A9E"/>
    <w:rsid w:val="00826DA3"/>
    <w:rsid w:val="0082753A"/>
    <w:rsid w:val="0082772F"/>
    <w:rsid w:val="00827902"/>
    <w:rsid w:val="00827A91"/>
    <w:rsid w:val="00827B0D"/>
    <w:rsid w:val="00827D6C"/>
    <w:rsid w:val="008300F2"/>
    <w:rsid w:val="0083014B"/>
    <w:rsid w:val="00830288"/>
    <w:rsid w:val="0083065D"/>
    <w:rsid w:val="00830E20"/>
    <w:rsid w:val="008312CB"/>
    <w:rsid w:val="00831505"/>
    <w:rsid w:val="00831759"/>
    <w:rsid w:val="00831F3C"/>
    <w:rsid w:val="00831FE6"/>
    <w:rsid w:val="008326A0"/>
    <w:rsid w:val="00832AAB"/>
    <w:rsid w:val="00832B7B"/>
    <w:rsid w:val="0083370C"/>
    <w:rsid w:val="00833DCD"/>
    <w:rsid w:val="008341DA"/>
    <w:rsid w:val="008348BB"/>
    <w:rsid w:val="008348F3"/>
    <w:rsid w:val="00834F77"/>
    <w:rsid w:val="00836794"/>
    <w:rsid w:val="0083686A"/>
    <w:rsid w:val="00837A4E"/>
    <w:rsid w:val="00837AB2"/>
    <w:rsid w:val="00837DDA"/>
    <w:rsid w:val="00837E23"/>
    <w:rsid w:val="008401F8"/>
    <w:rsid w:val="0084054D"/>
    <w:rsid w:val="00840721"/>
    <w:rsid w:val="00840B0B"/>
    <w:rsid w:val="00840B0D"/>
    <w:rsid w:val="00840E82"/>
    <w:rsid w:val="00841480"/>
    <w:rsid w:val="008415A3"/>
    <w:rsid w:val="008418A2"/>
    <w:rsid w:val="00841BC3"/>
    <w:rsid w:val="00842558"/>
    <w:rsid w:val="008430CF"/>
    <w:rsid w:val="00843C8D"/>
    <w:rsid w:val="008441EE"/>
    <w:rsid w:val="0084441A"/>
    <w:rsid w:val="0084486C"/>
    <w:rsid w:val="00844920"/>
    <w:rsid w:val="008449D0"/>
    <w:rsid w:val="00844C3C"/>
    <w:rsid w:val="00846B7A"/>
    <w:rsid w:val="00850D35"/>
    <w:rsid w:val="00851095"/>
    <w:rsid w:val="00851248"/>
    <w:rsid w:val="008513C7"/>
    <w:rsid w:val="00851C8C"/>
    <w:rsid w:val="0085213D"/>
    <w:rsid w:val="00852258"/>
    <w:rsid w:val="00852593"/>
    <w:rsid w:val="00852F38"/>
    <w:rsid w:val="008534CD"/>
    <w:rsid w:val="00853EE7"/>
    <w:rsid w:val="00854669"/>
    <w:rsid w:val="0085468F"/>
    <w:rsid w:val="00854B84"/>
    <w:rsid w:val="00854DE3"/>
    <w:rsid w:val="008557A0"/>
    <w:rsid w:val="0085595C"/>
    <w:rsid w:val="00856849"/>
    <w:rsid w:val="008577DB"/>
    <w:rsid w:val="00857EC4"/>
    <w:rsid w:val="008610EC"/>
    <w:rsid w:val="0086126D"/>
    <w:rsid w:val="0086183B"/>
    <w:rsid w:val="00861979"/>
    <w:rsid w:val="008619DC"/>
    <w:rsid w:val="00861F69"/>
    <w:rsid w:val="008620F7"/>
    <w:rsid w:val="00862452"/>
    <w:rsid w:val="008627D6"/>
    <w:rsid w:val="00862BD7"/>
    <w:rsid w:val="00863058"/>
    <w:rsid w:val="0086376E"/>
    <w:rsid w:val="00863D88"/>
    <w:rsid w:val="00864022"/>
    <w:rsid w:val="008640EA"/>
    <w:rsid w:val="008642C6"/>
    <w:rsid w:val="008646A3"/>
    <w:rsid w:val="00864DF8"/>
    <w:rsid w:val="008651F2"/>
    <w:rsid w:val="00865D08"/>
    <w:rsid w:val="00866A07"/>
    <w:rsid w:val="00866AE5"/>
    <w:rsid w:val="00866B15"/>
    <w:rsid w:val="008674C1"/>
    <w:rsid w:val="00867BE8"/>
    <w:rsid w:val="00867C7F"/>
    <w:rsid w:val="008703E3"/>
    <w:rsid w:val="00870614"/>
    <w:rsid w:val="00870679"/>
    <w:rsid w:val="00871A63"/>
    <w:rsid w:val="00871CA9"/>
    <w:rsid w:val="00871F31"/>
    <w:rsid w:val="008724BE"/>
    <w:rsid w:val="00872641"/>
    <w:rsid w:val="00872CFB"/>
    <w:rsid w:val="008732CB"/>
    <w:rsid w:val="00873782"/>
    <w:rsid w:val="008737D2"/>
    <w:rsid w:val="00873E51"/>
    <w:rsid w:val="00874277"/>
    <w:rsid w:val="0087440E"/>
    <w:rsid w:val="00874C37"/>
    <w:rsid w:val="008754DD"/>
    <w:rsid w:val="008755ED"/>
    <w:rsid w:val="00876167"/>
    <w:rsid w:val="008762D2"/>
    <w:rsid w:val="008765B7"/>
    <w:rsid w:val="008770FD"/>
    <w:rsid w:val="0087712F"/>
    <w:rsid w:val="0087777B"/>
    <w:rsid w:val="0087792E"/>
    <w:rsid w:val="00877AD7"/>
    <w:rsid w:val="008811D1"/>
    <w:rsid w:val="008811DC"/>
    <w:rsid w:val="008816C1"/>
    <w:rsid w:val="0088199B"/>
    <w:rsid w:val="00881AA6"/>
    <w:rsid w:val="00881F7A"/>
    <w:rsid w:val="008830FF"/>
    <w:rsid w:val="00883134"/>
    <w:rsid w:val="00883342"/>
    <w:rsid w:val="0088336E"/>
    <w:rsid w:val="008838AB"/>
    <w:rsid w:val="0088395B"/>
    <w:rsid w:val="00883A45"/>
    <w:rsid w:val="008847A5"/>
    <w:rsid w:val="008849EE"/>
    <w:rsid w:val="008850A2"/>
    <w:rsid w:val="008854EB"/>
    <w:rsid w:val="0088561C"/>
    <w:rsid w:val="008857E1"/>
    <w:rsid w:val="00885EDE"/>
    <w:rsid w:val="00885EE7"/>
    <w:rsid w:val="0088639F"/>
    <w:rsid w:val="00886DBF"/>
    <w:rsid w:val="0089036E"/>
    <w:rsid w:val="0089177F"/>
    <w:rsid w:val="00891B58"/>
    <w:rsid w:val="00892175"/>
    <w:rsid w:val="00892BFB"/>
    <w:rsid w:val="00893305"/>
    <w:rsid w:val="00893D7C"/>
    <w:rsid w:val="008943A4"/>
    <w:rsid w:val="00894986"/>
    <w:rsid w:val="0089592C"/>
    <w:rsid w:val="00895D73"/>
    <w:rsid w:val="00896060"/>
    <w:rsid w:val="008965FA"/>
    <w:rsid w:val="008966C8"/>
    <w:rsid w:val="00896872"/>
    <w:rsid w:val="0089693A"/>
    <w:rsid w:val="00896BB7"/>
    <w:rsid w:val="00896E01"/>
    <w:rsid w:val="0089759F"/>
    <w:rsid w:val="008979AF"/>
    <w:rsid w:val="00897B8B"/>
    <w:rsid w:val="008A04B4"/>
    <w:rsid w:val="008A15A7"/>
    <w:rsid w:val="008A1E08"/>
    <w:rsid w:val="008A2900"/>
    <w:rsid w:val="008A2D95"/>
    <w:rsid w:val="008A2FB2"/>
    <w:rsid w:val="008A3098"/>
    <w:rsid w:val="008A3319"/>
    <w:rsid w:val="008A3498"/>
    <w:rsid w:val="008A3973"/>
    <w:rsid w:val="008A3D0F"/>
    <w:rsid w:val="008A455B"/>
    <w:rsid w:val="008A493F"/>
    <w:rsid w:val="008A49D3"/>
    <w:rsid w:val="008A4E94"/>
    <w:rsid w:val="008A5949"/>
    <w:rsid w:val="008A667A"/>
    <w:rsid w:val="008A7A5B"/>
    <w:rsid w:val="008B06C0"/>
    <w:rsid w:val="008B0B48"/>
    <w:rsid w:val="008B203B"/>
    <w:rsid w:val="008B259A"/>
    <w:rsid w:val="008B2660"/>
    <w:rsid w:val="008B2754"/>
    <w:rsid w:val="008B38D8"/>
    <w:rsid w:val="008B3D72"/>
    <w:rsid w:val="008B418F"/>
    <w:rsid w:val="008B42C3"/>
    <w:rsid w:val="008B47D4"/>
    <w:rsid w:val="008B51CE"/>
    <w:rsid w:val="008B5480"/>
    <w:rsid w:val="008B5E4D"/>
    <w:rsid w:val="008B5F19"/>
    <w:rsid w:val="008B6054"/>
    <w:rsid w:val="008B6260"/>
    <w:rsid w:val="008B66AA"/>
    <w:rsid w:val="008B71ED"/>
    <w:rsid w:val="008B74C7"/>
    <w:rsid w:val="008B7564"/>
    <w:rsid w:val="008B756C"/>
    <w:rsid w:val="008C0316"/>
    <w:rsid w:val="008C0983"/>
    <w:rsid w:val="008C10FA"/>
    <w:rsid w:val="008C1861"/>
    <w:rsid w:val="008C2009"/>
    <w:rsid w:val="008C2184"/>
    <w:rsid w:val="008C253E"/>
    <w:rsid w:val="008C2694"/>
    <w:rsid w:val="008C3142"/>
    <w:rsid w:val="008C3314"/>
    <w:rsid w:val="008C3366"/>
    <w:rsid w:val="008C39F5"/>
    <w:rsid w:val="008C3DCF"/>
    <w:rsid w:val="008C3F9F"/>
    <w:rsid w:val="008C4985"/>
    <w:rsid w:val="008C4B16"/>
    <w:rsid w:val="008C4CE3"/>
    <w:rsid w:val="008C5179"/>
    <w:rsid w:val="008C5443"/>
    <w:rsid w:val="008C58C5"/>
    <w:rsid w:val="008C6010"/>
    <w:rsid w:val="008C60C0"/>
    <w:rsid w:val="008C775B"/>
    <w:rsid w:val="008C7986"/>
    <w:rsid w:val="008C7CE6"/>
    <w:rsid w:val="008C7F42"/>
    <w:rsid w:val="008D0226"/>
    <w:rsid w:val="008D0281"/>
    <w:rsid w:val="008D1525"/>
    <w:rsid w:val="008D26C3"/>
    <w:rsid w:val="008D2824"/>
    <w:rsid w:val="008D2CEF"/>
    <w:rsid w:val="008D2EDE"/>
    <w:rsid w:val="008D3566"/>
    <w:rsid w:val="008D3C8B"/>
    <w:rsid w:val="008D48D7"/>
    <w:rsid w:val="008D4AD2"/>
    <w:rsid w:val="008D4BD5"/>
    <w:rsid w:val="008D5741"/>
    <w:rsid w:val="008D65C2"/>
    <w:rsid w:val="008D6733"/>
    <w:rsid w:val="008D6B5E"/>
    <w:rsid w:val="008D73FD"/>
    <w:rsid w:val="008D7E7F"/>
    <w:rsid w:val="008E0368"/>
    <w:rsid w:val="008E099A"/>
    <w:rsid w:val="008E0D79"/>
    <w:rsid w:val="008E12DC"/>
    <w:rsid w:val="008E15E0"/>
    <w:rsid w:val="008E225A"/>
    <w:rsid w:val="008E2399"/>
    <w:rsid w:val="008E26A6"/>
    <w:rsid w:val="008E2D07"/>
    <w:rsid w:val="008E382C"/>
    <w:rsid w:val="008E39AA"/>
    <w:rsid w:val="008E3D1F"/>
    <w:rsid w:val="008E48DE"/>
    <w:rsid w:val="008E4B0A"/>
    <w:rsid w:val="008E4C1A"/>
    <w:rsid w:val="008E5C29"/>
    <w:rsid w:val="008E5C48"/>
    <w:rsid w:val="008E5DBD"/>
    <w:rsid w:val="008E6D80"/>
    <w:rsid w:val="008E6D98"/>
    <w:rsid w:val="008E72AF"/>
    <w:rsid w:val="008E7E66"/>
    <w:rsid w:val="008F04BC"/>
    <w:rsid w:val="008F0B59"/>
    <w:rsid w:val="008F0B72"/>
    <w:rsid w:val="008F0E62"/>
    <w:rsid w:val="008F0FD4"/>
    <w:rsid w:val="008F2C18"/>
    <w:rsid w:val="008F327D"/>
    <w:rsid w:val="008F3586"/>
    <w:rsid w:val="008F394F"/>
    <w:rsid w:val="008F3B8D"/>
    <w:rsid w:val="008F4F35"/>
    <w:rsid w:val="008F50FA"/>
    <w:rsid w:val="008F518E"/>
    <w:rsid w:val="008F5599"/>
    <w:rsid w:val="008F5A68"/>
    <w:rsid w:val="008F5EDD"/>
    <w:rsid w:val="008F6080"/>
    <w:rsid w:val="008F7052"/>
    <w:rsid w:val="008F77CE"/>
    <w:rsid w:val="008F78B4"/>
    <w:rsid w:val="008F78DD"/>
    <w:rsid w:val="00901CEE"/>
    <w:rsid w:val="00901F77"/>
    <w:rsid w:val="00902258"/>
    <w:rsid w:val="009025B2"/>
    <w:rsid w:val="009027A8"/>
    <w:rsid w:val="00903248"/>
    <w:rsid w:val="00903599"/>
    <w:rsid w:val="00903682"/>
    <w:rsid w:val="00903F61"/>
    <w:rsid w:val="00903FF6"/>
    <w:rsid w:val="009047CD"/>
    <w:rsid w:val="00904A2B"/>
    <w:rsid w:val="00904EB0"/>
    <w:rsid w:val="00904EDC"/>
    <w:rsid w:val="00904EF5"/>
    <w:rsid w:val="0090545D"/>
    <w:rsid w:val="00905E7F"/>
    <w:rsid w:val="0090648E"/>
    <w:rsid w:val="00906907"/>
    <w:rsid w:val="0090695B"/>
    <w:rsid w:val="009071E2"/>
    <w:rsid w:val="009072E1"/>
    <w:rsid w:val="009075E8"/>
    <w:rsid w:val="009079C9"/>
    <w:rsid w:val="0091049C"/>
    <w:rsid w:val="0091154A"/>
    <w:rsid w:val="00911DF4"/>
    <w:rsid w:val="009134DC"/>
    <w:rsid w:val="009139B0"/>
    <w:rsid w:val="00913D65"/>
    <w:rsid w:val="009146D7"/>
    <w:rsid w:val="0091470E"/>
    <w:rsid w:val="00916979"/>
    <w:rsid w:val="00916AC7"/>
    <w:rsid w:val="00916FA4"/>
    <w:rsid w:val="00917006"/>
    <w:rsid w:val="00917156"/>
    <w:rsid w:val="00917704"/>
    <w:rsid w:val="00917E1B"/>
    <w:rsid w:val="00920392"/>
    <w:rsid w:val="00920681"/>
    <w:rsid w:val="0092073F"/>
    <w:rsid w:val="00920ABB"/>
    <w:rsid w:val="00920CD6"/>
    <w:rsid w:val="009212A7"/>
    <w:rsid w:val="009216D2"/>
    <w:rsid w:val="0092177D"/>
    <w:rsid w:val="00921783"/>
    <w:rsid w:val="009229FA"/>
    <w:rsid w:val="009236AE"/>
    <w:rsid w:val="0092390A"/>
    <w:rsid w:val="00923E63"/>
    <w:rsid w:val="009240D1"/>
    <w:rsid w:val="009244AB"/>
    <w:rsid w:val="00925249"/>
    <w:rsid w:val="00925E47"/>
    <w:rsid w:val="00925F2E"/>
    <w:rsid w:val="0092600C"/>
    <w:rsid w:val="009262D1"/>
    <w:rsid w:val="00926641"/>
    <w:rsid w:val="00926988"/>
    <w:rsid w:val="00927F22"/>
    <w:rsid w:val="0093005E"/>
    <w:rsid w:val="009300B9"/>
    <w:rsid w:val="009301DF"/>
    <w:rsid w:val="009303A6"/>
    <w:rsid w:val="00930B40"/>
    <w:rsid w:val="00930C9B"/>
    <w:rsid w:val="00930F3D"/>
    <w:rsid w:val="009313B9"/>
    <w:rsid w:val="009316CD"/>
    <w:rsid w:val="009317C9"/>
    <w:rsid w:val="009326F5"/>
    <w:rsid w:val="00934016"/>
    <w:rsid w:val="00934159"/>
    <w:rsid w:val="00934570"/>
    <w:rsid w:val="00934D81"/>
    <w:rsid w:val="009351F0"/>
    <w:rsid w:val="009356B7"/>
    <w:rsid w:val="00935741"/>
    <w:rsid w:val="00935FD0"/>
    <w:rsid w:val="00936851"/>
    <w:rsid w:val="00936AF3"/>
    <w:rsid w:val="00937027"/>
    <w:rsid w:val="00941277"/>
    <w:rsid w:val="009414CB"/>
    <w:rsid w:val="00941C39"/>
    <w:rsid w:val="009422A7"/>
    <w:rsid w:val="009422AF"/>
    <w:rsid w:val="00942A94"/>
    <w:rsid w:val="00942E3C"/>
    <w:rsid w:val="00943279"/>
    <w:rsid w:val="00943500"/>
    <w:rsid w:val="009446E7"/>
    <w:rsid w:val="00944BE9"/>
    <w:rsid w:val="0094564E"/>
    <w:rsid w:val="00946D33"/>
    <w:rsid w:val="00946E5F"/>
    <w:rsid w:val="00946F9A"/>
    <w:rsid w:val="009470FB"/>
    <w:rsid w:val="00947104"/>
    <w:rsid w:val="00950C15"/>
    <w:rsid w:val="00950C24"/>
    <w:rsid w:val="00951077"/>
    <w:rsid w:val="009511A6"/>
    <w:rsid w:val="009516FB"/>
    <w:rsid w:val="00952217"/>
    <w:rsid w:val="00952B5F"/>
    <w:rsid w:val="009532DE"/>
    <w:rsid w:val="00953E77"/>
    <w:rsid w:val="00954079"/>
    <w:rsid w:val="00954AAC"/>
    <w:rsid w:val="009554AE"/>
    <w:rsid w:val="009557BA"/>
    <w:rsid w:val="00955B7B"/>
    <w:rsid w:val="00956938"/>
    <w:rsid w:val="00956A38"/>
    <w:rsid w:val="00956BA4"/>
    <w:rsid w:val="00956E3B"/>
    <w:rsid w:val="00956FFF"/>
    <w:rsid w:val="00957AEA"/>
    <w:rsid w:val="0096122A"/>
    <w:rsid w:val="00961D57"/>
    <w:rsid w:val="009622AC"/>
    <w:rsid w:val="0096283A"/>
    <w:rsid w:val="00962F03"/>
    <w:rsid w:val="0096372D"/>
    <w:rsid w:val="00964276"/>
    <w:rsid w:val="00964665"/>
    <w:rsid w:val="00964D7B"/>
    <w:rsid w:val="00964E38"/>
    <w:rsid w:val="0096509B"/>
    <w:rsid w:val="00965254"/>
    <w:rsid w:val="00965567"/>
    <w:rsid w:val="00965F7A"/>
    <w:rsid w:val="00965FA0"/>
    <w:rsid w:val="0096736B"/>
    <w:rsid w:val="00967728"/>
    <w:rsid w:val="00967A8C"/>
    <w:rsid w:val="00970142"/>
    <w:rsid w:val="009707B0"/>
    <w:rsid w:val="0097096F"/>
    <w:rsid w:val="00970EBB"/>
    <w:rsid w:val="00971341"/>
    <w:rsid w:val="00971775"/>
    <w:rsid w:val="00971A76"/>
    <w:rsid w:val="00971B12"/>
    <w:rsid w:val="00972443"/>
    <w:rsid w:val="00972B84"/>
    <w:rsid w:val="009736F0"/>
    <w:rsid w:val="00974771"/>
    <w:rsid w:val="00974DDE"/>
    <w:rsid w:val="00975403"/>
    <w:rsid w:val="00975B8B"/>
    <w:rsid w:val="00977405"/>
    <w:rsid w:val="00977A8E"/>
    <w:rsid w:val="00977FFB"/>
    <w:rsid w:val="00980DB1"/>
    <w:rsid w:val="00981090"/>
    <w:rsid w:val="009812AA"/>
    <w:rsid w:val="0098174B"/>
    <w:rsid w:val="009818C1"/>
    <w:rsid w:val="00981C74"/>
    <w:rsid w:val="0098399D"/>
    <w:rsid w:val="009846F3"/>
    <w:rsid w:val="00984EC1"/>
    <w:rsid w:val="0098503D"/>
    <w:rsid w:val="00985918"/>
    <w:rsid w:val="0098593E"/>
    <w:rsid w:val="00985BBB"/>
    <w:rsid w:val="00985D5A"/>
    <w:rsid w:val="00986599"/>
    <w:rsid w:val="0098666D"/>
    <w:rsid w:val="00986816"/>
    <w:rsid w:val="00986D6D"/>
    <w:rsid w:val="009871A6"/>
    <w:rsid w:val="009909A3"/>
    <w:rsid w:val="00990C12"/>
    <w:rsid w:val="00990DF2"/>
    <w:rsid w:val="00991BC2"/>
    <w:rsid w:val="00991EC0"/>
    <w:rsid w:val="0099201D"/>
    <w:rsid w:val="009926E0"/>
    <w:rsid w:val="00992BA3"/>
    <w:rsid w:val="00993001"/>
    <w:rsid w:val="009937A3"/>
    <w:rsid w:val="009937B7"/>
    <w:rsid w:val="00993872"/>
    <w:rsid w:val="00993AA9"/>
    <w:rsid w:val="00993D7B"/>
    <w:rsid w:val="009944CF"/>
    <w:rsid w:val="009947FC"/>
    <w:rsid w:val="00994D8F"/>
    <w:rsid w:val="00994EEF"/>
    <w:rsid w:val="00996455"/>
    <w:rsid w:val="00996BD6"/>
    <w:rsid w:val="00996D09"/>
    <w:rsid w:val="009972C3"/>
    <w:rsid w:val="00997A72"/>
    <w:rsid w:val="00997E53"/>
    <w:rsid w:val="009A00AE"/>
    <w:rsid w:val="009A1026"/>
    <w:rsid w:val="009A1896"/>
    <w:rsid w:val="009A23BB"/>
    <w:rsid w:val="009A260C"/>
    <w:rsid w:val="009A32BF"/>
    <w:rsid w:val="009A3499"/>
    <w:rsid w:val="009A43AC"/>
    <w:rsid w:val="009A49C8"/>
    <w:rsid w:val="009A5397"/>
    <w:rsid w:val="009A6AA1"/>
    <w:rsid w:val="009A6CA6"/>
    <w:rsid w:val="009A769C"/>
    <w:rsid w:val="009A79D4"/>
    <w:rsid w:val="009B0035"/>
    <w:rsid w:val="009B05FF"/>
    <w:rsid w:val="009B1177"/>
    <w:rsid w:val="009B1E93"/>
    <w:rsid w:val="009B23F5"/>
    <w:rsid w:val="009B2B03"/>
    <w:rsid w:val="009B2ECB"/>
    <w:rsid w:val="009B30AC"/>
    <w:rsid w:val="009B32D4"/>
    <w:rsid w:val="009B35C1"/>
    <w:rsid w:val="009B3C64"/>
    <w:rsid w:val="009B3E56"/>
    <w:rsid w:val="009B4A79"/>
    <w:rsid w:val="009B54E6"/>
    <w:rsid w:val="009B62A7"/>
    <w:rsid w:val="009B69FE"/>
    <w:rsid w:val="009B6B0D"/>
    <w:rsid w:val="009B6E91"/>
    <w:rsid w:val="009B7371"/>
    <w:rsid w:val="009B7A55"/>
    <w:rsid w:val="009C0345"/>
    <w:rsid w:val="009C0358"/>
    <w:rsid w:val="009C076D"/>
    <w:rsid w:val="009C07AC"/>
    <w:rsid w:val="009C0C38"/>
    <w:rsid w:val="009C1010"/>
    <w:rsid w:val="009C12A7"/>
    <w:rsid w:val="009C1C57"/>
    <w:rsid w:val="009C1D18"/>
    <w:rsid w:val="009C2000"/>
    <w:rsid w:val="009C29D5"/>
    <w:rsid w:val="009C3256"/>
    <w:rsid w:val="009C370B"/>
    <w:rsid w:val="009C3BC1"/>
    <w:rsid w:val="009C3C41"/>
    <w:rsid w:val="009C3D4B"/>
    <w:rsid w:val="009C4217"/>
    <w:rsid w:val="009C4942"/>
    <w:rsid w:val="009C4CFA"/>
    <w:rsid w:val="009C51C3"/>
    <w:rsid w:val="009C534D"/>
    <w:rsid w:val="009C670E"/>
    <w:rsid w:val="009C6A8F"/>
    <w:rsid w:val="009C6EE1"/>
    <w:rsid w:val="009C7992"/>
    <w:rsid w:val="009D05D1"/>
    <w:rsid w:val="009D07B8"/>
    <w:rsid w:val="009D0B06"/>
    <w:rsid w:val="009D0C96"/>
    <w:rsid w:val="009D0FA8"/>
    <w:rsid w:val="009D1884"/>
    <w:rsid w:val="009D1947"/>
    <w:rsid w:val="009D1A77"/>
    <w:rsid w:val="009D1DFB"/>
    <w:rsid w:val="009D1FDD"/>
    <w:rsid w:val="009D296A"/>
    <w:rsid w:val="009D2AE0"/>
    <w:rsid w:val="009D2CBA"/>
    <w:rsid w:val="009D3044"/>
    <w:rsid w:val="009D3433"/>
    <w:rsid w:val="009D4194"/>
    <w:rsid w:val="009D4B6E"/>
    <w:rsid w:val="009D4BDA"/>
    <w:rsid w:val="009D60E0"/>
    <w:rsid w:val="009D656A"/>
    <w:rsid w:val="009D6F07"/>
    <w:rsid w:val="009D6FD5"/>
    <w:rsid w:val="009D76D0"/>
    <w:rsid w:val="009D77BF"/>
    <w:rsid w:val="009D7CEB"/>
    <w:rsid w:val="009D7E04"/>
    <w:rsid w:val="009D7F2A"/>
    <w:rsid w:val="009E0B90"/>
    <w:rsid w:val="009E1E21"/>
    <w:rsid w:val="009E1FE8"/>
    <w:rsid w:val="009E204A"/>
    <w:rsid w:val="009E24D6"/>
    <w:rsid w:val="009E29F5"/>
    <w:rsid w:val="009E2C15"/>
    <w:rsid w:val="009E2EDD"/>
    <w:rsid w:val="009E3A78"/>
    <w:rsid w:val="009E3D1F"/>
    <w:rsid w:val="009E435C"/>
    <w:rsid w:val="009E44F8"/>
    <w:rsid w:val="009E498C"/>
    <w:rsid w:val="009E4A33"/>
    <w:rsid w:val="009E50A4"/>
    <w:rsid w:val="009E54D2"/>
    <w:rsid w:val="009E561B"/>
    <w:rsid w:val="009E5669"/>
    <w:rsid w:val="009E6B13"/>
    <w:rsid w:val="009E75A2"/>
    <w:rsid w:val="009E78AB"/>
    <w:rsid w:val="009E7A61"/>
    <w:rsid w:val="009E7AE6"/>
    <w:rsid w:val="009F0316"/>
    <w:rsid w:val="009F07B2"/>
    <w:rsid w:val="009F098B"/>
    <w:rsid w:val="009F10C2"/>
    <w:rsid w:val="009F1638"/>
    <w:rsid w:val="009F19C7"/>
    <w:rsid w:val="009F1F92"/>
    <w:rsid w:val="009F1FF6"/>
    <w:rsid w:val="009F2895"/>
    <w:rsid w:val="009F2940"/>
    <w:rsid w:val="009F2F59"/>
    <w:rsid w:val="009F30D1"/>
    <w:rsid w:val="009F314B"/>
    <w:rsid w:val="009F376F"/>
    <w:rsid w:val="009F3DD3"/>
    <w:rsid w:val="009F3ED9"/>
    <w:rsid w:val="009F40BC"/>
    <w:rsid w:val="009F421D"/>
    <w:rsid w:val="009F48A5"/>
    <w:rsid w:val="009F4B0A"/>
    <w:rsid w:val="009F4D85"/>
    <w:rsid w:val="009F5740"/>
    <w:rsid w:val="009F5A48"/>
    <w:rsid w:val="009F5B3F"/>
    <w:rsid w:val="009F5D6A"/>
    <w:rsid w:val="009F6591"/>
    <w:rsid w:val="009F6A06"/>
    <w:rsid w:val="009F6A70"/>
    <w:rsid w:val="009F6C40"/>
    <w:rsid w:val="009F7AA2"/>
    <w:rsid w:val="00A0005A"/>
    <w:rsid w:val="00A001D1"/>
    <w:rsid w:val="00A003BC"/>
    <w:rsid w:val="00A00860"/>
    <w:rsid w:val="00A015EE"/>
    <w:rsid w:val="00A0179B"/>
    <w:rsid w:val="00A01D58"/>
    <w:rsid w:val="00A0212D"/>
    <w:rsid w:val="00A024A1"/>
    <w:rsid w:val="00A02573"/>
    <w:rsid w:val="00A028D9"/>
    <w:rsid w:val="00A02982"/>
    <w:rsid w:val="00A02A40"/>
    <w:rsid w:val="00A02E2E"/>
    <w:rsid w:val="00A032BB"/>
    <w:rsid w:val="00A0354D"/>
    <w:rsid w:val="00A03627"/>
    <w:rsid w:val="00A039F2"/>
    <w:rsid w:val="00A047A9"/>
    <w:rsid w:val="00A04AA8"/>
    <w:rsid w:val="00A05451"/>
    <w:rsid w:val="00A05B73"/>
    <w:rsid w:val="00A06CAA"/>
    <w:rsid w:val="00A07904"/>
    <w:rsid w:val="00A103B4"/>
    <w:rsid w:val="00A10E23"/>
    <w:rsid w:val="00A10F5D"/>
    <w:rsid w:val="00A117B4"/>
    <w:rsid w:val="00A117FC"/>
    <w:rsid w:val="00A119B6"/>
    <w:rsid w:val="00A11A20"/>
    <w:rsid w:val="00A11A33"/>
    <w:rsid w:val="00A1252E"/>
    <w:rsid w:val="00A13B5F"/>
    <w:rsid w:val="00A1418C"/>
    <w:rsid w:val="00A14A9A"/>
    <w:rsid w:val="00A151C4"/>
    <w:rsid w:val="00A15529"/>
    <w:rsid w:val="00A15B4B"/>
    <w:rsid w:val="00A15B8B"/>
    <w:rsid w:val="00A15D43"/>
    <w:rsid w:val="00A15FAD"/>
    <w:rsid w:val="00A16AD9"/>
    <w:rsid w:val="00A17CBF"/>
    <w:rsid w:val="00A205CD"/>
    <w:rsid w:val="00A21191"/>
    <w:rsid w:val="00A21B1F"/>
    <w:rsid w:val="00A22186"/>
    <w:rsid w:val="00A226AD"/>
    <w:rsid w:val="00A22F86"/>
    <w:rsid w:val="00A23559"/>
    <w:rsid w:val="00A23976"/>
    <w:rsid w:val="00A23D63"/>
    <w:rsid w:val="00A23E48"/>
    <w:rsid w:val="00A24AB3"/>
    <w:rsid w:val="00A24AC1"/>
    <w:rsid w:val="00A25F0B"/>
    <w:rsid w:val="00A26D1C"/>
    <w:rsid w:val="00A27751"/>
    <w:rsid w:val="00A30082"/>
    <w:rsid w:val="00A30651"/>
    <w:rsid w:val="00A30C39"/>
    <w:rsid w:val="00A30FFA"/>
    <w:rsid w:val="00A31120"/>
    <w:rsid w:val="00A319E9"/>
    <w:rsid w:val="00A31AD9"/>
    <w:rsid w:val="00A31D90"/>
    <w:rsid w:val="00A31E2B"/>
    <w:rsid w:val="00A31FE0"/>
    <w:rsid w:val="00A32A0F"/>
    <w:rsid w:val="00A334D9"/>
    <w:rsid w:val="00A3353E"/>
    <w:rsid w:val="00A33BCE"/>
    <w:rsid w:val="00A33D3D"/>
    <w:rsid w:val="00A34284"/>
    <w:rsid w:val="00A34AEE"/>
    <w:rsid w:val="00A36411"/>
    <w:rsid w:val="00A37221"/>
    <w:rsid w:val="00A37699"/>
    <w:rsid w:val="00A37877"/>
    <w:rsid w:val="00A378C7"/>
    <w:rsid w:val="00A37A02"/>
    <w:rsid w:val="00A37FA4"/>
    <w:rsid w:val="00A400F8"/>
    <w:rsid w:val="00A4062D"/>
    <w:rsid w:val="00A408CF"/>
    <w:rsid w:val="00A408E3"/>
    <w:rsid w:val="00A40DB9"/>
    <w:rsid w:val="00A41433"/>
    <w:rsid w:val="00A41C22"/>
    <w:rsid w:val="00A42013"/>
    <w:rsid w:val="00A4216D"/>
    <w:rsid w:val="00A4220B"/>
    <w:rsid w:val="00A42B6F"/>
    <w:rsid w:val="00A43BD1"/>
    <w:rsid w:val="00A43F39"/>
    <w:rsid w:val="00A443FA"/>
    <w:rsid w:val="00A449F0"/>
    <w:rsid w:val="00A456DE"/>
    <w:rsid w:val="00A45B51"/>
    <w:rsid w:val="00A45BE6"/>
    <w:rsid w:val="00A45C73"/>
    <w:rsid w:val="00A45E86"/>
    <w:rsid w:val="00A46255"/>
    <w:rsid w:val="00A46520"/>
    <w:rsid w:val="00A46945"/>
    <w:rsid w:val="00A46D70"/>
    <w:rsid w:val="00A479B1"/>
    <w:rsid w:val="00A507F6"/>
    <w:rsid w:val="00A51A92"/>
    <w:rsid w:val="00A522F2"/>
    <w:rsid w:val="00A52517"/>
    <w:rsid w:val="00A52992"/>
    <w:rsid w:val="00A54397"/>
    <w:rsid w:val="00A546A5"/>
    <w:rsid w:val="00A54A33"/>
    <w:rsid w:val="00A54D4D"/>
    <w:rsid w:val="00A54F2F"/>
    <w:rsid w:val="00A55F20"/>
    <w:rsid w:val="00A55F92"/>
    <w:rsid w:val="00A55FA9"/>
    <w:rsid w:val="00A56A8A"/>
    <w:rsid w:val="00A56B8E"/>
    <w:rsid w:val="00A56EE6"/>
    <w:rsid w:val="00A57280"/>
    <w:rsid w:val="00A57834"/>
    <w:rsid w:val="00A57B8E"/>
    <w:rsid w:val="00A60287"/>
    <w:rsid w:val="00A60371"/>
    <w:rsid w:val="00A60BB4"/>
    <w:rsid w:val="00A617BF"/>
    <w:rsid w:val="00A6183D"/>
    <w:rsid w:val="00A61FE3"/>
    <w:rsid w:val="00A62327"/>
    <w:rsid w:val="00A626A2"/>
    <w:rsid w:val="00A62A49"/>
    <w:rsid w:val="00A637EF"/>
    <w:rsid w:val="00A64939"/>
    <w:rsid w:val="00A64A90"/>
    <w:rsid w:val="00A64F10"/>
    <w:rsid w:val="00A65049"/>
    <w:rsid w:val="00A650DC"/>
    <w:rsid w:val="00A6552C"/>
    <w:rsid w:val="00A6570D"/>
    <w:rsid w:val="00A666C3"/>
    <w:rsid w:val="00A6676E"/>
    <w:rsid w:val="00A66A48"/>
    <w:rsid w:val="00A6703A"/>
    <w:rsid w:val="00A67147"/>
    <w:rsid w:val="00A67374"/>
    <w:rsid w:val="00A67439"/>
    <w:rsid w:val="00A675FA"/>
    <w:rsid w:val="00A67EC9"/>
    <w:rsid w:val="00A67EFD"/>
    <w:rsid w:val="00A70202"/>
    <w:rsid w:val="00A70AE1"/>
    <w:rsid w:val="00A71345"/>
    <w:rsid w:val="00A71697"/>
    <w:rsid w:val="00A7187C"/>
    <w:rsid w:val="00A718C2"/>
    <w:rsid w:val="00A71DF9"/>
    <w:rsid w:val="00A7212B"/>
    <w:rsid w:val="00A72169"/>
    <w:rsid w:val="00A7226C"/>
    <w:rsid w:val="00A72541"/>
    <w:rsid w:val="00A72671"/>
    <w:rsid w:val="00A73D97"/>
    <w:rsid w:val="00A746BB"/>
    <w:rsid w:val="00A74B88"/>
    <w:rsid w:val="00A74FC4"/>
    <w:rsid w:val="00A753F3"/>
    <w:rsid w:val="00A75451"/>
    <w:rsid w:val="00A758D3"/>
    <w:rsid w:val="00A76257"/>
    <w:rsid w:val="00A767A9"/>
    <w:rsid w:val="00A777F8"/>
    <w:rsid w:val="00A7792A"/>
    <w:rsid w:val="00A80787"/>
    <w:rsid w:val="00A814F6"/>
    <w:rsid w:val="00A8177D"/>
    <w:rsid w:val="00A820B6"/>
    <w:rsid w:val="00A831EA"/>
    <w:rsid w:val="00A8338A"/>
    <w:rsid w:val="00A8393B"/>
    <w:rsid w:val="00A84070"/>
    <w:rsid w:val="00A841EA"/>
    <w:rsid w:val="00A84248"/>
    <w:rsid w:val="00A84A3E"/>
    <w:rsid w:val="00A84AB0"/>
    <w:rsid w:val="00A84C4C"/>
    <w:rsid w:val="00A84EF7"/>
    <w:rsid w:val="00A85496"/>
    <w:rsid w:val="00A854E4"/>
    <w:rsid w:val="00A85B2C"/>
    <w:rsid w:val="00A86C62"/>
    <w:rsid w:val="00A86D60"/>
    <w:rsid w:val="00A8757E"/>
    <w:rsid w:val="00A87DC3"/>
    <w:rsid w:val="00A9089E"/>
    <w:rsid w:val="00A908F4"/>
    <w:rsid w:val="00A90BFC"/>
    <w:rsid w:val="00A9107C"/>
    <w:rsid w:val="00A91265"/>
    <w:rsid w:val="00A912FD"/>
    <w:rsid w:val="00A9167A"/>
    <w:rsid w:val="00A91D1B"/>
    <w:rsid w:val="00A927C7"/>
    <w:rsid w:val="00A92F44"/>
    <w:rsid w:val="00A932E6"/>
    <w:rsid w:val="00A93F45"/>
    <w:rsid w:val="00A944A4"/>
    <w:rsid w:val="00A94AA7"/>
    <w:rsid w:val="00A94E78"/>
    <w:rsid w:val="00A9552B"/>
    <w:rsid w:val="00A96159"/>
    <w:rsid w:val="00A961C8"/>
    <w:rsid w:val="00A9631D"/>
    <w:rsid w:val="00A97CD4"/>
    <w:rsid w:val="00AA0561"/>
    <w:rsid w:val="00AA0CBB"/>
    <w:rsid w:val="00AA0CEE"/>
    <w:rsid w:val="00AA180D"/>
    <w:rsid w:val="00AA198F"/>
    <w:rsid w:val="00AA1BC3"/>
    <w:rsid w:val="00AA2A4E"/>
    <w:rsid w:val="00AA2E0A"/>
    <w:rsid w:val="00AA2F9D"/>
    <w:rsid w:val="00AA3350"/>
    <w:rsid w:val="00AA35B9"/>
    <w:rsid w:val="00AA3EEA"/>
    <w:rsid w:val="00AA4A7E"/>
    <w:rsid w:val="00AA4A9D"/>
    <w:rsid w:val="00AA4D02"/>
    <w:rsid w:val="00AA5094"/>
    <w:rsid w:val="00AA6202"/>
    <w:rsid w:val="00AA65CF"/>
    <w:rsid w:val="00AA67C3"/>
    <w:rsid w:val="00AA67EB"/>
    <w:rsid w:val="00AA6A44"/>
    <w:rsid w:val="00AA6E67"/>
    <w:rsid w:val="00AA7638"/>
    <w:rsid w:val="00AA7F50"/>
    <w:rsid w:val="00AB12C8"/>
    <w:rsid w:val="00AB1BD8"/>
    <w:rsid w:val="00AB1C41"/>
    <w:rsid w:val="00AB1E2F"/>
    <w:rsid w:val="00AB1EB2"/>
    <w:rsid w:val="00AB371F"/>
    <w:rsid w:val="00AB3DA1"/>
    <w:rsid w:val="00AB67FB"/>
    <w:rsid w:val="00AB67FD"/>
    <w:rsid w:val="00AB6C98"/>
    <w:rsid w:val="00AB755A"/>
    <w:rsid w:val="00AC00EB"/>
    <w:rsid w:val="00AC0B5A"/>
    <w:rsid w:val="00AC0F1B"/>
    <w:rsid w:val="00AC1836"/>
    <w:rsid w:val="00AC211C"/>
    <w:rsid w:val="00AC2319"/>
    <w:rsid w:val="00AC2ADA"/>
    <w:rsid w:val="00AC2EFD"/>
    <w:rsid w:val="00AC377C"/>
    <w:rsid w:val="00AC3DA8"/>
    <w:rsid w:val="00AC4ED5"/>
    <w:rsid w:val="00AC520C"/>
    <w:rsid w:val="00AC5B4D"/>
    <w:rsid w:val="00AC726B"/>
    <w:rsid w:val="00AD037E"/>
    <w:rsid w:val="00AD0DFA"/>
    <w:rsid w:val="00AD15FB"/>
    <w:rsid w:val="00AD1CBD"/>
    <w:rsid w:val="00AD1D1E"/>
    <w:rsid w:val="00AD2551"/>
    <w:rsid w:val="00AD27DB"/>
    <w:rsid w:val="00AD27EF"/>
    <w:rsid w:val="00AD2A4C"/>
    <w:rsid w:val="00AD31B0"/>
    <w:rsid w:val="00AD31D8"/>
    <w:rsid w:val="00AD39C9"/>
    <w:rsid w:val="00AD39F7"/>
    <w:rsid w:val="00AD3D82"/>
    <w:rsid w:val="00AD4D88"/>
    <w:rsid w:val="00AD4D9F"/>
    <w:rsid w:val="00AD4DEC"/>
    <w:rsid w:val="00AD65ED"/>
    <w:rsid w:val="00AD673A"/>
    <w:rsid w:val="00AD6DD4"/>
    <w:rsid w:val="00AE0022"/>
    <w:rsid w:val="00AE01A9"/>
    <w:rsid w:val="00AE0749"/>
    <w:rsid w:val="00AE0A5E"/>
    <w:rsid w:val="00AE0D90"/>
    <w:rsid w:val="00AE2294"/>
    <w:rsid w:val="00AE255D"/>
    <w:rsid w:val="00AE321B"/>
    <w:rsid w:val="00AE36EB"/>
    <w:rsid w:val="00AE3D5D"/>
    <w:rsid w:val="00AE4563"/>
    <w:rsid w:val="00AE4621"/>
    <w:rsid w:val="00AE4C08"/>
    <w:rsid w:val="00AE5012"/>
    <w:rsid w:val="00AE67BB"/>
    <w:rsid w:val="00AE7CBA"/>
    <w:rsid w:val="00AE7FC4"/>
    <w:rsid w:val="00AF037F"/>
    <w:rsid w:val="00AF05A3"/>
    <w:rsid w:val="00AF1033"/>
    <w:rsid w:val="00AF1065"/>
    <w:rsid w:val="00AF1456"/>
    <w:rsid w:val="00AF1CA8"/>
    <w:rsid w:val="00AF35D3"/>
    <w:rsid w:val="00AF37FE"/>
    <w:rsid w:val="00AF3F95"/>
    <w:rsid w:val="00AF45AC"/>
    <w:rsid w:val="00AF4ED5"/>
    <w:rsid w:val="00AF5351"/>
    <w:rsid w:val="00AF556D"/>
    <w:rsid w:val="00AF58FE"/>
    <w:rsid w:val="00AF5EB3"/>
    <w:rsid w:val="00AF64D5"/>
    <w:rsid w:val="00AF71FE"/>
    <w:rsid w:val="00AF73C7"/>
    <w:rsid w:val="00AF7413"/>
    <w:rsid w:val="00AF7E3C"/>
    <w:rsid w:val="00AF7F1B"/>
    <w:rsid w:val="00B00466"/>
    <w:rsid w:val="00B01B37"/>
    <w:rsid w:val="00B02123"/>
    <w:rsid w:val="00B022E6"/>
    <w:rsid w:val="00B02501"/>
    <w:rsid w:val="00B02580"/>
    <w:rsid w:val="00B02DAA"/>
    <w:rsid w:val="00B04500"/>
    <w:rsid w:val="00B04899"/>
    <w:rsid w:val="00B04DF6"/>
    <w:rsid w:val="00B0709F"/>
    <w:rsid w:val="00B07162"/>
    <w:rsid w:val="00B0737E"/>
    <w:rsid w:val="00B07AA3"/>
    <w:rsid w:val="00B1011B"/>
    <w:rsid w:val="00B1041C"/>
    <w:rsid w:val="00B1070A"/>
    <w:rsid w:val="00B10B36"/>
    <w:rsid w:val="00B10B91"/>
    <w:rsid w:val="00B10ED6"/>
    <w:rsid w:val="00B111A6"/>
    <w:rsid w:val="00B11250"/>
    <w:rsid w:val="00B1232B"/>
    <w:rsid w:val="00B124FC"/>
    <w:rsid w:val="00B12DDA"/>
    <w:rsid w:val="00B13AD4"/>
    <w:rsid w:val="00B14A6C"/>
    <w:rsid w:val="00B14C11"/>
    <w:rsid w:val="00B14C50"/>
    <w:rsid w:val="00B1506F"/>
    <w:rsid w:val="00B1521D"/>
    <w:rsid w:val="00B1545E"/>
    <w:rsid w:val="00B15743"/>
    <w:rsid w:val="00B15B71"/>
    <w:rsid w:val="00B15EE4"/>
    <w:rsid w:val="00B16074"/>
    <w:rsid w:val="00B16576"/>
    <w:rsid w:val="00B165BA"/>
    <w:rsid w:val="00B172A4"/>
    <w:rsid w:val="00B1739E"/>
    <w:rsid w:val="00B17D3B"/>
    <w:rsid w:val="00B17EEB"/>
    <w:rsid w:val="00B17FDC"/>
    <w:rsid w:val="00B205A2"/>
    <w:rsid w:val="00B20B1A"/>
    <w:rsid w:val="00B217D5"/>
    <w:rsid w:val="00B21A52"/>
    <w:rsid w:val="00B21C91"/>
    <w:rsid w:val="00B21F8C"/>
    <w:rsid w:val="00B2227A"/>
    <w:rsid w:val="00B226B7"/>
    <w:rsid w:val="00B24988"/>
    <w:rsid w:val="00B24D7F"/>
    <w:rsid w:val="00B255D1"/>
    <w:rsid w:val="00B262D6"/>
    <w:rsid w:val="00B26732"/>
    <w:rsid w:val="00B2683E"/>
    <w:rsid w:val="00B26F1D"/>
    <w:rsid w:val="00B30247"/>
    <w:rsid w:val="00B30646"/>
    <w:rsid w:val="00B30FD2"/>
    <w:rsid w:val="00B31C3E"/>
    <w:rsid w:val="00B3201F"/>
    <w:rsid w:val="00B32808"/>
    <w:rsid w:val="00B32D27"/>
    <w:rsid w:val="00B332CE"/>
    <w:rsid w:val="00B33619"/>
    <w:rsid w:val="00B33BD9"/>
    <w:rsid w:val="00B33FD0"/>
    <w:rsid w:val="00B340E0"/>
    <w:rsid w:val="00B34473"/>
    <w:rsid w:val="00B3536E"/>
    <w:rsid w:val="00B359C3"/>
    <w:rsid w:val="00B35FB3"/>
    <w:rsid w:val="00B37130"/>
    <w:rsid w:val="00B37FC3"/>
    <w:rsid w:val="00B40170"/>
    <w:rsid w:val="00B41666"/>
    <w:rsid w:val="00B41C87"/>
    <w:rsid w:val="00B4418E"/>
    <w:rsid w:val="00B44393"/>
    <w:rsid w:val="00B444AF"/>
    <w:rsid w:val="00B45B9F"/>
    <w:rsid w:val="00B45C4D"/>
    <w:rsid w:val="00B45CD2"/>
    <w:rsid w:val="00B465FC"/>
    <w:rsid w:val="00B46691"/>
    <w:rsid w:val="00B46A13"/>
    <w:rsid w:val="00B472A8"/>
    <w:rsid w:val="00B474CB"/>
    <w:rsid w:val="00B47875"/>
    <w:rsid w:val="00B47883"/>
    <w:rsid w:val="00B47889"/>
    <w:rsid w:val="00B47DD2"/>
    <w:rsid w:val="00B50666"/>
    <w:rsid w:val="00B51318"/>
    <w:rsid w:val="00B517F9"/>
    <w:rsid w:val="00B51C75"/>
    <w:rsid w:val="00B524B2"/>
    <w:rsid w:val="00B52526"/>
    <w:rsid w:val="00B5280C"/>
    <w:rsid w:val="00B52CBF"/>
    <w:rsid w:val="00B52DD7"/>
    <w:rsid w:val="00B52F16"/>
    <w:rsid w:val="00B535A1"/>
    <w:rsid w:val="00B53740"/>
    <w:rsid w:val="00B538D1"/>
    <w:rsid w:val="00B54738"/>
    <w:rsid w:val="00B5548F"/>
    <w:rsid w:val="00B55491"/>
    <w:rsid w:val="00B5556B"/>
    <w:rsid w:val="00B564AD"/>
    <w:rsid w:val="00B56A25"/>
    <w:rsid w:val="00B572A0"/>
    <w:rsid w:val="00B57815"/>
    <w:rsid w:val="00B57B25"/>
    <w:rsid w:val="00B614BE"/>
    <w:rsid w:val="00B62E41"/>
    <w:rsid w:val="00B62E51"/>
    <w:rsid w:val="00B63CA4"/>
    <w:rsid w:val="00B64D23"/>
    <w:rsid w:val="00B64FC6"/>
    <w:rsid w:val="00B654C5"/>
    <w:rsid w:val="00B65AF1"/>
    <w:rsid w:val="00B66175"/>
    <w:rsid w:val="00B66568"/>
    <w:rsid w:val="00B66B63"/>
    <w:rsid w:val="00B674F4"/>
    <w:rsid w:val="00B676DE"/>
    <w:rsid w:val="00B67B0D"/>
    <w:rsid w:val="00B67F04"/>
    <w:rsid w:val="00B70D6C"/>
    <w:rsid w:val="00B70F93"/>
    <w:rsid w:val="00B71463"/>
    <w:rsid w:val="00B7157C"/>
    <w:rsid w:val="00B71698"/>
    <w:rsid w:val="00B71730"/>
    <w:rsid w:val="00B71B01"/>
    <w:rsid w:val="00B71F93"/>
    <w:rsid w:val="00B72586"/>
    <w:rsid w:val="00B729B6"/>
    <w:rsid w:val="00B73230"/>
    <w:rsid w:val="00B732E8"/>
    <w:rsid w:val="00B73AAB"/>
    <w:rsid w:val="00B73B24"/>
    <w:rsid w:val="00B74F27"/>
    <w:rsid w:val="00B751E1"/>
    <w:rsid w:val="00B75902"/>
    <w:rsid w:val="00B7655D"/>
    <w:rsid w:val="00B76B37"/>
    <w:rsid w:val="00B77542"/>
    <w:rsid w:val="00B77CCB"/>
    <w:rsid w:val="00B77DE0"/>
    <w:rsid w:val="00B800EE"/>
    <w:rsid w:val="00B805D1"/>
    <w:rsid w:val="00B8072B"/>
    <w:rsid w:val="00B80F6B"/>
    <w:rsid w:val="00B8119C"/>
    <w:rsid w:val="00B8125F"/>
    <w:rsid w:val="00B814DB"/>
    <w:rsid w:val="00B8212E"/>
    <w:rsid w:val="00B8267F"/>
    <w:rsid w:val="00B834B8"/>
    <w:rsid w:val="00B83B23"/>
    <w:rsid w:val="00B83CE0"/>
    <w:rsid w:val="00B83DF0"/>
    <w:rsid w:val="00B83EEB"/>
    <w:rsid w:val="00B84234"/>
    <w:rsid w:val="00B84309"/>
    <w:rsid w:val="00B8497F"/>
    <w:rsid w:val="00B84AA8"/>
    <w:rsid w:val="00B84DA7"/>
    <w:rsid w:val="00B85191"/>
    <w:rsid w:val="00B85BEE"/>
    <w:rsid w:val="00B8644F"/>
    <w:rsid w:val="00B8670D"/>
    <w:rsid w:val="00B87033"/>
    <w:rsid w:val="00B8738D"/>
    <w:rsid w:val="00B87725"/>
    <w:rsid w:val="00B87C8E"/>
    <w:rsid w:val="00B90161"/>
    <w:rsid w:val="00B90D91"/>
    <w:rsid w:val="00B91200"/>
    <w:rsid w:val="00B913BE"/>
    <w:rsid w:val="00B9210E"/>
    <w:rsid w:val="00B921A6"/>
    <w:rsid w:val="00B923B3"/>
    <w:rsid w:val="00B92E5B"/>
    <w:rsid w:val="00B93821"/>
    <w:rsid w:val="00B93E49"/>
    <w:rsid w:val="00B93F6A"/>
    <w:rsid w:val="00B94A69"/>
    <w:rsid w:val="00B950E8"/>
    <w:rsid w:val="00B954B5"/>
    <w:rsid w:val="00B959AA"/>
    <w:rsid w:val="00B967D6"/>
    <w:rsid w:val="00B96919"/>
    <w:rsid w:val="00B96AB2"/>
    <w:rsid w:val="00B96E00"/>
    <w:rsid w:val="00B973CD"/>
    <w:rsid w:val="00BA058C"/>
    <w:rsid w:val="00BA06AC"/>
    <w:rsid w:val="00BA1579"/>
    <w:rsid w:val="00BA17C4"/>
    <w:rsid w:val="00BA1B5D"/>
    <w:rsid w:val="00BA1D1E"/>
    <w:rsid w:val="00BA232E"/>
    <w:rsid w:val="00BA27FC"/>
    <w:rsid w:val="00BA2A2E"/>
    <w:rsid w:val="00BA2FAD"/>
    <w:rsid w:val="00BA315F"/>
    <w:rsid w:val="00BA33F1"/>
    <w:rsid w:val="00BA3819"/>
    <w:rsid w:val="00BA3F11"/>
    <w:rsid w:val="00BA4353"/>
    <w:rsid w:val="00BA446C"/>
    <w:rsid w:val="00BA4916"/>
    <w:rsid w:val="00BA4A2F"/>
    <w:rsid w:val="00BA545C"/>
    <w:rsid w:val="00BA5482"/>
    <w:rsid w:val="00BA5B1D"/>
    <w:rsid w:val="00BA5F7E"/>
    <w:rsid w:val="00BA6FD5"/>
    <w:rsid w:val="00BA759B"/>
    <w:rsid w:val="00BA7EDF"/>
    <w:rsid w:val="00BB0B0C"/>
    <w:rsid w:val="00BB0E2E"/>
    <w:rsid w:val="00BB1266"/>
    <w:rsid w:val="00BB1A30"/>
    <w:rsid w:val="00BB1ABD"/>
    <w:rsid w:val="00BB1BEC"/>
    <w:rsid w:val="00BB1C71"/>
    <w:rsid w:val="00BB2D95"/>
    <w:rsid w:val="00BB2EB3"/>
    <w:rsid w:val="00BB3275"/>
    <w:rsid w:val="00BB33F3"/>
    <w:rsid w:val="00BB44ED"/>
    <w:rsid w:val="00BB47B7"/>
    <w:rsid w:val="00BB4D5C"/>
    <w:rsid w:val="00BB51DE"/>
    <w:rsid w:val="00BB5A75"/>
    <w:rsid w:val="00BB5B1F"/>
    <w:rsid w:val="00BB63FA"/>
    <w:rsid w:val="00BB64C3"/>
    <w:rsid w:val="00BB7231"/>
    <w:rsid w:val="00BB7272"/>
    <w:rsid w:val="00BB7C5C"/>
    <w:rsid w:val="00BC008B"/>
    <w:rsid w:val="00BC037C"/>
    <w:rsid w:val="00BC0FEA"/>
    <w:rsid w:val="00BC104E"/>
    <w:rsid w:val="00BC26FA"/>
    <w:rsid w:val="00BC2EC4"/>
    <w:rsid w:val="00BC368B"/>
    <w:rsid w:val="00BC3B08"/>
    <w:rsid w:val="00BC3D68"/>
    <w:rsid w:val="00BC4030"/>
    <w:rsid w:val="00BC42C6"/>
    <w:rsid w:val="00BC494D"/>
    <w:rsid w:val="00BC4B84"/>
    <w:rsid w:val="00BC4E95"/>
    <w:rsid w:val="00BC4F89"/>
    <w:rsid w:val="00BC5416"/>
    <w:rsid w:val="00BC543C"/>
    <w:rsid w:val="00BC57F3"/>
    <w:rsid w:val="00BC5CD0"/>
    <w:rsid w:val="00BC63AE"/>
    <w:rsid w:val="00BC6CF8"/>
    <w:rsid w:val="00BC71ED"/>
    <w:rsid w:val="00BC75F4"/>
    <w:rsid w:val="00BC7748"/>
    <w:rsid w:val="00BC7D78"/>
    <w:rsid w:val="00BC7F73"/>
    <w:rsid w:val="00BC8301"/>
    <w:rsid w:val="00BD052B"/>
    <w:rsid w:val="00BD0B60"/>
    <w:rsid w:val="00BD0D23"/>
    <w:rsid w:val="00BD188A"/>
    <w:rsid w:val="00BD22AA"/>
    <w:rsid w:val="00BD231A"/>
    <w:rsid w:val="00BD252F"/>
    <w:rsid w:val="00BD3D34"/>
    <w:rsid w:val="00BD48DB"/>
    <w:rsid w:val="00BD4F96"/>
    <w:rsid w:val="00BD5CC5"/>
    <w:rsid w:val="00BD6A34"/>
    <w:rsid w:val="00BD6A60"/>
    <w:rsid w:val="00BD6D5B"/>
    <w:rsid w:val="00BD7C7A"/>
    <w:rsid w:val="00BE04E7"/>
    <w:rsid w:val="00BE09C7"/>
    <w:rsid w:val="00BE0ABA"/>
    <w:rsid w:val="00BE0CC1"/>
    <w:rsid w:val="00BE0CD3"/>
    <w:rsid w:val="00BE0D08"/>
    <w:rsid w:val="00BE0DB2"/>
    <w:rsid w:val="00BE1E7B"/>
    <w:rsid w:val="00BE21B4"/>
    <w:rsid w:val="00BE2494"/>
    <w:rsid w:val="00BE305E"/>
    <w:rsid w:val="00BE3779"/>
    <w:rsid w:val="00BE41B3"/>
    <w:rsid w:val="00BE4427"/>
    <w:rsid w:val="00BE672C"/>
    <w:rsid w:val="00BE6ABF"/>
    <w:rsid w:val="00BE6D49"/>
    <w:rsid w:val="00BE6E80"/>
    <w:rsid w:val="00BE6FAD"/>
    <w:rsid w:val="00BE73D2"/>
    <w:rsid w:val="00BE79F0"/>
    <w:rsid w:val="00BE7AC3"/>
    <w:rsid w:val="00BE7B9A"/>
    <w:rsid w:val="00BF0B4C"/>
    <w:rsid w:val="00BF0FB5"/>
    <w:rsid w:val="00BF115A"/>
    <w:rsid w:val="00BF1567"/>
    <w:rsid w:val="00BF1830"/>
    <w:rsid w:val="00BF1A72"/>
    <w:rsid w:val="00BF1ED8"/>
    <w:rsid w:val="00BF1F0B"/>
    <w:rsid w:val="00BF222D"/>
    <w:rsid w:val="00BF238C"/>
    <w:rsid w:val="00BF2551"/>
    <w:rsid w:val="00BF27E3"/>
    <w:rsid w:val="00BF2E45"/>
    <w:rsid w:val="00BF3B7B"/>
    <w:rsid w:val="00BF3FB4"/>
    <w:rsid w:val="00BF3FC4"/>
    <w:rsid w:val="00BF40A4"/>
    <w:rsid w:val="00BF49BD"/>
    <w:rsid w:val="00BF5904"/>
    <w:rsid w:val="00BF5A55"/>
    <w:rsid w:val="00BF5C7A"/>
    <w:rsid w:val="00BF628D"/>
    <w:rsid w:val="00BF6C70"/>
    <w:rsid w:val="00BF711A"/>
    <w:rsid w:val="00BF72C9"/>
    <w:rsid w:val="00BF7EB5"/>
    <w:rsid w:val="00C004A1"/>
    <w:rsid w:val="00C0063B"/>
    <w:rsid w:val="00C00867"/>
    <w:rsid w:val="00C00AD9"/>
    <w:rsid w:val="00C00E94"/>
    <w:rsid w:val="00C017A9"/>
    <w:rsid w:val="00C01D59"/>
    <w:rsid w:val="00C020C6"/>
    <w:rsid w:val="00C0244D"/>
    <w:rsid w:val="00C024CE"/>
    <w:rsid w:val="00C029FD"/>
    <w:rsid w:val="00C02E3E"/>
    <w:rsid w:val="00C04120"/>
    <w:rsid w:val="00C043F5"/>
    <w:rsid w:val="00C047D9"/>
    <w:rsid w:val="00C04D1B"/>
    <w:rsid w:val="00C04DB6"/>
    <w:rsid w:val="00C05401"/>
    <w:rsid w:val="00C058FB"/>
    <w:rsid w:val="00C05D4C"/>
    <w:rsid w:val="00C06C82"/>
    <w:rsid w:val="00C078FA"/>
    <w:rsid w:val="00C07942"/>
    <w:rsid w:val="00C100C8"/>
    <w:rsid w:val="00C1040D"/>
    <w:rsid w:val="00C10416"/>
    <w:rsid w:val="00C11591"/>
    <w:rsid w:val="00C116E6"/>
    <w:rsid w:val="00C11801"/>
    <w:rsid w:val="00C11A29"/>
    <w:rsid w:val="00C11B47"/>
    <w:rsid w:val="00C12187"/>
    <w:rsid w:val="00C12AA3"/>
    <w:rsid w:val="00C12C48"/>
    <w:rsid w:val="00C130B4"/>
    <w:rsid w:val="00C13174"/>
    <w:rsid w:val="00C132DA"/>
    <w:rsid w:val="00C1337F"/>
    <w:rsid w:val="00C13D0A"/>
    <w:rsid w:val="00C13F91"/>
    <w:rsid w:val="00C13FCF"/>
    <w:rsid w:val="00C14C2B"/>
    <w:rsid w:val="00C15720"/>
    <w:rsid w:val="00C15FA6"/>
    <w:rsid w:val="00C16136"/>
    <w:rsid w:val="00C16B3B"/>
    <w:rsid w:val="00C16C85"/>
    <w:rsid w:val="00C171A2"/>
    <w:rsid w:val="00C17678"/>
    <w:rsid w:val="00C1781D"/>
    <w:rsid w:val="00C17977"/>
    <w:rsid w:val="00C17E40"/>
    <w:rsid w:val="00C20B60"/>
    <w:rsid w:val="00C20E45"/>
    <w:rsid w:val="00C21D8C"/>
    <w:rsid w:val="00C2288C"/>
    <w:rsid w:val="00C23581"/>
    <w:rsid w:val="00C236E2"/>
    <w:rsid w:val="00C23A16"/>
    <w:rsid w:val="00C246F3"/>
    <w:rsid w:val="00C249B4"/>
    <w:rsid w:val="00C24C09"/>
    <w:rsid w:val="00C24DEC"/>
    <w:rsid w:val="00C252AC"/>
    <w:rsid w:val="00C2556A"/>
    <w:rsid w:val="00C26203"/>
    <w:rsid w:val="00C26395"/>
    <w:rsid w:val="00C26C70"/>
    <w:rsid w:val="00C26F25"/>
    <w:rsid w:val="00C2710E"/>
    <w:rsid w:val="00C27A87"/>
    <w:rsid w:val="00C27AF2"/>
    <w:rsid w:val="00C27B58"/>
    <w:rsid w:val="00C303AE"/>
    <w:rsid w:val="00C30807"/>
    <w:rsid w:val="00C30FBD"/>
    <w:rsid w:val="00C310A3"/>
    <w:rsid w:val="00C31A76"/>
    <w:rsid w:val="00C31C44"/>
    <w:rsid w:val="00C32C82"/>
    <w:rsid w:val="00C32D12"/>
    <w:rsid w:val="00C32D13"/>
    <w:rsid w:val="00C32D9B"/>
    <w:rsid w:val="00C33077"/>
    <w:rsid w:val="00C330FF"/>
    <w:rsid w:val="00C33AEE"/>
    <w:rsid w:val="00C3429A"/>
    <w:rsid w:val="00C34D1D"/>
    <w:rsid w:val="00C35030"/>
    <w:rsid w:val="00C35369"/>
    <w:rsid w:val="00C35392"/>
    <w:rsid w:val="00C356AD"/>
    <w:rsid w:val="00C3586D"/>
    <w:rsid w:val="00C35D34"/>
    <w:rsid w:val="00C35DD8"/>
    <w:rsid w:val="00C3684D"/>
    <w:rsid w:val="00C36E74"/>
    <w:rsid w:val="00C36FB4"/>
    <w:rsid w:val="00C37085"/>
    <w:rsid w:val="00C37FA6"/>
    <w:rsid w:val="00C40559"/>
    <w:rsid w:val="00C405D5"/>
    <w:rsid w:val="00C409E4"/>
    <w:rsid w:val="00C40A23"/>
    <w:rsid w:val="00C40ED9"/>
    <w:rsid w:val="00C414CA"/>
    <w:rsid w:val="00C416CE"/>
    <w:rsid w:val="00C41A53"/>
    <w:rsid w:val="00C41E38"/>
    <w:rsid w:val="00C423F8"/>
    <w:rsid w:val="00C43356"/>
    <w:rsid w:val="00C43AF5"/>
    <w:rsid w:val="00C440D4"/>
    <w:rsid w:val="00C444F8"/>
    <w:rsid w:val="00C45B70"/>
    <w:rsid w:val="00C45D08"/>
    <w:rsid w:val="00C461A0"/>
    <w:rsid w:val="00C46AE6"/>
    <w:rsid w:val="00C46B55"/>
    <w:rsid w:val="00C472B2"/>
    <w:rsid w:val="00C47BD4"/>
    <w:rsid w:val="00C47F90"/>
    <w:rsid w:val="00C501CC"/>
    <w:rsid w:val="00C503B8"/>
    <w:rsid w:val="00C50C06"/>
    <w:rsid w:val="00C510F5"/>
    <w:rsid w:val="00C5112F"/>
    <w:rsid w:val="00C51605"/>
    <w:rsid w:val="00C51664"/>
    <w:rsid w:val="00C51FC5"/>
    <w:rsid w:val="00C525EB"/>
    <w:rsid w:val="00C527F3"/>
    <w:rsid w:val="00C5280D"/>
    <w:rsid w:val="00C52897"/>
    <w:rsid w:val="00C52D0F"/>
    <w:rsid w:val="00C53DF6"/>
    <w:rsid w:val="00C5523F"/>
    <w:rsid w:val="00C55887"/>
    <w:rsid w:val="00C55B8D"/>
    <w:rsid w:val="00C56496"/>
    <w:rsid w:val="00C56F4A"/>
    <w:rsid w:val="00C571DC"/>
    <w:rsid w:val="00C57ACC"/>
    <w:rsid w:val="00C57BF8"/>
    <w:rsid w:val="00C600AA"/>
    <w:rsid w:val="00C60865"/>
    <w:rsid w:val="00C614B1"/>
    <w:rsid w:val="00C617AB"/>
    <w:rsid w:val="00C61F76"/>
    <w:rsid w:val="00C61F79"/>
    <w:rsid w:val="00C62327"/>
    <w:rsid w:val="00C625A0"/>
    <w:rsid w:val="00C62D64"/>
    <w:rsid w:val="00C63350"/>
    <w:rsid w:val="00C63893"/>
    <w:rsid w:val="00C639A0"/>
    <w:rsid w:val="00C63A49"/>
    <w:rsid w:val="00C63AC8"/>
    <w:rsid w:val="00C63DD6"/>
    <w:rsid w:val="00C63DF3"/>
    <w:rsid w:val="00C65081"/>
    <w:rsid w:val="00C66044"/>
    <w:rsid w:val="00C6621C"/>
    <w:rsid w:val="00C66401"/>
    <w:rsid w:val="00C66A66"/>
    <w:rsid w:val="00C67156"/>
    <w:rsid w:val="00C67DAB"/>
    <w:rsid w:val="00C7042A"/>
    <w:rsid w:val="00C70E01"/>
    <w:rsid w:val="00C70F7F"/>
    <w:rsid w:val="00C71401"/>
    <w:rsid w:val="00C71493"/>
    <w:rsid w:val="00C71FEE"/>
    <w:rsid w:val="00C7211E"/>
    <w:rsid w:val="00C72915"/>
    <w:rsid w:val="00C72AE4"/>
    <w:rsid w:val="00C73218"/>
    <w:rsid w:val="00C73639"/>
    <w:rsid w:val="00C738D4"/>
    <w:rsid w:val="00C73B6B"/>
    <w:rsid w:val="00C73BED"/>
    <w:rsid w:val="00C745D6"/>
    <w:rsid w:val="00C75245"/>
    <w:rsid w:val="00C753A4"/>
    <w:rsid w:val="00C75507"/>
    <w:rsid w:val="00C75B85"/>
    <w:rsid w:val="00C77038"/>
    <w:rsid w:val="00C778F0"/>
    <w:rsid w:val="00C77CB4"/>
    <w:rsid w:val="00C800E7"/>
    <w:rsid w:val="00C8023D"/>
    <w:rsid w:val="00C80541"/>
    <w:rsid w:val="00C8112C"/>
    <w:rsid w:val="00C81244"/>
    <w:rsid w:val="00C8145E"/>
    <w:rsid w:val="00C815F9"/>
    <w:rsid w:val="00C819A1"/>
    <w:rsid w:val="00C81B1A"/>
    <w:rsid w:val="00C81D70"/>
    <w:rsid w:val="00C81FAE"/>
    <w:rsid w:val="00C8375E"/>
    <w:rsid w:val="00C837C9"/>
    <w:rsid w:val="00C8383E"/>
    <w:rsid w:val="00C8390D"/>
    <w:rsid w:val="00C84487"/>
    <w:rsid w:val="00C852DF"/>
    <w:rsid w:val="00C855B0"/>
    <w:rsid w:val="00C85926"/>
    <w:rsid w:val="00C85B96"/>
    <w:rsid w:val="00C85E33"/>
    <w:rsid w:val="00C86381"/>
    <w:rsid w:val="00C86666"/>
    <w:rsid w:val="00C86994"/>
    <w:rsid w:val="00C87284"/>
    <w:rsid w:val="00C876C1"/>
    <w:rsid w:val="00C87C83"/>
    <w:rsid w:val="00C914AB"/>
    <w:rsid w:val="00C916AA"/>
    <w:rsid w:val="00C91797"/>
    <w:rsid w:val="00C9183C"/>
    <w:rsid w:val="00C91A44"/>
    <w:rsid w:val="00C923E6"/>
    <w:rsid w:val="00C92AA2"/>
    <w:rsid w:val="00C9303F"/>
    <w:rsid w:val="00C93196"/>
    <w:rsid w:val="00C9322B"/>
    <w:rsid w:val="00C935B5"/>
    <w:rsid w:val="00C93803"/>
    <w:rsid w:val="00C93871"/>
    <w:rsid w:val="00C93A08"/>
    <w:rsid w:val="00C93C82"/>
    <w:rsid w:val="00C94630"/>
    <w:rsid w:val="00C946F2"/>
    <w:rsid w:val="00C94BC1"/>
    <w:rsid w:val="00C95417"/>
    <w:rsid w:val="00C954CC"/>
    <w:rsid w:val="00C958C5"/>
    <w:rsid w:val="00C958E9"/>
    <w:rsid w:val="00C95AD5"/>
    <w:rsid w:val="00C962F6"/>
    <w:rsid w:val="00C96ED9"/>
    <w:rsid w:val="00C97276"/>
    <w:rsid w:val="00C97489"/>
    <w:rsid w:val="00C97B23"/>
    <w:rsid w:val="00CA27F5"/>
    <w:rsid w:val="00CA2914"/>
    <w:rsid w:val="00CA340B"/>
    <w:rsid w:val="00CA3D41"/>
    <w:rsid w:val="00CA418F"/>
    <w:rsid w:val="00CA44B7"/>
    <w:rsid w:val="00CA46F8"/>
    <w:rsid w:val="00CA487B"/>
    <w:rsid w:val="00CA4F72"/>
    <w:rsid w:val="00CA56D8"/>
    <w:rsid w:val="00CA577F"/>
    <w:rsid w:val="00CA5EC6"/>
    <w:rsid w:val="00CA66FE"/>
    <w:rsid w:val="00CA6F74"/>
    <w:rsid w:val="00CA7BCC"/>
    <w:rsid w:val="00CA7BEF"/>
    <w:rsid w:val="00CB176C"/>
    <w:rsid w:val="00CB17D6"/>
    <w:rsid w:val="00CB1954"/>
    <w:rsid w:val="00CB1CA6"/>
    <w:rsid w:val="00CB1D71"/>
    <w:rsid w:val="00CB1E72"/>
    <w:rsid w:val="00CB2C3B"/>
    <w:rsid w:val="00CB2C73"/>
    <w:rsid w:val="00CB310D"/>
    <w:rsid w:val="00CB3AB0"/>
    <w:rsid w:val="00CB3B5C"/>
    <w:rsid w:val="00CB3FF6"/>
    <w:rsid w:val="00CB4304"/>
    <w:rsid w:val="00CB441A"/>
    <w:rsid w:val="00CB531C"/>
    <w:rsid w:val="00CB60C7"/>
    <w:rsid w:val="00CB6D37"/>
    <w:rsid w:val="00CB6DDD"/>
    <w:rsid w:val="00CB7177"/>
    <w:rsid w:val="00CB7DFC"/>
    <w:rsid w:val="00CC02A7"/>
    <w:rsid w:val="00CC069C"/>
    <w:rsid w:val="00CC06E4"/>
    <w:rsid w:val="00CC0816"/>
    <w:rsid w:val="00CC15C9"/>
    <w:rsid w:val="00CC21E8"/>
    <w:rsid w:val="00CC21FF"/>
    <w:rsid w:val="00CC2222"/>
    <w:rsid w:val="00CC2CD3"/>
    <w:rsid w:val="00CC2CEE"/>
    <w:rsid w:val="00CC2E9D"/>
    <w:rsid w:val="00CC34E2"/>
    <w:rsid w:val="00CC366F"/>
    <w:rsid w:val="00CC4580"/>
    <w:rsid w:val="00CC4A04"/>
    <w:rsid w:val="00CC4D9E"/>
    <w:rsid w:val="00CC6F17"/>
    <w:rsid w:val="00CC71BC"/>
    <w:rsid w:val="00CC7859"/>
    <w:rsid w:val="00CC7921"/>
    <w:rsid w:val="00CC7BAB"/>
    <w:rsid w:val="00CD00CA"/>
    <w:rsid w:val="00CD097C"/>
    <w:rsid w:val="00CD0B0B"/>
    <w:rsid w:val="00CD0DFC"/>
    <w:rsid w:val="00CD1144"/>
    <w:rsid w:val="00CD1620"/>
    <w:rsid w:val="00CD19A8"/>
    <w:rsid w:val="00CD1DAF"/>
    <w:rsid w:val="00CD1FC8"/>
    <w:rsid w:val="00CD3F25"/>
    <w:rsid w:val="00CD4513"/>
    <w:rsid w:val="00CD5664"/>
    <w:rsid w:val="00CD5783"/>
    <w:rsid w:val="00CD58CA"/>
    <w:rsid w:val="00CD5902"/>
    <w:rsid w:val="00CD5E14"/>
    <w:rsid w:val="00CD6CEF"/>
    <w:rsid w:val="00CD73E9"/>
    <w:rsid w:val="00CE052B"/>
    <w:rsid w:val="00CE0A28"/>
    <w:rsid w:val="00CE2798"/>
    <w:rsid w:val="00CE2897"/>
    <w:rsid w:val="00CE2DBF"/>
    <w:rsid w:val="00CE2E4B"/>
    <w:rsid w:val="00CE3381"/>
    <w:rsid w:val="00CE33BF"/>
    <w:rsid w:val="00CE3A0D"/>
    <w:rsid w:val="00CE3EAB"/>
    <w:rsid w:val="00CE3FC8"/>
    <w:rsid w:val="00CE432F"/>
    <w:rsid w:val="00CE4C01"/>
    <w:rsid w:val="00CE4C75"/>
    <w:rsid w:val="00CE51A7"/>
    <w:rsid w:val="00CE51F4"/>
    <w:rsid w:val="00CE52A5"/>
    <w:rsid w:val="00CE5699"/>
    <w:rsid w:val="00CE5940"/>
    <w:rsid w:val="00CE653C"/>
    <w:rsid w:val="00CE6629"/>
    <w:rsid w:val="00CE6798"/>
    <w:rsid w:val="00CE7AE5"/>
    <w:rsid w:val="00CE7B23"/>
    <w:rsid w:val="00CE7E6E"/>
    <w:rsid w:val="00CF08FB"/>
    <w:rsid w:val="00CF159C"/>
    <w:rsid w:val="00CF177C"/>
    <w:rsid w:val="00CF1E43"/>
    <w:rsid w:val="00CF1E56"/>
    <w:rsid w:val="00CF20DD"/>
    <w:rsid w:val="00CF2603"/>
    <w:rsid w:val="00CF2AFB"/>
    <w:rsid w:val="00CF2EA7"/>
    <w:rsid w:val="00CF3164"/>
    <w:rsid w:val="00CF330A"/>
    <w:rsid w:val="00CF3C1F"/>
    <w:rsid w:val="00CF3FDD"/>
    <w:rsid w:val="00CF40B2"/>
    <w:rsid w:val="00CF48F6"/>
    <w:rsid w:val="00CF4A4C"/>
    <w:rsid w:val="00CF514B"/>
    <w:rsid w:val="00CF5372"/>
    <w:rsid w:val="00CF543A"/>
    <w:rsid w:val="00CF5781"/>
    <w:rsid w:val="00CF5C64"/>
    <w:rsid w:val="00CF5E3D"/>
    <w:rsid w:val="00CF644D"/>
    <w:rsid w:val="00CF6725"/>
    <w:rsid w:val="00CF682D"/>
    <w:rsid w:val="00CF69FD"/>
    <w:rsid w:val="00CF6C76"/>
    <w:rsid w:val="00CF79C4"/>
    <w:rsid w:val="00CF7A18"/>
    <w:rsid w:val="00CF7CDD"/>
    <w:rsid w:val="00D00071"/>
    <w:rsid w:val="00D00346"/>
    <w:rsid w:val="00D015E5"/>
    <w:rsid w:val="00D01BA9"/>
    <w:rsid w:val="00D027C0"/>
    <w:rsid w:val="00D02F0C"/>
    <w:rsid w:val="00D0315C"/>
    <w:rsid w:val="00D03AC3"/>
    <w:rsid w:val="00D03EBB"/>
    <w:rsid w:val="00D04BD1"/>
    <w:rsid w:val="00D04E3F"/>
    <w:rsid w:val="00D0563D"/>
    <w:rsid w:val="00D05E56"/>
    <w:rsid w:val="00D074D2"/>
    <w:rsid w:val="00D076B7"/>
    <w:rsid w:val="00D101C5"/>
    <w:rsid w:val="00D104BF"/>
    <w:rsid w:val="00D10DDA"/>
    <w:rsid w:val="00D115D3"/>
    <w:rsid w:val="00D11E81"/>
    <w:rsid w:val="00D12377"/>
    <w:rsid w:val="00D124BC"/>
    <w:rsid w:val="00D12BE6"/>
    <w:rsid w:val="00D13F7E"/>
    <w:rsid w:val="00D1404B"/>
    <w:rsid w:val="00D14658"/>
    <w:rsid w:val="00D15787"/>
    <w:rsid w:val="00D167E3"/>
    <w:rsid w:val="00D16B0F"/>
    <w:rsid w:val="00D16E58"/>
    <w:rsid w:val="00D178DC"/>
    <w:rsid w:val="00D17916"/>
    <w:rsid w:val="00D20353"/>
    <w:rsid w:val="00D20743"/>
    <w:rsid w:val="00D20867"/>
    <w:rsid w:val="00D20920"/>
    <w:rsid w:val="00D20B7D"/>
    <w:rsid w:val="00D20DE7"/>
    <w:rsid w:val="00D21DB0"/>
    <w:rsid w:val="00D22D50"/>
    <w:rsid w:val="00D22DBA"/>
    <w:rsid w:val="00D22FA5"/>
    <w:rsid w:val="00D23744"/>
    <w:rsid w:val="00D23938"/>
    <w:rsid w:val="00D23EE6"/>
    <w:rsid w:val="00D24093"/>
    <w:rsid w:val="00D24941"/>
    <w:rsid w:val="00D24AAA"/>
    <w:rsid w:val="00D24EDB"/>
    <w:rsid w:val="00D253B4"/>
    <w:rsid w:val="00D2560F"/>
    <w:rsid w:val="00D25A46"/>
    <w:rsid w:val="00D25DA2"/>
    <w:rsid w:val="00D2622D"/>
    <w:rsid w:val="00D26882"/>
    <w:rsid w:val="00D26E76"/>
    <w:rsid w:val="00D270C3"/>
    <w:rsid w:val="00D275CE"/>
    <w:rsid w:val="00D27913"/>
    <w:rsid w:val="00D30194"/>
    <w:rsid w:val="00D302C3"/>
    <w:rsid w:val="00D3098E"/>
    <w:rsid w:val="00D30FA5"/>
    <w:rsid w:val="00D31247"/>
    <w:rsid w:val="00D32640"/>
    <w:rsid w:val="00D3332A"/>
    <w:rsid w:val="00D3355E"/>
    <w:rsid w:val="00D33A59"/>
    <w:rsid w:val="00D3448A"/>
    <w:rsid w:val="00D3467B"/>
    <w:rsid w:val="00D34A19"/>
    <w:rsid w:val="00D34A71"/>
    <w:rsid w:val="00D34C33"/>
    <w:rsid w:val="00D36630"/>
    <w:rsid w:val="00D369BE"/>
    <w:rsid w:val="00D36B35"/>
    <w:rsid w:val="00D37349"/>
    <w:rsid w:val="00D37ED9"/>
    <w:rsid w:val="00D40A48"/>
    <w:rsid w:val="00D40CFB"/>
    <w:rsid w:val="00D40EAF"/>
    <w:rsid w:val="00D40FCB"/>
    <w:rsid w:val="00D418BA"/>
    <w:rsid w:val="00D419A0"/>
    <w:rsid w:val="00D42800"/>
    <w:rsid w:val="00D436EE"/>
    <w:rsid w:val="00D43D8B"/>
    <w:rsid w:val="00D43DF4"/>
    <w:rsid w:val="00D44F2E"/>
    <w:rsid w:val="00D45789"/>
    <w:rsid w:val="00D45A9C"/>
    <w:rsid w:val="00D46878"/>
    <w:rsid w:val="00D46F4D"/>
    <w:rsid w:val="00D46FCF"/>
    <w:rsid w:val="00D47293"/>
    <w:rsid w:val="00D47E27"/>
    <w:rsid w:val="00D500FC"/>
    <w:rsid w:val="00D5041C"/>
    <w:rsid w:val="00D505EB"/>
    <w:rsid w:val="00D510C2"/>
    <w:rsid w:val="00D51273"/>
    <w:rsid w:val="00D51301"/>
    <w:rsid w:val="00D516C0"/>
    <w:rsid w:val="00D51E74"/>
    <w:rsid w:val="00D53CAB"/>
    <w:rsid w:val="00D543AE"/>
    <w:rsid w:val="00D544AA"/>
    <w:rsid w:val="00D544ED"/>
    <w:rsid w:val="00D54A12"/>
    <w:rsid w:val="00D55B1A"/>
    <w:rsid w:val="00D55F98"/>
    <w:rsid w:val="00D5632D"/>
    <w:rsid w:val="00D56366"/>
    <w:rsid w:val="00D5678C"/>
    <w:rsid w:val="00D569D2"/>
    <w:rsid w:val="00D56C54"/>
    <w:rsid w:val="00D571A2"/>
    <w:rsid w:val="00D57365"/>
    <w:rsid w:val="00D57E4F"/>
    <w:rsid w:val="00D6098D"/>
    <w:rsid w:val="00D60F7F"/>
    <w:rsid w:val="00D612E7"/>
    <w:rsid w:val="00D6210C"/>
    <w:rsid w:val="00D6276B"/>
    <w:rsid w:val="00D630AE"/>
    <w:rsid w:val="00D63333"/>
    <w:rsid w:val="00D6436E"/>
    <w:rsid w:val="00D645A7"/>
    <w:rsid w:val="00D6499D"/>
    <w:rsid w:val="00D64C3D"/>
    <w:rsid w:val="00D65336"/>
    <w:rsid w:val="00D6558A"/>
    <w:rsid w:val="00D6716F"/>
    <w:rsid w:val="00D7100F"/>
    <w:rsid w:val="00D71028"/>
    <w:rsid w:val="00D71279"/>
    <w:rsid w:val="00D7188F"/>
    <w:rsid w:val="00D71EBA"/>
    <w:rsid w:val="00D72089"/>
    <w:rsid w:val="00D72416"/>
    <w:rsid w:val="00D72845"/>
    <w:rsid w:val="00D72A94"/>
    <w:rsid w:val="00D73712"/>
    <w:rsid w:val="00D73F12"/>
    <w:rsid w:val="00D7471A"/>
    <w:rsid w:val="00D74B7D"/>
    <w:rsid w:val="00D74BDE"/>
    <w:rsid w:val="00D75531"/>
    <w:rsid w:val="00D765A9"/>
    <w:rsid w:val="00D76784"/>
    <w:rsid w:val="00D76963"/>
    <w:rsid w:val="00D76F1F"/>
    <w:rsid w:val="00D77167"/>
    <w:rsid w:val="00D778D1"/>
    <w:rsid w:val="00D77BDC"/>
    <w:rsid w:val="00D77F26"/>
    <w:rsid w:val="00D80389"/>
    <w:rsid w:val="00D81600"/>
    <w:rsid w:val="00D81679"/>
    <w:rsid w:val="00D81724"/>
    <w:rsid w:val="00D8256E"/>
    <w:rsid w:val="00D82825"/>
    <w:rsid w:val="00D82C1C"/>
    <w:rsid w:val="00D82CA9"/>
    <w:rsid w:val="00D83043"/>
    <w:rsid w:val="00D8304E"/>
    <w:rsid w:val="00D8379B"/>
    <w:rsid w:val="00D848AC"/>
    <w:rsid w:val="00D84F3C"/>
    <w:rsid w:val="00D85FB3"/>
    <w:rsid w:val="00D86141"/>
    <w:rsid w:val="00D8751D"/>
    <w:rsid w:val="00D8764E"/>
    <w:rsid w:val="00D905B6"/>
    <w:rsid w:val="00D90818"/>
    <w:rsid w:val="00D9159D"/>
    <w:rsid w:val="00D916ED"/>
    <w:rsid w:val="00D9203A"/>
    <w:rsid w:val="00D92663"/>
    <w:rsid w:val="00D92EA4"/>
    <w:rsid w:val="00D936D9"/>
    <w:rsid w:val="00D93A14"/>
    <w:rsid w:val="00D93A21"/>
    <w:rsid w:val="00D93B6E"/>
    <w:rsid w:val="00D94937"/>
    <w:rsid w:val="00D95213"/>
    <w:rsid w:val="00D95245"/>
    <w:rsid w:val="00D95472"/>
    <w:rsid w:val="00D95846"/>
    <w:rsid w:val="00D95F3A"/>
    <w:rsid w:val="00D96386"/>
    <w:rsid w:val="00D96C00"/>
    <w:rsid w:val="00D9737B"/>
    <w:rsid w:val="00D979A6"/>
    <w:rsid w:val="00D97EBB"/>
    <w:rsid w:val="00DA0234"/>
    <w:rsid w:val="00DA0AFF"/>
    <w:rsid w:val="00DA127B"/>
    <w:rsid w:val="00DA20E0"/>
    <w:rsid w:val="00DA2B36"/>
    <w:rsid w:val="00DA2B81"/>
    <w:rsid w:val="00DA33F5"/>
    <w:rsid w:val="00DA3434"/>
    <w:rsid w:val="00DA3446"/>
    <w:rsid w:val="00DA4123"/>
    <w:rsid w:val="00DA4D53"/>
    <w:rsid w:val="00DA5336"/>
    <w:rsid w:val="00DA574C"/>
    <w:rsid w:val="00DA5DCC"/>
    <w:rsid w:val="00DA5F30"/>
    <w:rsid w:val="00DA66B1"/>
    <w:rsid w:val="00DA6BFB"/>
    <w:rsid w:val="00DA6EA6"/>
    <w:rsid w:val="00DA708E"/>
    <w:rsid w:val="00DA7575"/>
    <w:rsid w:val="00DB0257"/>
    <w:rsid w:val="00DB06B4"/>
    <w:rsid w:val="00DB0C97"/>
    <w:rsid w:val="00DB0F3B"/>
    <w:rsid w:val="00DB1797"/>
    <w:rsid w:val="00DB22DC"/>
    <w:rsid w:val="00DB238A"/>
    <w:rsid w:val="00DB2823"/>
    <w:rsid w:val="00DB2D08"/>
    <w:rsid w:val="00DB381A"/>
    <w:rsid w:val="00DB3AD9"/>
    <w:rsid w:val="00DB3DA0"/>
    <w:rsid w:val="00DB42E9"/>
    <w:rsid w:val="00DB497F"/>
    <w:rsid w:val="00DB49A8"/>
    <w:rsid w:val="00DB62BF"/>
    <w:rsid w:val="00DB7272"/>
    <w:rsid w:val="00DB775F"/>
    <w:rsid w:val="00DB7A74"/>
    <w:rsid w:val="00DB7BF1"/>
    <w:rsid w:val="00DC0063"/>
    <w:rsid w:val="00DC0274"/>
    <w:rsid w:val="00DC05FB"/>
    <w:rsid w:val="00DC0829"/>
    <w:rsid w:val="00DC0B44"/>
    <w:rsid w:val="00DC12E0"/>
    <w:rsid w:val="00DC18D0"/>
    <w:rsid w:val="00DC19F0"/>
    <w:rsid w:val="00DC1BE5"/>
    <w:rsid w:val="00DC1BF0"/>
    <w:rsid w:val="00DC218D"/>
    <w:rsid w:val="00DC22A4"/>
    <w:rsid w:val="00DC2EC8"/>
    <w:rsid w:val="00DC2F5F"/>
    <w:rsid w:val="00DC3118"/>
    <w:rsid w:val="00DC345B"/>
    <w:rsid w:val="00DC36F7"/>
    <w:rsid w:val="00DC4237"/>
    <w:rsid w:val="00DC4A81"/>
    <w:rsid w:val="00DC4ECF"/>
    <w:rsid w:val="00DC6CB6"/>
    <w:rsid w:val="00DC7139"/>
    <w:rsid w:val="00DC73AB"/>
    <w:rsid w:val="00DC7C3F"/>
    <w:rsid w:val="00DD055E"/>
    <w:rsid w:val="00DD161B"/>
    <w:rsid w:val="00DD1BBA"/>
    <w:rsid w:val="00DD1CF3"/>
    <w:rsid w:val="00DD1E03"/>
    <w:rsid w:val="00DD21AD"/>
    <w:rsid w:val="00DD29B9"/>
    <w:rsid w:val="00DD2A10"/>
    <w:rsid w:val="00DD2CB8"/>
    <w:rsid w:val="00DD3560"/>
    <w:rsid w:val="00DD3FDC"/>
    <w:rsid w:val="00DD42C3"/>
    <w:rsid w:val="00DD4E0B"/>
    <w:rsid w:val="00DD4E32"/>
    <w:rsid w:val="00DD5414"/>
    <w:rsid w:val="00DD5EE8"/>
    <w:rsid w:val="00DD6266"/>
    <w:rsid w:val="00DD6576"/>
    <w:rsid w:val="00DD6D49"/>
    <w:rsid w:val="00DD6F1F"/>
    <w:rsid w:val="00DD721F"/>
    <w:rsid w:val="00DD7C9D"/>
    <w:rsid w:val="00DD7D45"/>
    <w:rsid w:val="00DD7E2C"/>
    <w:rsid w:val="00DE0064"/>
    <w:rsid w:val="00DE05B2"/>
    <w:rsid w:val="00DE05C5"/>
    <w:rsid w:val="00DE05D0"/>
    <w:rsid w:val="00DE086D"/>
    <w:rsid w:val="00DE11F6"/>
    <w:rsid w:val="00DE1B48"/>
    <w:rsid w:val="00DE2305"/>
    <w:rsid w:val="00DE27E7"/>
    <w:rsid w:val="00DE2A90"/>
    <w:rsid w:val="00DE2F6D"/>
    <w:rsid w:val="00DE2FDF"/>
    <w:rsid w:val="00DE35DD"/>
    <w:rsid w:val="00DE3E0B"/>
    <w:rsid w:val="00DE4C26"/>
    <w:rsid w:val="00DE5718"/>
    <w:rsid w:val="00DE5BC8"/>
    <w:rsid w:val="00DE7E96"/>
    <w:rsid w:val="00DF07DA"/>
    <w:rsid w:val="00DF1307"/>
    <w:rsid w:val="00DF16ED"/>
    <w:rsid w:val="00DF18D2"/>
    <w:rsid w:val="00DF2075"/>
    <w:rsid w:val="00DF2C4F"/>
    <w:rsid w:val="00DF2E4D"/>
    <w:rsid w:val="00DF3781"/>
    <w:rsid w:val="00DF383E"/>
    <w:rsid w:val="00DF5E6D"/>
    <w:rsid w:val="00DF6C8E"/>
    <w:rsid w:val="00DF6D39"/>
    <w:rsid w:val="00DF7847"/>
    <w:rsid w:val="00E005B6"/>
    <w:rsid w:val="00E00AAD"/>
    <w:rsid w:val="00E01480"/>
    <w:rsid w:val="00E0162B"/>
    <w:rsid w:val="00E01639"/>
    <w:rsid w:val="00E01C1D"/>
    <w:rsid w:val="00E01E30"/>
    <w:rsid w:val="00E022A2"/>
    <w:rsid w:val="00E02C01"/>
    <w:rsid w:val="00E03637"/>
    <w:rsid w:val="00E03BAC"/>
    <w:rsid w:val="00E03E29"/>
    <w:rsid w:val="00E0475B"/>
    <w:rsid w:val="00E048F9"/>
    <w:rsid w:val="00E05185"/>
    <w:rsid w:val="00E0576C"/>
    <w:rsid w:val="00E06299"/>
    <w:rsid w:val="00E062DC"/>
    <w:rsid w:val="00E071BA"/>
    <w:rsid w:val="00E07FF6"/>
    <w:rsid w:val="00E10CE2"/>
    <w:rsid w:val="00E11A12"/>
    <w:rsid w:val="00E11BE7"/>
    <w:rsid w:val="00E121C8"/>
    <w:rsid w:val="00E12459"/>
    <w:rsid w:val="00E12469"/>
    <w:rsid w:val="00E126C9"/>
    <w:rsid w:val="00E1318A"/>
    <w:rsid w:val="00E13AAA"/>
    <w:rsid w:val="00E146D1"/>
    <w:rsid w:val="00E14970"/>
    <w:rsid w:val="00E14971"/>
    <w:rsid w:val="00E153D0"/>
    <w:rsid w:val="00E1569F"/>
    <w:rsid w:val="00E1580B"/>
    <w:rsid w:val="00E15AF2"/>
    <w:rsid w:val="00E160D1"/>
    <w:rsid w:val="00E16A1D"/>
    <w:rsid w:val="00E17214"/>
    <w:rsid w:val="00E17369"/>
    <w:rsid w:val="00E17486"/>
    <w:rsid w:val="00E1794F"/>
    <w:rsid w:val="00E17953"/>
    <w:rsid w:val="00E17B18"/>
    <w:rsid w:val="00E17B56"/>
    <w:rsid w:val="00E209DF"/>
    <w:rsid w:val="00E20D8B"/>
    <w:rsid w:val="00E211C9"/>
    <w:rsid w:val="00E216C7"/>
    <w:rsid w:val="00E21DE2"/>
    <w:rsid w:val="00E21F48"/>
    <w:rsid w:val="00E221D5"/>
    <w:rsid w:val="00E221E8"/>
    <w:rsid w:val="00E221F2"/>
    <w:rsid w:val="00E22759"/>
    <w:rsid w:val="00E22C04"/>
    <w:rsid w:val="00E22DE6"/>
    <w:rsid w:val="00E23C9E"/>
    <w:rsid w:val="00E23D11"/>
    <w:rsid w:val="00E24073"/>
    <w:rsid w:val="00E24E38"/>
    <w:rsid w:val="00E24EC8"/>
    <w:rsid w:val="00E25092"/>
    <w:rsid w:val="00E25318"/>
    <w:rsid w:val="00E2544E"/>
    <w:rsid w:val="00E25459"/>
    <w:rsid w:val="00E254D7"/>
    <w:rsid w:val="00E2607D"/>
    <w:rsid w:val="00E2684D"/>
    <w:rsid w:val="00E268C6"/>
    <w:rsid w:val="00E26988"/>
    <w:rsid w:val="00E27038"/>
    <w:rsid w:val="00E271BF"/>
    <w:rsid w:val="00E3117A"/>
    <w:rsid w:val="00E3137C"/>
    <w:rsid w:val="00E3164C"/>
    <w:rsid w:val="00E31DAD"/>
    <w:rsid w:val="00E31EEE"/>
    <w:rsid w:val="00E322A8"/>
    <w:rsid w:val="00E3272F"/>
    <w:rsid w:val="00E32FF7"/>
    <w:rsid w:val="00E35FFB"/>
    <w:rsid w:val="00E36D0D"/>
    <w:rsid w:val="00E37148"/>
    <w:rsid w:val="00E373AE"/>
    <w:rsid w:val="00E4068D"/>
    <w:rsid w:val="00E40BBB"/>
    <w:rsid w:val="00E42657"/>
    <w:rsid w:val="00E426DE"/>
    <w:rsid w:val="00E434B6"/>
    <w:rsid w:val="00E439AD"/>
    <w:rsid w:val="00E4411F"/>
    <w:rsid w:val="00E441F6"/>
    <w:rsid w:val="00E44A92"/>
    <w:rsid w:val="00E45036"/>
    <w:rsid w:val="00E452C4"/>
    <w:rsid w:val="00E4604A"/>
    <w:rsid w:val="00E462A4"/>
    <w:rsid w:val="00E4638B"/>
    <w:rsid w:val="00E46ABA"/>
    <w:rsid w:val="00E4795E"/>
    <w:rsid w:val="00E47F1D"/>
    <w:rsid w:val="00E502C7"/>
    <w:rsid w:val="00E51376"/>
    <w:rsid w:val="00E52561"/>
    <w:rsid w:val="00E52ADA"/>
    <w:rsid w:val="00E52AEA"/>
    <w:rsid w:val="00E52CFF"/>
    <w:rsid w:val="00E52ED6"/>
    <w:rsid w:val="00E5355E"/>
    <w:rsid w:val="00E53971"/>
    <w:rsid w:val="00E53A90"/>
    <w:rsid w:val="00E53E03"/>
    <w:rsid w:val="00E53F45"/>
    <w:rsid w:val="00E5513D"/>
    <w:rsid w:val="00E56470"/>
    <w:rsid w:val="00E5663C"/>
    <w:rsid w:val="00E568A8"/>
    <w:rsid w:val="00E57A2D"/>
    <w:rsid w:val="00E57DD7"/>
    <w:rsid w:val="00E57FBC"/>
    <w:rsid w:val="00E605D2"/>
    <w:rsid w:val="00E60974"/>
    <w:rsid w:val="00E60E73"/>
    <w:rsid w:val="00E61341"/>
    <w:rsid w:val="00E6198B"/>
    <w:rsid w:val="00E61B21"/>
    <w:rsid w:val="00E61D25"/>
    <w:rsid w:val="00E625ED"/>
    <w:rsid w:val="00E62A67"/>
    <w:rsid w:val="00E62D0D"/>
    <w:rsid w:val="00E62DC0"/>
    <w:rsid w:val="00E63800"/>
    <w:rsid w:val="00E63E69"/>
    <w:rsid w:val="00E6437B"/>
    <w:rsid w:val="00E646E5"/>
    <w:rsid w:val="00E64C45"/>
    <w:rsid w:val="00E64DBB"/>
    <w:rsid w:val="00E661F8"/>
    <w:rsid w:val="00E665B9"/>
    <w:rsid w:val="00E66843"/>
    <w:rsid w:val="00E668B0"/>
    <w:rsid w:val="00E66FC2"/>
    <w:rsid w:val="00E6742E"/>
    <w:rsid w:val="00E6743D"/>
    <w:rsid w:val="00E701FC"/>
    <w:rsid w:val="00E70AC8"/>
    <w:rsid w:val="00E70DFC"/>
    <w:rsid w:val="00E72223"/>
    <w:rsid w:val="00E725D6"/>
    <w:rsid w:val="00E7291B"/>
    <w:rsid w:val="00E72C64"/>
    <w:rsid w:val="00E73210"/>
    <w:rsid w:val="00E73382"/>
    <w:rsid w:val="00E73777"/>
    <w:rsid w:val="00E74043"/>
    <w:rsid w:val="00E744F9"/>
    <w:rsid w:val="00E7638D"/>
    <w:rsid w:val="00E76408"/>
    <w:rsid w:val="00E76CEB"/>
    <w:rsid w:val="00E77095"/>
    <w:rsid w:val="00E7739D"/>
    <w:rsid w:val="00E805AD"/>
    <w:rsid w:val="00E808B8"/>
    <w:rsid w:val="00E809E3"/>
    <w:rsid w:val="00E812CC"/>
    <w:rsid w:val="00E812E0"/>
    <w:rsid w:val="00E82E8C"/>
    <w:rsid w:val="00E832E5"/>
    <w:rsid w:val="00E8408A"/>
    <w:rsid w:val="00E84F16"/>
    <w:rsid w:val="00E85929"/>
    <w:rsid w:val="00E8605E"/>
    <w:rsid w:val="00E86D85"/>
    <w:rsid w:val="00E87266"/>
    <w:rsid w:val="00E879A6"/>
    <w:rsid w:val="00E900E5"/>
    <w:rsid w:val="00E901BA"/>
    <w:rsid w:val="00E90E80"/>
    <w:rsid w:val="00E9163B"/>
    <w:rsid w:val="00E91F10"/>
    <w:rsid w:val="00E923F4"/>
    <w:rsid w:val="00E92AE6"/>
    <w:rsid w:val="00E92AF3"/>
    <w:rsid w:val="00E93062"/>
    <w:rsid w:val="00E9354A"/>
    <w:rsid w:val="00E938D0"/>
    <w:rsid w:val="00E9395B"/>
    <w:rsid w:val="00E93A52"/>
    <w:rsid w:val="00E93E92"/>
    <w:rsid w:val="00E9401A"/>
    <w:rsid w:val="00E943C2"/>
    <w:rsid w:val="00E94CE4"/>
    <w:rsid w:val="00E95386"/>
    <w:rsid w:val="00E96211"/>
    <w:rsid w:val="00E962AA"/>
    <w:rsid w:val="00E96B01"/>
    <w:rsid w:val="00E96B9E"/>
    <w:rsid w:val="00E96DDB"/>
    <w:rsid w:val="00E977DD"/>
    <w:rsid w:val="00E97CE3"/>
    <w:rsid w:val="00E97E88"/>
    <w:rsid w:val="00EA00BC"/>
    <w:rsid w:val="00EA0242"/>
    <w:rsid w:val="00EA093C"/>
    <w:rsid w:val="00EA0949"/>
    <w:rsid w:val="00EA0A53"/>
    <w:rsid w:val="00EA1917"/>
    <w:rsid w:val="00EA2091"/>
    <w:rsid w:val="00EA25D7"/>
    <w:rsid w:val="00EA26B8"/>
    <w:rsid w:val="00EA328B"/>
    <w:rsid w:val="00EA3E0B"/>
    <w:rsid w:val="00EA4616"/>
    <w:rsid w:val="00EA4744"/>
    <w:rsid w:val="00EA4D0B"/>
    <w:rsid w:val="00EA4DB5"/>
    <w:rsid w:val="00EA5AF3"/>
    <w:rsid w:val="00EA5E4D"/>
    <w:rsid w:val="00EA65EB"/>
    <w:rsid w:val="00EA665C"/>
    <w:rsid w:val="00EA68A1"/>
    <w:rsid w:val="00EA73E7"/>
    <w:rsid w:val="00EA77A5"/>
    <w:rsid w:val="00EA78AB"/>
    <w:rsid w:val="00EB02E3"/>
    <w:rsid w:val="00EB130A"/>
    <w:rsid w:val="00EB20FD"/>
    <w:rsid w:val="00EB2170"/>
    <w:rsid w:val="00EB28B5"/>
    <w:rsid w:val="00EB29E2"/>
    <w:rsid w:val="00EB2DAB"/>
    <w:rsid w:val="00EB2DDD"/>
    <w:rsid w:val="00EB35DB"/>
    <w:rsid w:val="00EB4206"/>
    <w:rsid w:val="00EB5B83"/>
    <w:rsid w:val="00EB5FC1"/>
    <w:rsid w:val="00EB6738"/>
    <w:rsid w:val="00EB6CBB"/>
    <w:rsid w:val="00EB6D76"/>
    <w:rsid w:val="00EB6FF2"/>
    <w:rsid w:val="00EB715E"/>
    <w:rsid w:val="00EB733A"/>
    <w:rsid w:val="00EB7952"/>
    <w:rsid w:val="00EB7B59"/>
    <w:rsid w:val="00EB7CF1"/>
    <w:rsid w:val="00EC093E"/>
    <w:rsid w:val="00EC0956"/>
    <w:rsid w:val="00EC19F8"/>
    <w:rsid w:val="00EC273F"/>
    <w:rsid w:val="00EC3B34"/>
    <w:rsid w:val="00EC3C87"/>
    <w:rsid w:val="00EC3CF5"/>
    <w:rsid w:val="00EC41A3"/>
    <w:rsid w:val="00EC41CB"/>
    <w:rsid w:val="00EC458A"/>
    <w:rsid w:val="00EC4952"/>
    <w:rsid w:val="00EC4D2C"/>
    <w:rsid w:val="00EC4D4D"/>
    <w:rsid w:val="00EC4D79"/>
    <w:rsid w:val="00EC53F5"/>
    <w:rsid w:val="00EC6A58"/>
    <w:rsid w:val="00EC70D6"/>
    <w:rsid w:val="00EC7845"/>
    <w:rsid w:val="00ED00BB"/>
    <w:rsid w:val="00ED075B"/>
    <w:rsid w:val="00ED0E68"/>
    <w:rsid w:val="00ED0EDA"/>
    <w:rsid w:val="00ED1AC2"/>
    <w:rsid w:val="00ED1AE4"/>
    <w:rsid w:val="00ED1ED7"/>
    <w:rsid w:val="00ED313A"/>
    <w:rsid w:val="00ED31EC"/>
    <w:rsid w:val="00ED3517"/>
    <w:rsid w:val="00ED379C"/>
    <w:rsid w:val="00ED3A94"/>
    <w:rsid w:val="00ED3C3B"/>
    <w:rsid w:val="00ED40B6"/>
    <w:rsid w:val="00ED4103"/>
    <w:rsid w:val="00ED41A5"/>
    <w:rsid w:val="00ED43B9"/>
    <w:rsid w:val="00ED4654"/>
    <w:rsid w:val="00ED513D"/>
    <w:rsid w:val="00ED58EB"/>
    <w:rsid w:val="00ED5921"/>
    <w:rsid w:val="00ED5987"/>
    <w:rsid w:val="00ED69BD"/>
    <w:rsid w:val="00ED7053"/>
    <w:rsid w:val="00ED77A7"/>
    <w:rsid w:val="00ED7C67"/>
    <w:rsid w:val="00ED7DC8"/>
    <w:rsid w:val="00EE01EE"/>
    <w:rsid w:val="00EE0609"/>
    <w:rsid w:val="00EE0793"/>
    <w:rsid w:val="00EE19C2"/>
    <w:rsid w:val="00EE1B3D"/>
    <w:rsid w:val="00EE1D55"/>
    <w:rsid w:val="00EE1E2B"/>
    <w:rsid w:val="00EE20A6"/>
    <w:rsid w:val="00EE27E8"/>
    <w:rsid w:val="00EE2BDC"/>
    <w:rsid w:val="00EE2F91"/>
    <w:rsid w:val="00EE3129"/>
    <w:rsid w:val="00EE31D6"/>
    <w:rsid w:val="00EE3592"/>
    <w:rsid w:val="00EE3CF5"/>
    <w:rsid w:val="00EE3D9A"/>
    <w:rsid w:val="00EE3DD5"/>
    <w:rsid w:val="00EE4CDE"/>
    <w:rsid w:val="00EE51DD"/>
    <w:rsid w:val="00EE528A"/>
    <w:rsid w:val="00EE5517"/>
    <w:rsid w:val="00EE5E56"/>
    <w:rsid w:val="00EE6417"/>
    <w:rsid w:val="00EE66B5"/>
    <w:rsid w:val="00EE695C"/>
    <w:rsid w:val="00EE6C43"/>
    <w:rsid w:val="00EE6DEE"/>
    <w:rsid w:val="00EE7058"/>
    <w:rsid w:val="00EE71E9"/>
    <w:rsid w:val="00EE7A09"/>
    <w:rsid w:val="00EE7BB2"/>
    <w:rsid w:val="00EE7F9A"/>
    <w:rsid w:val="00EF082C"/>
    <w:rsid w:val="00EF0A9A"/>
    <w:rsid w:val="00EF0C11"/>
    <w:rsid w:val="00EF29F6"/>
    <w:rsid w:val="00EF3517"/>
    <w:rsid w:val="00EF469E"/>
    <w:rsid w:val="00EF491C"/>
    <w:rsid w:val="00EF4988"/>
    <w:rsid w:val="00EF4B40"/>
    <w:rsid w:val="00EF4BFF"/>
    <w:rsid w:val="00EF4E5C"/>
    <w:rsid w:val="00EF50D5"/>
    <w:rsid w:val="00EF5697"/>
    <w:rsid w:val="00EF6428"/>
    <w:rsid w:val="00EF6543"/>
    <w:rsid w:val="00EF70A3"/>
    <w:rsid w:val="00EF784C"/>
    <w:rsid w:val="00EF7AAE"/>
    <w:rsid w:val="00F00107"/>
    <w:rsid w:val="00F009C3"/>
    <w:rsid w:val="00F00EE4"/>
    <w:rsid w:val="00F011B5"/>
    <w:rsid w:val="00F01B55"/>
    <w:rsid w:val="00F020BE"/>
    <w:rsid w:val="00F02527"/>
    <w:rsid w:val="00F02547"/>
    <w:rsid w:val="00F0283D"/>
    <w:rsid w:val="00F03185"/>
    <w:rsid w:val="00F03388"/>
    <w:rsid w:val="00F03E2E"/>
    <w:rsid w:val="00F046AE"/>
    <w:rsid w:val="00F0495D"/>
    <w:rsid w:val="00F04D39"/>
    <w:rsid w:val="00F04F43"/>
    <w:rsid w:val="00F050EE"/>
    <w:rsid w:val="00F06561"/>
    <w:rsid w:val="00F06A1A"/>
    <w:rsid w:val="00F06D4A"/>
    <w:rsid w:val="00F071EE"/>
    <w:rsid w:val="00F071F4"/>
    <w:rsid w:val="00F072F1"/>
    <w:rsid w:val="00F10364"/>
    <w:rsid w:val="00F1070C"/>
    <w:rsid w:val="00F10FE3"/>
    <w:rsid w:val="00F11C6B"/>
    <w:rsid w:val="00F11CA6"/>
    <w:rsid w:val="00F11E23"/>
    <w:rsid w:val="00F1202A"/>
    <w:rsid w:val="00F124AD"/>
    <w:rsid w:val="00F12B4F"/>
    <w:rsid w:val="00F12F42"/>
    <w:rsid w:val="00F1346F"/>
    <w:rsid w:val="00F134F8"/>
    <w:rsid w:val="00F138FE"/>
    <w:rsid w:val="00F13B53"/>
    <w:rsid w:val="00F140EC"/>
    <w:rsid w:val="00F14175"/>
    <w:rsid w:val="00F15046"/>
    <w:rsid w:val="00F1530E"/>
    <w:rsid w:val="00F1634D"/>
    <w:rsid w:val="00F16496"/>
    <w:rsid w:val="00F16592"/>
    <w:rsid w:val="00F16D6B"/>
    <w:rsid w:val="00F17D7D"/>
    <w:rsid w:val="00F206F8"/>
    <w:rsid w:val="00F2093D"/>
    <w:rsid w:val="00F20A51"/>
    <w:rsid w:val="00F223F4"/>
    <w:rsid w:val="00F226D1"/>
    <w:rsid w:val="00F22C70"/>
    <w:rsid w:val="00F233EA"/>
    <w:rsid w:val="00F236A2"/>
    <w:rsid w:val="00F24778"/>
    <w:rsid w:val="00F255E5"/>
    <w:rsid w:val="00F2580A"/>
    <w:rsid w:val="00F26237"/>
    <w:rsid w:val="00F2645B"/>
    <w:rsid w:val="00F264FB"/>
    <w:rsid w:val="00F269E0"/>
    <w:rsid w:val="00F26B5D"/>
    <w:rsid w:val="00F26CAB"/>
    <w:rsid w:val="00F26DA6"/>
    <w:rsid w:val="00F27128"/>
    <w:rsid w:val="00F2714D"/>
    <w:rsid w:val="00F27CDF"/>
    <w:rsid w:val="00F27F47"/>
    <w:rsid w:val="00F31031"/>
    <w:rsid w:val="00F31108"/>
    <w:rsid w:val="00F3132D"/>
    <w:rsid w:val="00F31C83"/>
    <w:rsid w:val="00F31FFF"/>
    <w:rsid w:val="00F32015"/>
    <w:rsid w:val="00F325C7"/>
    <w:rsid w:val="00F32C21"/>
    <w:rsid w:val="00F33F17"/>
    <w:rsid w:val="00F342AC"/>
    <w:rsid w:val="00F3559E"/>
    <w:rsid w:val="00F357AF"/>
    <w:rsid w:val="00F35A55"/>
    <w:rsid w:val="00F35FAD"/>
    <w:rsid w:val="00F3662B"/>
    <w:rsid w:val="00F3689E"/>
    <w:rsid w:val="00F369BB"/>
    <w:rsid w:val="00F40782"/>
    <w:rsid w:val="00F408B0"/>
    <w:rsid w:val="00F40D5F"/>
    <w:rsid w:val="00F40D75"/>
    <w:rsid w:val="00F41144"/>
    <w:rsid w:val="00F415D3"/>
    <w:rsid w:val="00F41E85"/>
    <w:rsid w:val="00F41EB6"/>
    <w:rsid w:val="00F42016"/>
    <w:rsid w:val="00F423E5"/>
    <w:rsid w:val="00F43537"/>
    <w:rsid w:val="00F43661"/>
    <w:rsid w:val="00F438A7"/>
    <w:rsid w:val="00F44E56"/>
    <w:rsid w:val="00F44F1B"/>
    <w:rsid w:val="00F44F70"/>
    <w:rsid w:val="00F4562A"/>
    <w:rsid w:val="00F4571D"/>
    <w:rsid w:val="00F4658C"/>
    <w:rsid w:val="00F46825"/>
    <w:rsid w:val="00F468C9"/>
    <w:rsid w:val="00F46BD7"/>
    <w:rsid w:val="00F47EFA"/>
    <w:rsid w:val="00F507B8"/>
    <w:rsid w:val="00F50D49"/>
    <w:rsid w:val="00F511DD"/>
    <w:rsid w:val="00F51266"/>
    <w:rsid w:val="00F5151B"/>
    <w:rsid w:val="00F51640"/>
    <w:rsid w:val="00F52A08"/>
    <w:rsid w:val="00F550DF"/>
    <w:rsid w:val="00F5526B"/>
    <w:rsid w:val="00F55456"/>
    <w:rsid w:val="00F55CF2"/>
    <w:rsid w:val="00F55EFB"/>
    <w:rsid w:val="00F56735"/>
    <w:rsid w:val="00F568E6"/>
    <w:rsid w:val="00F56A19"/>
    <w:rsid w:val="00F5754A"/>
    <w:rsid w:val="00F57652"/>
    <w:rsid w:val="00F57DA1"/>
    <w:rsid w:val="00F6007A"/>
    <w:rsid w:val="00F614AD"/>
    <w:rsid w:val="00F61516"/>
    <w:rsid w:val="00F6199B"/>
    <w:rsid w:val="00F61BC3"/>
    <w:rsid w:val="00F62D2D"/>
    <w:rsid w:val="00F63541"/>
    <w:rsid w:val="00F63A07"/>
    <w:rsid w:val="00F63AFC"/>
    <w:rsid w:val="00F63E34"/>
    <w:rsid w:val="00F643AF"/>
    <w:rsid w:val="00F64B2A"/>
    <w:rsid w:val="00F65900"/>
    <w:rsid w:val="00F65B4A"/>
    <w:rsid w:val="00F65E10"/>
    <w:rsid w:val="00F66702"/>
    <w:rsid w:val="00F667C2"/>
    <w:rsid w:val="00F66A5A"/>
    <w:rsid w:val="00F671F0"/>
    <w:rsid w:val="00F676C6"/>
    <w:rsid w:val="00F679AA"/>
    <w:rsid w:val="00F67CD1"/>
    <w:rsid w:val="00F70967"/>
    <w:rsid w:val="00F70A1F"/>
    <w:rsid w:val="00F70ADA"/>
    <w:rsid w:val="00F7122B"/>
    <w:rsid w:val="00F71A4F"/>
    <w:rsid w:val="00F71D94"/>
    <w:rsid w:val="00F720FD"/>
    <w:rsid w:val="00F72288"/>
    <w:rsid w:val="00F724AC"/>
    <w:rsid w:val="00F72E7C"/>
    <w:rsid w:val="00F7301D"/>
    <w:rsid w:val="00F73F4C"/>
    <w:rsid w:val="00F747C2"/>
    <w:rsid w:val="00F74CFD"/>
    <w:rsid w:val="00F74FC2"/>
    <w:rsid w:val="00F75E5C"/>
    <w:rsid w:val="00F75ED8"/>
    <w:rsid w:val="00F75F7E"/>
    <w:rsid w:val="00F7632B"/>
    <w:rsid w:val="00F763DC"/>
    <w:rsid w:val="00F76797"/>
    <w:rsid w:val="00F76819"/>
    <w:rsid w:val="00F76A37"/>
    <w:rsid w:val="00F7740E"/>
    <w:rsid w:val="00F80497"/>
    <w:rsid w:val="00F80571"/>
    <w:rsid w:val="00F80678"/>
    <w:rsid w:val="00F80705"/>
    <w:rsid w:val="00F80A97"/>
    <w:rsid w:val="00F8115B"/>
    <w:rsid w:val="00F8139E"/>
    <w:rsid w:val="00F8166A"/>
    <w:rsid w:val="00F81721"/>
    <w:rsid w:val="00F81CA2"/>
    <w:rsid w:val="00F81CB4"/>
    <w:rsid w:val="00F82618"/>
    <w:rsid w:val="00F8269C"/>
    <w:rsid w:val="00F8276A"/>
    <w:rsid w:val="00F82C2C"/>
    <w:rsid w:val="00F82C4B"/>
    <w:rsid w:val="00F83B59"/>
    <w:rsid w:val="00F83D5E"/>
    <w:rsid w:val="00F8402F"/>
    <w:rsid w:val="00F843E3"/>
    <w:rsid w:val="00F846ED"/>
    <w:rsid w:val="00F854A7"/>
    <w:rsid w:val="00F854C0"/>
    <w:rsid w:val="00F85BAD"/>
    <w:rsid w:val="00F867C5"/>
    <w:rsid w:val="00F86822"/>
    <w:rsid w:val="00F868FC"/>
    <w:rsid w:val="00F86BC7"/>
    <w:rsid w:val="00F86CF4"/>
    <w:rsid w:val="00F877AC"/>
    <w:rsid w:val="00F87D66"/>
    <w:rsid w:val="00F902BE"/>
    <w:rsid w:val="00F90D43"/>
    <w:rsid w:val="00F9125B"/>
    <w:rsid w:val="00F91471"/>
    <w:rsid w:val="00F916E1"/>
    <w:rsid w:val="00F92907"/>
    <w:rsid w:val="00F93183"/>
    <w:rsid w:val="00F9372C"/>
    <w:rsid w:val="00F9384D"/>
    <w:rsid w:val="00F94FB2"/>
    <w:rsid w:val="00F95125"/>
    <w:rsid w:val="00F9545E"/>
    <w:rsid w:val="00F9556A"/>
    <w:rsid w:val="00F967CE"/>
    <w:rsid w:val="00F96E1C"/>
    <w:rsid w:val="00F97005"/>
    <w:rsid w:val="00F97233"/>
    <w:rsid w:val="00F97B3C"/>
    <w:rsid w:val="00F97B9E"/>
    <w:rsid w:val="00F97FE5"/>
    <w:rsid w:val="00FA05A8"/>
    <w:rsid w:val="00FA09A0"/>
    <w:rsid w:val="00FA0D66"/>
    <w:rsid w:val="00FA1143"/>
    <w:rsid w:val="00FA166D"/>
    <w:rsid w:val="00FA16D5"/>
    <w:rsid w:val="00FA1CDE"/>
    <w:rsid w:val="00FA1E95"/>
    <w:rsid w:val="00FA201B"/>
    <w:rsid w:val="00FA2356"/>
    <w:rsid w:val="00FA25A3"/>
    <w:rsid w:val="00FA27BE"/>
    <w:rsid w:val="00FA2CEB"/>
    <w:rsid w:val="00FA2E7C"/>
    <w:rsid w:val="00FA34AC"/>
    <w:rsid w:val="00FA361D"/>
    <w:rsid w:val="00FA40F5"/>
    <w:rsid w:val="00FA4F0F"/>
    <w:rsid w:val="00FA5076"/>
    <w:rsid w:val="00FA535C"/>
    <w:rsid w:val="00FA53BB"/>
    <w:rsid w:val="00FA7486"/>
    <w:rsid w:val="00FA7FD2"/>
    <w:rsid w:val="00FB0D70"/>
    <w:rsid w:val="00FB1561"/>
    <w:rsid w:val="00FB16F6"/>
    <w:rsid w:val="00FB1A04"/>
    <w:rsid w:val="00FB1FFE"/>
    <w:rsid w:val="00FB2006"/>
    <w:rsid w:val="00FB2358"/>
    <w:rsid w:val="00FB2DFF"/>
    <w:rsid w:val="00FB3269"/>
    <w:rsid w:val="00FB38C7"/>
    <w:rsid w:val="00FB3989"/>
    <w:rsid w:val="00FB3CBB"/>
    <w:rsid w:val="00FB4013"/>
    <w:rsid w:val="00FB4029"/>
    <w:rsid w:val="00FB453D"/>
    <w:rsid w:val="00FB46B1"/>
    <w:rsid w:val="00FB47FD"/>
    <w:rsid w:val="00FB4FCF"/>
    <w:rsid w:val="00FB5599"/>
    <w:rsid w:val="00FB5A2C"/>
    <w:rsid w:val="00FB6C79"/>
    <w:rsid w:val="00FB7276"/>
    <w:rsid w:val="00FB74E4"/>
    <w:rsid w:val="00FB7979"/>
    <w:rsid w:val="00FB7B23"/>
    <w:rsid w:val="00FB7BBF"/>
    <w:rsid w:val="00FC01BB"/>
    <w:rsid w:val="00FC03BF"/>
    <w:rsid w:val="00FC169F"/>
    <w:rsid w:val="00FC210A"/>
    <w:rsid w:val="00FC220C"/>
    <w:rsid w:val="00FC248D"/>
    <w:rsid w:val="00FC27E9"/>
    <w:rsid w:val="00FC28FA"/>
    <w:rsid w:val="00FC3272"/>
    <w:rsid w:val="00FC3494"/>
    <w:rsid w:val="00FC3727"/>
    <w:rsid w:val="00FC4281"/>
    <w:rsid w:val="00FC4541"/>
    <w:rsid w:val="00FC5528"/>
    <w:rsid w:val="00FC575A"/>
    <w:rsid w:val="00FC5880"/>
    <w:rsid w:val="00FC58EC"/>
    <w:rsid w:val="00FC5ABF"/>
    <w:rsid w:val="00FC5E88"/>
    <w:rsid w:val="00FC5EC0"/>
    <w:rsid w:val="00FC61CF"/>
    <w:rsid w:val="00FC6237"/>
    <w:rsid w:val="00FC6B67"/>
    <w:rsid w:val="00FD0744"/>
    <w:rsid w:val="00FD16BA"/>
    <w:rsid w:val="00FD1EDD"/>
    <w:rsid w:val="00FD238A"/>
    <w:rsid w:val="00FD2D6E"/>
    <w:rsid w:val="00FD4642"/>
    <w:rsid w:val="00FD4738"/>
    <w:rsid w:val="00FD4A7E"/>
    <w:rsid w:val="00FD6279"/>
    <w:rsid w:val="00FD6604"/>
    <w:rsid w:val="00FD66C1"/>
    <w:rsid w:val="00FD6DAD"/>
    <w:rsid w:val="00FD71E9"/>
    <w:rsid w:val="00FD725E"/>
    <w:rsid w:val="00FD74F5"/>
    <w:rsid w:val="00FD7536"/>
    <w:rsid w:val="00FD7677"/>
    <w:rsid w:val="00FD78D2"/>
    <w:rsid w:val="00FD7AC7"/>
    <w:rsid w:val="00FD7D75"/>
    <w:rsid w:val="00FE0112"/>
    <w:rsid w:val="00FE0290"/>
    <w:rsid w:val="00FE0A38"/>
    <w:rsid w:val="00FE107F"/>
    <w:rsid w:val="00FE1220"/>
    <w:rsid w:val="00FE13DF"/>
    <w:rsid w:val="00FE1970"/>
    <w:rsid w:val="00FE1A9E"/>
    <w:rsid w:val="00FE1C00"/>
    <w:rsid w:val="00FE1D16"/>
    <w:rsid w:val="00FE2064"/>
    <w:rsid w:val="00FE22E6"/>
    <w:rsid w:val="00FE2D04"/>
    <w:rsid w:val="00FE5321"/>
    <w:rsid w:val="00FE5498"/>
    <w:rsid w:val="00FE57C0"/>
    <w:rsid w:val="00FF0471"/>
    <w:rsid w:val="00FF04FF"/>
    <w:rsid w:val="00FF06B0"/>
    <w:rsid w:val="00FF137D"/>
    <w:rsid w:val="00FF1586"/>
    <w:rsid w:val="00FF2906"/>
    <w:rsid w:val="00FF2AAB"/>
    <w:rsid w:val="00FF2C11"/>
    <w:rsid w:val="00FF2DBA"/>
    <w:rsid w:val="00FF49C6"/>
    <w:rsid w:val="00FF4BAB"/>
    <w:rsid w:val="00FF5CCD"/>
    <w:rsid w:val="00FF5DDF"/>
    <w:rsid w:val="00FF5E9E"/>
    <w:rsid w:val="00FF66A9"/>
    <w:rsid w:val="00FF6B6B"/>
    <w:rsid w:val="00FF6BA0"/>
    <w:rsid w:val="00FF73A0"/>
    <w:rsid w:val="00FF7FAC"/>
    <w:rsid w:val="02545D3E"/>
    <w:rsid w:val="025E53E1"/>
    <w:rsid w:val="02858DDB"/>
    <w:rsid w:val="028B572B"/>
    <w:rsid w:val="02AD3FB2"/>
    <w:rsid w:val="02E38E5F"/>
    <w:rsid w:val="03A45B37"/>
    <w:rsid w:val="03B63AD6"/>
    <w:rsid w:val="04092E61"/>
    <w:rsid w:val="040C9976"/>
    <w:rsid w:val="0415D8CB"/>
    <w:rsid w:val="042A184D"/>
    <w:rsid w:val="046E99FE"/>
    <w:rsid w:val="051EBDED"/>
    <w:rsid w:val="056BB250"/>
    <w:rsid w:val="05716DD5"/>
    <w:rsid w:val="05825671"/>
    <w:rsid w:val="05B044D8"/>
    <w:rsid w:val="064744D1"/>
    <w:rsid w:val="064F2424"/>
    <w:rsid w:val="0658338A"/>
    <w:rsid w:val="06640563"/>
    <w:rsid w:val="0685A547"/>
    <w:rsid w:val="069C9B17"/>
    <w:rsid w:val="06CD7CCE"/>
    <w:rsid w:val="06D3923D"/>
    <w:rsid w:val="06F6E064"/>
    <w:rsid w:val="082F9C4F"/>
    <w:rsid w:val="089D4F94"/>
    <w:rsid w:val="08A8A705"/>
    <w:rsid w:val="08C59556"/>
    <w:rsid w:val="08E84E4D"/>
    <w:rsid w:val="09061E2C"/>
    <w:rsid w:val="0958CB95"/>
    <w:rsid w:val="09DB3B39"/>
    <w:rsid w:val="0A6C39D2"/>
    <w:rsid w:val="0AB3BFB1"/>
    <w:rsid w:val="0ADA6015"/>
    <w:rsid w:val="0AFF7173"/>
    <w:rsid w:val="0B4FC469"/>
    <w:rsid w:val="0B51FA03"/>
    <w:rsid w:val="0BDDAEB2"/>
    <w:rsid w:val="0BE0D797"/>
    <w:rsid w:val="0D4481B0"/>
    <w:rsid w:val="0DEB7C26"/>
    <w:rsid w:val="0E76F5DD"/>
    <w:rsid w:val="0E8D54AE"/>
    <w:rsid w:val="0E8F65BC"/>
    <w:rsid w:val="0F2E4543"/>
    <w:rsid w:val="0F3766A4"/>
    <w:rsid w:val="0F6F3992"/>
    <w:rsid w:val="104E4C9A"/>
    <w:rsid w:val="115EFCDE"/>
    <w:rsid w:val="11800E7E"/>
    <w:rsid w:val="119B9164"/>
    <w:rsid w:val="11C3336C"/>
    <w:rsid w:val="122E321C"/>
    <w:rsid w:val="1231366F"/>
    <w:rsid w:val="125DACE5"/>
    <w:rsid w:val="12D31121"/>
    <w:rsid w:val="135E87E6"/>
    <w:rsid w:val="137FA782"/>
    <w:rsid w:val="13A042AB"/>
    <w:rsid w:val="13A34B82"/>
    <w:rsid w:val="13A39B41"/>
    <w:rsid w:val="13D46695"/>
    <w:rsid w:val="13D7197F"/>
    <w:rsid w:val="140A6495"/>
    <w:rsid w:val="14211915"/>
    <w:rsid w:val="143D667E"/>
    <w:rsid w:val="145CDAFD"/>
    <w:rsid w:val="14AF24BA"/>
    <w:rsid w:val="14F6ACA1"/>
    <w:rsid w:val="158D77D6"/>
    <w:rsid w:val="15E49928"/>
    <w:rsid w:val="1648AEBA"/>
    <w:rsid w:val="1648DE84"/>
    <w:rsid w:val="1654D9E0"/>
    <w:rsid w:val="1656D338"/>
    <w:rsid w:val="16C2A06C"/>
    <w:rsid w:val="16DCEE77"/>
    <w:rsid w:val="17489E93"/>
    <w:rsid w:val="176FF78D"/>
    <w:rsid w:val="1792564F"/>
    <w:rsid w:val="17B226CD"/>
    <w:rsid w:val="18186DD9"/>
    <w:rsid w:val="1822F605"/>
    <w:rsid w:val="18D03C09"/>
    <w:rsid w:val="1968CC84"/>
    <w:rsid w:val="19901FFE"/>
    <w:rsid w:val="1AA3A0C7"/>
    <w:rsid w:val="1ADCA4BE"/>
    <w:rsid w:val="1BFEFED7"/>
    <w:rsid w:val="1CA2242D"/>
    <w:rsid w:val="1CFA8E0F"/>
    <w:rsid w:val="1D211B34"/>
    <w:rsid w:val="1D565007"/>
    <w:rsid w:val="1D818873"/>
    <w:rsid w:val="1DC41CFF"/>
    <w:rsid w:val="1DDA8416"/>
    <w:rsid w:val="1E705E78"/>
    <w:rsid w:val="1E967834"/>
    <w:rsid w:val="1EB2D364"/>
    <w:rsid w:val="1ECFA4BA"/>
    <w:rsid w:val="1ED28F80"/>
    <w:rsid w:val="1EF91593"/>
    <w:rsid w:val="1F6980D9"/>
    <w:rsid w:val="1F8F12B5"/>
    <w:rsid w:val="20348EF5"/>
    <w:rsid w:val="2069D998"/>
    <w:rsid w:val="2082A441"/>
    <w:rsid w:val="21385F65"/>
    <w:rsid w:val="21B4B2D0"/>
    <w:rsid w:val="22A12022"/>
    <w:rsid w:val="22E2E0DF"/>
    <w:rsid w:val="2336DF99"/>
    <w:rsid w:val="23619F21"/>
    <w:rsid w:val="2373943F"/>
    <w:rsid w:val="23DEFF25"/>
    <w:rsid w:val="2453E6A6"/>
    <w:rsid w:val="245CED64"/>
    <w:rsid w:val="2506BAC7"/>
    <w:rsid w:val="250E6725"/>
    <w:rsid w:val="251C56DD"/>
    <w:rsid w:val="25A8215A"/>
    <w:rsid w:val="25A9AE00"/>
    <w:rsid w:val="25CCA3FA"/>
    <w:rsid w:val="25F56272"/>
    <w:rsid w:val="262BDFC7"/>
    <w:rsid w:val="2685CAAA"/>
    <w:rsid w:val="26D2139F"/>
    <w:rsid w:val="26E780C0"/>
    <w:rsid w:val="2704889F"/>
    <w:rsid w:val="2707CD21"/>
    <w:rsid w:val="272059F1"/>
    <w:rsid w:val="273D1349"/>
    <w:rsid w:val="27488753"/>
    <w:rsid w:val="27C40AB4"/>
    <w:rsid w:val="27C96BA6"/>
    <w:rsid w:val="27E1F29E"/>
    <w:rsid w:val="27F86E2C"/>
    <w:rsid w:val="285DCCF9"/>
    <w:rsid w:val="2866B94D"/>
    <w:rsid w:val="2886A951"/>
    <w:rsid w:val="28AA3BFB"/>
    <w:rsid w:val="28F81BE2"/>
    <w:rsid w:val="29DCA2DE"/>
    <w:rsid w:val="2AC15703"/>
    <w:rsid w:val="2AC8B075"/>
    <w:rsid w:val="2B179461"/>
    <w:rsid w:val="2B3F6474"/>
    <w:rsid w:val="2B6ABBA5"/>
    <w:rsid w:val="2C3847CE"/>
    <w:rsid w:val="2C97C924"/>
    <w:rsid w:val="2C9EEA90"/>
    <w:rsid w:val="2D1ECC56"/>
    <w:rsid w:val="2D5958D8"/>
    <w:rsid w:val="2DBA5409"/>
    <w:rsid w:val="2DD5726D"/>
    <w:rsid w:val="2DEFEB64"/>
    <w:rsid w:val="2E0CF960"/>
    <w:rsid w:val="2E35B5D7"/>
    <w:rsid w:val="2E68ACC7"/>
    <w:rsid w:val="2E7BA889"/>
    <w:rsid w:val="2EBA29AD"/>
    <w:rsid w:val="2ED73938"/>
    <w:rsid w:val="2EDA8714"/>
    <w:rsid w:val="2EF11896"/>
    <w:rsid w:val="2F5D96CE"/>
    <w:rsid w:val="2F6185EA"/>
    <w:rsid w:val="2FDEB2E7"/>
    <w:rsid w:val="30558722"/>
    <w:rsid w:val="306BC4C3"/>
    <w:rsid w:val="30A88A9D"/>
    <w:rsid w:val="31591AC8"/>
    <w:rsid w:val="31603F18"/>
    <w:rsid w:val="31947602"/>
    <w:rsid w:val="319CD252"/>
    <w:rsid w:val="31E59FC7"/>
    <w:rsid w:val="32356BCF"/>
    <w:rsid w:val="324A09BF"/>
    <w:rsid w:val="32C6991C"/>
    <w:rsid w:val="32C8784F"/>
    <w:rsid w:val="3308B3CA"/>
    <w:rsid w:val="334FE386"/>
    <w:rsid w:val="335968F6"/>
    <w:rsid w:val="33C86FF0"/>
    <w:rsid w:val="33CB4F4B"/>
    <w:rsid w:val="342A2578"/>
    <w:rsid w:val="344907EA"/>
    <w:rsid w:val="35EF1B6C"/>
    <w:rsid w:val="360FD1EF"/>
    <w:rsid w:val="36172E39"/>
    <w:rsid w:val="36604309"/>
    <w:rsid w:val="366605AC"/>
    <w:rsid w:val="36BAC179"/>
    <w:rsid w:val="3749EE71"/>
    <w:rsid w:val="3752B1E2"/>
    <w:rsid w:val="377FE19E"/>
    <w:rsid w:val="378E3695"/>
    <w:rsid w:val="37D478ED"/>
    <w:rsid w:val="37D6320C"/>
    <w:rsid w:val="37DDBABA"/>
    <w:rsid w:val="384AAA1D"/>
    <w:rsid w:val="391BDC12"/>
    <w:rsid w:val="39729630"/>
    <w:rsid w:val="3A89278B"/>
    <w:rsid w:val="3A8E0B8B"/>
    <w:rsid w:val="3AAA85AC"/>
    <w:rsid w:val="3AB29BAA"/>
    <w:rsid w:val="3B1073D2"/>
    <w:rsid w:val="3B12298E"/>
    <w:rsid w:val="3B912864"/>
    <w:rsid w:val="3B91823E"/>
    <w:rsid w:val="3BE40DCB"/>
    <w:rsid w:val="3C4BDCD7"/>
    <w:rsid w:val="3C8E4872"/>
    <w:rsid w:val="3CAC615C"/>
    <w:rsid w:val="3CFDA142"/>
    <w:rsid w:val="3D05B590"/>
    <w:rsid w:val="3D62F86A"/>
    <w:rsid w:val="3D7D0E2A"/>
    <w:rsid w:val="3DDD08F8"/>
    <w:rsid w:val="3E1A2650"/>
    <w:rsid w:val="3F0FAB06"/>
    <w:rsid w:val="3F308ADC"/>
    <w:rsid w:val="3F400480"/>
    <w:rsid w:val="3FC13879"/>
    <w:rsid w:val="3FD6290F"/>
    <w:rsid w:val="40E8466C"/>
    <w:rsid w:val="40E87B4D"/>
    <w:rsid w:val="410C9F51"/>
    <w:rsid w:val="414C9ABD"/>
    <w:rsid w:val="41951E31"/>
    <w:rsid w:val="41A9562F"/>
    <w:rsid w:val="41CFD200"/>
    <w:rsid w:val="42064FE3"/>
    <w:rsid w:val="4223572C"/>
    <w:rsid w:val="42602A51"/>
    <w:rsid w:val="42709D36"/>
    <w:rsid w:val="42994F7E"/>
    <w:rsid w:val="42A89908"/>
    <w:rsid w:val="42C8E741"/>
    <w:rsid w:val="436A8419"/>
    <w:rsid w:val="43E4CE43"/>
    <w:rsid w:val="44571E0A"/>
    <w:rsid w:val="44BC0551"/>
    <w:rsid w:val="45AACACB"/>
    <w:rsid w:val="46B39FBB"/>
    <w:rsid w:val="470758AD"/>
    <w:rsid w:val="4709E8D8"/>
    <w:rsid w:val="47388070"/>
    <w:rsid w:val="476B7AA8"/>
    <w:rsid w:val="47721FE6"/>
    <w:rsid w:val="478E7DC9"/>
    <w:rsid w:val="47C0ED72"/>
    <w:rsid w:val="47CC89B6"/>
    <w:rsid w:val="47E1F3D3"/>
    <w:rsid w:val="48096663"/>
    <w:rsid w:val="4848CB26"/>
    <w:rsid w:val="486B6709"/>
    <w:rsid w:val="48989E40"/>
    <w:rsid w:val="48F3F374"/>
    <w:rsid w:val="4918DC10"/>
    <w:rsid w:val="492F95C9"/>
    <w:rsid w:val="495F8D0F"/>
    <w:rsid w:val="496EC08F"/>
    <w:rsid w:val="49D16C50"/>
    <w:rsid w:val="4A15944C"/>
    <w:rsid w:val="4A2C99D5"/>
    <w:rsid w:val="4A502FA8"/>
    <w:rsid w:val="4AC12B00"/>
    <w:rsid w:val="4B688906"/>
    <w:rsid w:val="4BA381BA"/>
    <w:rsid w:val="4C02186A"/>
    <w:rsid w:val="4C9A654C"/>
    <w:rsid w:val="4CDE8914"/>
    <w:rsid w:val="4D088107"/>
    <w:rsid w:val="4D11D198"/>
    <w:rsid w:val="4DB1F04D"/>
    <w:rsid w:val="4E27CF2F"/>
    <w:rsid w:val="4E707F3C"/>
    <w:rsid w:val="4EA6D129"/>
    <w:rsid w:val="4EC13463"/>
    <w:rsid w:val="4EED0DD4"/>
    <w:rsid w:val="4F03BB4A"/>
    <w:rsid w:val="4F2AFC4A"/>
    <w:rsid w:val="4FC0924E"/>
    <w:rsid w:val="4FDFEC2E"/>
    <w:rsid w:val="4FEA9CC7"/>
    <w:rsid w:val="501D2E78"/>
    <w:rsid w:val="502CF84C"/>
    <w:rsid w:val="50775372"/>
    <w:rsid w:val="50DED38D"/>
    <w:rsid w:val="5166F7F6"/>
    <w:rsid w:val="518B2543"/>
    <w:rsid w:val="51FD69F0"/>
    <w:rsid w:val="520D8487"/>
    <w:rsid w:val="5218ECF7"/>
    <w:rsid w:val="523F2903"/>
    <w:rsid w:val="529E331D"/>
    <w:rsid w:val="533584EB"/>
    <w:rsid w:val="53849555"/>
    <w:rsid w:val="53E195C4"/>
    <w:rsid w:val="541E100D"/>
    <w:rsid w:val="54AE1F99"/>
    <w:rsid w:val="54F0F944"/>
    <w:rsid w:val="5536E7B0"/>
    <w:rsid w:val="555BA0DC"/>
    <w:rsid w:val="55A9F19E"/>
    <w:rsid w:val="55B8B80E"/>
    <w:rsid w:val="55C28833"/>
    <w:rsid w:val="566C4CE9"/>
    <w:rsid w:val="56C502FC"/>
    <w:rsid w:val="56EEFA8E"/>
    <w:rsid w:val="5714C51A"/>
    <w:rsid w:val="57213633"/>
    <w:rsid w:val="57305837"/>
    <w:rsid w:val="573947F2"/>
    <w:rsid w:val="5770E834"/>
    <w:rsid w:val="57CD8762"/>
    <w:rsid w:val="581569B0"/>
    <w:rsid w:val="58B8AA49"/>
    <w:rsid w:val="58D00BB1"/>
    <w:rsid w:val="590A9BD0"/>
    <w:rsid w:val="59184877"/>
    <w:rsid w:val="5937BD1B"/>
    <w:rsid w:val="593D700A"/>
    <w:rsid w:val="59424DDE"/>
    <w:rsid w:val="5A56D245"/>
    <w:rsid w:val="5A94DAEB"/>
    <w:rsid w:val="5AE292C1"/>
    <w:rsid w:val="5AE5133D"/>
    <w:rsid w:val="5AEA67B1"/>
    <w:rsid w:val="5B421041"/>
    <w:rsid w:val="5B47048C"/>
    <w:rsid w:val="5B53DE07"/>
    <w:rsid w:val="5BB255D0"/>
    <w:rsid w:val="5BC36C9B"/>
    <w:rsid w:val="5BF168CE"/>
    <w:rsid w:val="5C154431"/>
    <w:rsid w:val="5C174018"/>
    <w:rsid w:val="5C6BB9CD"/>
    <w:rsid w:val="5C804A86"/>
    <w:rsid w:val="5CDF857D"/>
    <w:rsid w:val="5CF01FE3"/>
    <w:rsid w:val="5CF07285"/>
    <w:rsid w:val="5D99E179"/>
    <w:rsid w:val="5DB76A42"/>
    <w:rsid w:val="5DF1D7C9"/>
    <w:rsid w:val="5E48A180"/>
    <w:rsid w:val="5E51252C"/>
    <w:rsid w:val="5E85BD5F"/>
    <w:rsid w:val="5EA6BB47"/>
    <w:rsid w:val="5EB3F569"/>
    <w:rsid w:val="5EC64183"/>
    <w:rsid w:val="5EF27348"/>
    <w:rsid w:val="60488C6E"/>
    <w:rsid w:val="609243DA"/>
    <w:rsid w:val="60FF8F46"/>
    <w:rsid w:val="617017E6"/>
    <w:rsid w:val="61A7F7D5"/>
    <w:rsid w:val="61BE48E3"/>
    <w:rsid w:val="61C6A48F"/>
    <w:rsid w:val="6205ED17"/>
    <w:rsid w:val="62758A81"/>
    <w:rsid w:val="62ABC77A"/>
    <w:rsid w:val="62D9042B"/>
    <w:rsid w:val="63459037"/>
    <w:rsid w:val="63AC3783"/>
    <w:rsid w:val="63B115F9"/>
    <w:rsid w:val="64645FD8"/>
    <w:rsid w:val="64A621BC"/>
    <w:rsid w:val="653FD43A"/>
    <w:rsid w:val="656E527C"/>
    <w:rsid w:val="657F5056"/>
    <w:rsid w:val="6599B9BF"/>
    <w:rsid w:val="65A1EDDB"/>
    <w:rsid w:val="65C83825"/>
    <w:rsid w:val="65DF1326"/>
    <w:rsid w:val="65F558CF"/>
    <w:rsid w:val="6603A084"/>
    <w:rsid w:val="66331E96"/>
    <w:rsid w:val="6651A32E"/>
    <w:rsid w:val="6670003D"/>
    <w:rsid w:val="667FB97C"/>
    <w:rsid w:val="6687AD8E"/>
    <w:rsid w:val="66E7ACB4"/>
    <w:rsid w:val="670C0EDB"/>
    <w:rsid w:val="67718543"/>
    <w:rsid w:val="67DBB93C"/>
    <w:rsid w:val="67DE7BF2"/>
    <w:rsid w:val="682A70F8"/>
    <w:rsid w:val="6892844F"/>
    <w:rsid w:val="68D01A67"/>
    <w:rsid w:val="696AF223"/>
    <w:rsid w:val="69A35A51"/>
    <w:rsid w:val="6AD75B0C"/>
    <w:rsid w:val="6ADB83C3"/>
    <w:rsid w:val="6B04E4F9"/>
    <w:rsid w:val="6B2737E1"/>
    <w:rsid w:val="6B4F98D6"/>
    <w:rsid w:val="6B515142"/>
    <w:rsid w:val="6B767C34"/>
    <w:rsid w:val="6BCC4917"/>
    <w:rsid w:val="6C6574CB"/>
    <w:rsid w:val="6C9DE399"/>
    <w:rsid w:val="6CAAAC02"/>
    <w:rsid w:val="6CF3556D"/>
    <w:rsid w:val="6D10B01A"/>
    <w:rsid w:val="6D456E63"/>
    <w:rsid w:val="6E60B26E"/>
    <w:rsid w:val="6F163FD3"/>
    <w:rsid w:val="6F1E0C91"/>
    <w:rsid w:val="6F581F4B"/>
    <w:rsid w:val="6F6DEBEA"/>
    <w:rsid w:val="6FA16A7F"/>
    <w:rsid w:val="6FAAB6D4"/>
    <w:rsid w:val="6FC29BC6"/>
    <w:rsid w:val="70426A4F"/>
    <w:rsid w:val="70B5480D"/>
    <w:rsid w:val="70B585F0"/>
    <w:rsid w:val="71245BE1"/>
    <w:rsid w:val="71544EEE"/>
    <w:rsid w:val="715BEE0D"/>
    <w:rsid w:val="7175BFD7"/>
    <w:rsid w:val="71787A98"/>
    <w:rsid w:val="71B7A867"/>
    <w:rsid w:val="727C4479"/>
    <w:rsid w:val="72FF6D78"/>
    <w:rsid w:val="731EECA1"/>
    <w:rsid w:val="736F7299"/>
    <w:rsid w:val="743B0878"/>
    <w:rsid w:val="746970BB"/>
    <w:rsid w:val="74A04F00"/>
    <w:rsid w:val="74AE174F"/>
    <w:rsid w:val="76A5E4E4"/>
    <w:rsid w:val="76D337F8"/>
    <w:rsid w:val="76DEF791"/>
    <w:rsid w:val="76EC91C6"/>
    <w:rsid w:val="770FCEE9"/>
    <w:rsid w:val="77118A6E"/>
    <w:rsid w:val="78576924"/>
    <w:rsid w:val="78AF5460"/>
    <w:rsid w:val="78DF6B3E"/>
    <w:rsid w:val="793790BA"/>
    <w:rsid w:val="79AC8E42"/>
    <w:rsid w:val="79AFACE4"/>
    <w:rsid w:val="7A001AE9"/>
    <w:rsid w:val="7A625832"/>
    <w:rsid w:val="7AC2405D"/>
    <w:rsid w:val="7B135EFA"/>
    <w:rsid w:val="7B7A2045"/>
    <w:rsid w:val="7C195AA8"/>
    <w:rsid w:val="7D3E80DC"/>
    <w:rsid w:val="7D8CE627"/>
    <w:rsid w:val="7DA5B892"/>
    <w:rsid w:val="7DFAE7A7"/>
    <w:rsid w:val="7E17B49F"/>
    <w:rsid w:val="7E1C8054"/>
    <w:rsid w:val="7E836E7B"/>
    <w:rsid w:val="7EB3E3EB"/>
    <w:rsid w:val="7F084FD9"/>
    <w:rsid w:val="7F3EDD6D"/>
    <w:rsid w:val="7F82912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AFB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58A"/>
    <w:pPr>
      <w:spacing w:before="120" w:after="120"/>
    </w:pPr>
    <w:rPr>
      <w:rFonts w:ascii="Calibri Light" w:eastAsia="Times New Roman" w:hAnsi="Calibri Light" w:cs="Times New Roman"/>
      <w:kern w:val="0"/>
      <w:szCs w:val="20"/>
      <w:lang w:eastAsia="en-AU"/>
    </w:rPr>
  </w:style>
  <w:style w:type="paragraph" w:styleId="Heading1">
    <w:name w:val="heading 1"/>
    <w:basedOn w:val="HeadingBase"/>
    <w:next w:val="Normal"/>
    <w:link w:val="Heading1Char"/>
    <w:qFormat/>
    <w:rsid w:val="00A57280"/>
    <w:pPr>
      <w:spacing w:before="600" w:line="460" w:lineRule="exact"/>
      <w:outlineLvl w:val="0"/>
    </w:pPr>
    <w:rPr>
      <w:b/>
      <w:bCs w:val="0"/>
      <w:color w:val="A5A5A5" w:themeColor="accent3"/>
      <w:sz w:val="44"/>
    </w:rPr>
  </w:style>
  <w:style w:type="paragraph" w:styleId="Heading2">
    <w:name w:val="heading 2"/>
    <w:basedOn w:val="HeadingBase"/>
    <w:next w:val="Normal"/>
    <w:link w:val="Heading2Char"/>
    <w:qFormat/>
    <w:rsid w:val="00A57280"/>
    <w:pPr>
      <w:spacing w:before="360" w:line="460" w:lineRule="exact"/>
      <w:outlineLvl w:val="1"/>
    </w:pPr>
    <w:rPr>
      <w:bCs w:val="0"/>
      <w:iCs/>
      <w:color w:val="4472C4" w:themeColor="accent1"/>
      <w:sz w:val="36"/>
      <w:szCs w:val="28"/>
    </w:rPr>
  </w:style>
  <w:style w:type="paragraph" w:styleId="Heading3">
    <w:name w:val="heading 3"/>
    <w:basedOn w:val="HeadingBase"/>
    <w:next w:val="Normal"/>
    <w:link w:val="Heading3Char"/>
    <w:qFormat/>
    <w:rsid w:val="00A57280"/>
    <w:pPr>
      <w:spacing w:before="320" w:after="0" w:line="276" w:lineRule="auto"/>
      <w:outlineLvl w:val="2"/>
    </w:pPr>
    <w:rPr>
      <w:b/>
      <w:bCs w:val="0"/>
      <w:color w:val="ED7D31" w:themeColor="accent2"/>
      <w:sz w:val="28"/>
      <w:szCs w:val="26"/>
    </w:rPr>
  </w:style>
  <w:style w:type="paragraph" w:styleId="Heading4">
    <w:name w:val="heading 4"/>
    <w:basedOn w:val="HeadingBase"/>
    <w:next w:val="Normal"/>
    <w:link w:val="Heading4Char"/>
    <w:qFormat/>
    <w:rsid w:val="00A57280"/>
    <w:pPr>
      <w:spacing w:before="280" w:after="0" w:line="276" w:lineRule="auto"/>
      <w:outlineLvl w:val="3"/>
    </w:pPr>
    <w:rPr>
      <w:rFonts w:ascii="Calibri Light" w:hAnsi="Calibri Light"/>
      <w:bCs w:val="0"/>
      <w:color w:val="ED7D31" w:themeColor="accent2"/>
      <w:sz w:val="24"/>
      <w:szCs w:val="26"/>
    </w:rPr>
  </w:style>
  <w:style w:type="paragraph" w:styleId="Heading5">
    <w:name w:val="heading 5"/>
    <w:basedOn w:val="HeadingBase"/>
    <w:next w:val="Normal"/>
    <w:link w:val="Heading5Char"/>
    <w:rsid w:val="00A57280"/>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A57280"/>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7280"/>
    <w:rPr>
      <w:rFonts w:ascii="Calibri" w:eastAsia="Times New Roman" w:hAnsi="Calibri" w:cs="Arial"/>
      <w:b/>
      <w:color w:val="A5A5A5" w:themeColor="accent3"/>
      <w:kern w:val="32"/>
      <w:sz w:val="44"/>
      <w:szCs w:val="36"/>
      <w:lang w:eastAsia="en-AU"/>
    </w:rPr>
  </w:style>
  <w:style w:type="character" w:customStyle="1" w:styleId="Heading2Char">
    <w:name w:val="Heading 2 Char"/>
    <w:basedOn w:val="DefaultParagraphFont"/>
    <w:link w:val="Heading2"/>
    <w:rsid w:val="00A57280"/>
    <w:rPr>
      <w:rFonts w:ascii="Calibri" w:eastAsia="Times New Roman" w:hAnsi="Calibri" w:cs="Arial"/>
      <w:iCs/>
      <w:color w:val="4472C4" w:themeColor="accent1"/>
      <w:kern w:val="32"/>
      <w:sz w:val="36"/>
      <w:szCs w:val="28"/>
      <w:lang w:eastAsia="en-AU"/>
    </w:rPr>
  </w:style>
  <w:style w:type="character" w:customStyle="1" w:styleId="Heading3Char">
    <w:name w:val="Heading 3 Char"/>
    <w:basedOn w:val="DefaultParagraphFont"/>
    <w:link w:val="Heading3"/>
    <w:rsid w:val="00A57280"/>
    <w:rPr>
      <w:rFonts w:ascii="Calibri" w:eastAsia="Times New Roman" w:hAnsi="Calibri" w:cs="Arial"/>
      <w:b/>
      <w:color w:val="ED7D31" w:themeColor="accent2"/>
      <w:kern w:val="32"/>
      <w:sz w:val="28"/>
      <w:szCs w:val="26"/>
      <w:lang w:eastAsia="en-AU"/>
    </w:rPr>
  </w:style>
  <w:style w:type="character" w:customStyle="1" w:styleId="Heading4Char">
    <w:name w:val="Heading 4 Char"/>
    <w:basedOn w:val="DefaultParagraphFont"/>
    <w:link w:val="Heading4"/>
    <w:rsid w:val="00A57280"/>
    <w:rPr>
      <w:rFonts w:ascii="Calibri Light" w:eastAsia="Times New Roman" w:hAnsi="Calibri Light" w:cs="Arial"/>
      <w:color w:val="ED7D31" w:themeColor="accent2"/>
      <w:kern w:val="32"/>
      <w:sz w:val="24"/>
      <w:szCs w:val="26"/>
      <w:lang w:eastAsia="en-AU"/>
    </w:rPr>
  </w:style>
  <w:style w:type="character" w:customStyle="1" w:styleId="Heading5Char">
    <w:name w:val="Heading 5 Char"/>
    <w:basedOn w:val="DefaultParagraphFont"/>
    <w:link w:val="Heading5"/>
    <w:rsid w:val="00A57280"/>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A57280"/>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A57280"/>
    <w:pPr>
      <w:keepNext/>
      <w:spacing w:before="0" w:after="0"/>
      <w:jc w:val="center"/>
    </w:pPr>
    <w:rPr>
      <w:color w:val="004A7F"/>
      <w:sz w:val="20"/>
    </w:rPr>
  </w:style>
  <w:style w:type="paragraph" w:customStyle="1" w:styleId="AlphaParagraph">
    <w:name w:val="Alpha Paragraph"/>
    <w:basedOn w:val="Normal"/>
    <w:qFormat/>
    <w:rsid w:val="004779C0"/>
    <w:pPr>
      <w:numPr>
        <w:ilvl w:val="1"/>
        <w:numId w:val="8"/>
      </w:numPr>
      <w:tabs>
        <w:tab w:val="num" w:pos="360"/>
      </w:tabs>
      <w:spacing w:before="0"/>
      <w:ind w:left="0" w:firstLine="0"/>
    </w:pPr>
  </w:style>
  <w:style w:type="character" w:customStyle="1" w:styleId="DashChar">
    <w:name w:val="Dash Char"/>
    <w:basedOn w:val="DefaultParagraphFont"/>
    <w:link w:val="Dash"/>
    <w:locked/>
    <w:rsid w:val="00A57280"/>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locked/>
    <w:rsid w:val="00A57280"/>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A57280"/>
    <w:rPr>
      <w:rFonts w:ascii="Calibri Light" w:eastAsia="Times New Roman" w:hAnsi="Calibri Light" w:cs="Times New Roman"/>
      <w:szCs w:val="20"/>
      <w:lang w:eastAsia="en-AU"/>
    </w:rPr>
  </w:style>
  <w:style w:type="paragraph" w:customStyle="1" w:styleId="BoxHeading">
    <w:name w:val="Box Heading"/>
    <w:basedOn w:val="Normal"/>
    <w:next w:val="Normal"/>
    <w:rsid w:val="00A57280"/>
    <w:pPr>
      <w:keepNext/>
      <w:spacing w:before="240"/>
    </w:pPr>
    <w:rPr>
      <w:b/>
      <w:color w:val="4472C4" w:themeColor="accent1"/>
      <w:sz w:val="26"/>
      <w:szCs w:val="26"/>
    </w:rPr>
  </w:style>
  <w:style w:type="paragraph" w:customStyle="1" w:styleId="BoxText">
    <w:name w:val="Box Text"/>
    <w:basedOn w:val="Normal"/>
    <w:link w:val="BoxTextChar"/>
    <w:rsid w:val="00A57280"/>
  </w:style>
  <w:style w:type="paragraph" w:customStyle="1" w:styleId="Bullet">
    <w:name w:val="Bullet"/>
    <w:basedOn w:val="Normal"/>
    <w:link w:val="BulletChar"/>
    <w:qFormat/>
    <w:rsid w:val="00A57280"/>
    <w:pPr>
      <w:numPr>
        <w:numId w:val="11"/>
      </w:numPr>
      <w:tabs>
        <w:tab w:val="left" w:pos="720"/>
      </w:tabs>
      <w:spacing w:before="0" w:line="276" w:lineRule="auto"/>
    </w:pPr>
    <w:rPr>
      <w:kern w:val="2"/>
    </w:rPr>
  </w:style>
  <w:style w:type="paragraph" w:customStyle="1" w:styleId="ChartandTableFootnoteAlpha">
    <w:name w:val="Chart and Table Footnote Alpha"/>
    <w:rsid w:val="00A57280"/>
    <w:pPr>
      <w:numPr>
        <w:numId w:val="6"/>
      </w:numPr>
      <w:tabs>
        <w:tab w:val="num" w:pos="284"/>
      </w:tabs>
      <w:ind w:left="284" w:hanging="284"/>
      <w:jc w:val="both"/>
    </w:pPr>
    <w:rPr>
      <w:rFonts w:ascii="Calibri" w:eastAsia="Times New Roman" w:hAnsi="Calibri" w:cs="Times New Roman"/>
      <w:color w:val="000000"/>
      <w:kern w:val="0"/>
      <w:sz w:val="18"/>
      <w:szCs w:val="16"/>
      <w:lang w:eastAsia="en-AU"/>
    </w:rPr>
  </w:style>
  <w:style w:type="paragraph" w:customStyle="1" w:styleId="ChartMainHeading">
    <w:name w:val="Chart Main Heading"/>
    <w:basedOn w:val="TableMainHeading"/>
    <w:next w:val="ChartGraphic"/>
    <w:rsid w:val="00A57280"/>
    <w:pPr>
      <w:jc w:val="center"/>
    </w:pPr>
  </w:style>
  <w:style w:type="paragraph" w:customStyle="1" w:styleId="ChartorTableNote">
    <w:name w:val="Chart or Table Note"/>
    <w:next w:val="Normal"/>
    <w:rsid w:val="00A57280"/>
    <w:pPr>
      <w:jc w:val="both"/>
    </w:pPr>
    <w:rPr>
      <w:rFonts w:ascii="Calibri" w:eastAsia="Times New Roman" w:hAnsi="Calibri" w:cs="Times New Roman"/>
      <w:color w:val="000000"/>
      <w:kern w:val="0"/>
      <w:sz w:val="18"/>
      <w:szCs w:val="20"/>
      <w:lang w:eastAsia="en-AU"/>
    </w:rPr>
  </w:style>
  <w:style w:type="paragraph" w:customStyle="1" w:styleId="ChartSecondHeading">
    <w:name w:val="Chart Second Heading"/>
    <w:basedOn w:val="TableSecondHeading"/>
    <w:next w:val="ChartGraphic"/>
    <w:rsid w:val="00A57280"/>
    <w:pPr>
      <w:jc w:val="center"/>
    </w:pPr>
    <w:rPr>
      <w:b w:val="0"/>
      <w:bCs/>
    </w:rPr>
  </w:style>
  <w:style w:type="paragraph" w:customStyle="1" w:styleId="ReportDate">
    <w:name w:val="Report Date"/>
    <w:basedOn w:val="Normal"/>
    <w:link w:val="ReportDateChar"/>
    <w:rsid w:val="00A57280"/>
    <w:pPr>
      <w:keepNext/>
      <w:spacing w:before="0" w:after="360"/>
    </w:pPr>
    <w:rPr>
      <w:color w:val="A5A5A5" w:themeColor="accent3"/>
      <w:sz w:val="32"/>
    </w:rPr>
  </w:style>
  <w:style w:type="paragraph" w:customStyle="1" w:styleId="Dash">
    <w:name w:val="Dash"/>
    <w:basedOn w:val="Normal"/>
    <w:link w:val="DashChar"/>
    <w:qFormat/>
    <w:rsid w:val="00A57280"/>
    <w:pPr>
      <w:numPr>
        <w:ilvl w:val="1"/>
        <w:numId w:val="11"/>
      </w:numPr>
      <w:spacing w:before="0"/>
    </w:pPr>
    <w:rPr>
      <w:kern w:val="2"/>
    </w:rPr>
  </w:style>
  <w:style w:type="paragraph" w:customStyle="1" w:styleId="DoubleDot">
    <w:name w:val="Double Dot"/>
    <w:basedOn w:val="Normal"/>
    <w:link w:val="DoubleDotChar"/>
    <w:qFormat/>
    <w:rsid w:val="00A57280"/>
    <w:pPr>
      <w:numPr>
        <w:ilvl w:val="2"/>
        <w:numId w:val="11"/>
      </w:numPr>
      <w:spacing w:before="0"/>
    </w:pPr>
    <w:rPr>
      <w:kern w:val="2"/>
    </w:rPr>
  </w:style>
  <w:style w:type="paragraph" w:customStyle="1" w:styleId="TableMainHeading">
    <w:name w:val="Table Main Heading"/>
    <w:basedOn w:val="Heading3"/>
    <w:next w:val="Normal"/>
    <w:rsid w:val="00A57280"/>
    <w:pPr>
      <w:spacing w:before="120"/>
    </w:pPr>
    <w:rPr>
      <w:b w:val="0"/>
      <w:sz w:val="26"/>
    </w:rPr>
  </w:style>
  <w:style w:type="paragraph" w:customStyle="1" w:styleId="FooterEven">
    <w:name w:val="Footer Even"/>
    <w:basedOn w:val="Footer"/>
    <w:rsid w:val="00A57280"/>
    <w:pPr>
      <w:keepNext/>
      <w:tabs>
        <w:tab w:val="clear" w:pos="4513"/>
        <w:tab w:val="clear" w:pos="9026"/>
        <w:tab w:val="right" w:pos="9072"/>
      </w:tabs>
      <w:jc w:val="left"/>
    </w:pPr>
    <w:rPr>
      <w:noProof/>
      <w:color w:val="4472C4" w:themeColor="accent1"/>
    </w:rPr>
  </w:style>
  <w:style w:type="paragraph" w:customStyle="1" w:styleId="FooterOdd">
    <w:name w:val="Footer Odd"/>
    <w:basedOn w:val="Footer"/>
    <w:rsid w:val="00A57280"/>
    <w:pPr>
      <w:keepNext/>
      <w:tabs>
        <w:tab w:val="clear" w:pos="4513"/>
        <w:tab w:val="clear" w:pos="9026"/>
        <w:tab w:val="right" w:pos="9072"/>
      </w:tabs>
      <w:jc w:val="right"/>
    </w:pPr>
    <w:rPr>
      <w:color w:val="4472C4" w:themeColor="accent1"/>
    </w:rPr>
  </w:style>
  <w:style w:type="character" w:styleId="Hyperlink">
    <w:name w:val="Hyperlink"/>
    <w:basedOn w:val="DefaultParagraphFont"/>
    <w:uiPriority w:val="99"/>
    <w:rsid w:val="00A57280"/>
    <w:rPr>
      <w:color w:val="3A6FAF"/>
      <w:u w:val="none"/>
    </w:rPr>
  </w:style>
  <w:style w:type="paragraph" w:customStyle="1" w:styleId="OutlineNumbered1">
    <w:name w:val="Outline Numbered 1"/>
    <w:basedOn w:val="Normal"/>
    <w:link w:val="OutlineNumbered1Char"/>
    <w:rsid w:val="00A57280"/>
    <w:pPr>
      <w:numPr>
        <w:numId w:val="5"/>
      </w:numPr>
      <w:spacing w:before="0"/>
    </w:pPr>
  </w:style>
  <w:style w:type="paragraph" w:customStyle="1" w:styleId="OutlineNumbered2">
    <w:name w:val="Outline Numbered 2"/>
    <w:basedOn w:val="Normal"/>
    <w:rsid w:val="00A57280"/>
    <w:pPr>
      <w:numPr>
        <w:ilvl w:val="1"/>
        <w:numId w:val="5"/>
      </w:numPr>
      <w:spacing w:before="0"/>
    </w:pPr>
  </w:style>
  <w:style w:type="paragraph" w:customStyle="1" w:styleId="OutlineNumbered3">
    <w:name w:val="Outline Numbered 3"/>
    <w:basedOn w:val="Normal"/>
    <w:rsid w:val="00A57280"/>
    <w:pPr>
      <w:numPr>
        <w:ilvl w:val="2"/>
        <w:numId w:val="5"/>
      </w:numPr>
      <w:spacing w:before="0"/>
    </w:pPr>
  </w:style>
  <w:style w:type="paragraph" w:customStyle="1" w:styleId="SingleParagraph">
    <w:name w:val="Single Paragraph"/>
    <w:basedOn w:val="Normal"/>
    <w:link w:val="SingleParagraphChar"/>
    <w:rsid w:val="00A57280"/>
    <w:pPr>
      <w:spacing w:before="0" w:after="0"/>
    </w:pPr>
  </w:style>
  <w:style w:type="paragraph" w:customStyle="1" w:styleId="TableSecondHeading">
    <w:name w:val="Table Second Heading"/>
    <w:basedOn w:val="Normal"/>
    <w:next w:val="Normal"/>
    <w:rsid w:val="00A57280"/>
    <w:pPr>
      <w:keepNext/>
      <w:spacing w:before="0" w:after="20"/>
    </w:pPr>
    <w:rPr>
      <w:b/>
      <w:color w:val="004A7F"/>
    </w:rPr>
  </w:style>
  <w:style w:type="paragraph" w:customStyle="1" w:styleId="TableColumnHeadingCentred">
    <w:name w:val="Table Column Heading Centred"/>
    <w:basedOn w:val="TableTextLeft"/>
    <w:rsid w:val="00A57280"/>
    <w:pPr>
      <w:jc w:val="center"/>
    </w:pPr>
    <w:rPr>
      <w:b/>
      <w:color w:val="4472C4" w:themeColor="accent1"/>
      <w:sz w:val="20"/>
    </w:rPr>
  </w:style>
  <w:style w:type="paragraph" w:customStyle="1" w:styleId="TableColumnHeadingLeft">
    <w:name w:val="Table Column Heading Left"/>
    <w:basedOn w:val="TableTextLeft"/>
    <w:rsid w:val="00A57280"/>
    <w:rPr>
      <w:b/>
      <w:color w:val="4472C4" w:themeColor="accent1"/>
      <w:sz w:val="20"/>
    </w:rPr>
  </w:style>
  <w:style w:type="paragraph" w:customStyle="1" w:styleId="TableColumnHeadingRight">
    <w:name w:val="Table Column Heading Right"/>
    <w:basedOn w:val="TableTextLeft"/>
    <w:rsid w:val="00A57280"/>
    <w:pPr>
      <w:jc w:val="right"/>
    </w:pPr>
    <w:rPr>
      <w:b/>
      <w:color w:val="4472C4" w:themeColor="accent1"/>
      <w:sz w:val="20"/>
    </w:rPr>
  </w:style>
  <w:style w:type="table" w:styleId="TableGrid">
    <w:name w:val="Table Grid"/>
    <w:basedOn w:val="TableNormal"/>
    <w:rsid w:val="00A57280"/>
    <w:pPr>
      <w:spacing w:before="40" w:after="40"/>
    </w:pPr>
    <w:rPr>
      <w:rFonts w:ascii="Calibri Light" w:eastAsia="Times New Roman" w:hAnsi="Calibri Light" w:cs="Times New Roman"/>
      <w:kern w:val="0"/>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4472C4" w:themeColor="accent1"/>
        <w:sz w:val="20"/>
      </w:rPr>
      <w:tblPr/>
      <w:tcPr>
        <w:shd w:val="clear" w:color="auto" w:fill="E7E6E6" w:themeFill="background2"/>
      </w:tcPr>
    </w:tblStylePr>
  </w:style>
  <w:style w:type="paragraph" w:customStyle="1" w:styleId="TableTextCentered">
    <w:name w:val="Table Text Centered"/>
    <w:basedOn w:val="TableTextRight"/>
    <w:rsid w:val="00A57280"/>
    <w:pPr>
      <w:jc w:val="center"/>
    </w:pPr>
  </w:style>
  <w:style w:type="paragraph" w:customStyle="1" w:styleId="TableTextLeft">
    <w:name w:val="Table Text Left"/>
    <w:basedOn w:val="TableTextRight"/>
    <w:rsid w:val="00A57280"/>
    <w:pPr>
      <w:jc w:val="left"/>
    </w:pPr>
  </w:style>
  <w:style w:type="paragraph" w:customStyle="1" w:styleId="TableTextRight">
    <w:name w:val="Table Text Right"/>
    <w:basedOn w:val="Normal"/>
    <w:rsid w:val="00A57280"/>
    <w:pPr>
      <w:spacing w:before="40" w:after="40"/>
      <w:jc w:val="right"/>
    </w:pPr>
    <w:rPr>
      <w:color w:val="000000"/>
      <w:sz w:val="18"/>
    </w:rPr>
  </w:style>
  <w:style w:type="paragraph" w:styleId="TOC1">
    <w:name w:val="toc 1"/>
    <w:basedOn w:val="Normal"/>
    <w:next w:val="Normal"/>
    <w:uiPriority w:val="39"/>
    <w:rsid w:val="00091708"/>
    <w:pPr>
      <w:keepNext/>
      <w:tabs>
        <w:tab w:val="right" w:leader="dot" w:pos="9072"/>
      </w:tabs>
      <w:spacing w:before="180" w:after="0"/>
      <w:ind w:right="-2"/>
    </w:pPr>
    <w:rPr>
      <w:b/>
      <w:noProof/>
      <w:color w:val="2C384A"/>
      <w:szCs w:val="22"/>
    </w:rPr>
  </w:style>
  <w:style w:type="paragraph" w:styleId="TOC2">
    <w:name w:val="toc 2"/>
    <w:basedOn w:val="Normal"/>
    <w:next w:val="Normal"/>
    <w:uiPriority w:val="39"/>
    <w:rsid w:val="00D55B1A"/>
    <w:pPr>
      <w:keepNext/>
      <w:tabs>
        <w:tab w:val="right" w:leader="dot" w:pos="9072"/>
      </w:tabs>
      <w:spacing w:before="40" w:after="20"/>
      <w:ind w:right="-2"/>
    </w:pPr>
    <w:rPr>
      <w:noProof/>
      <w:color w:val="5D779D"/>
    </w:rPr>
  </w:style>
  <w:style w:type="paragraph" w:styleId="TOC3">
    <w:name w:val="toc 3"/>
    <w:basedOn w:val="Normal"/>
    <w:next w:val="Normal"/>
    <w:uiPriority w:val="39"/>
    <w:rsid w:val="00D027C0"/>
    <w:pPr>
      <w:tabs>
        <w:tab w:val="right" w:leader="dot" w:pos="9072"/>
      </w:tabs>
      <w:spacing w:before="20" w:after="0"/>
      <w:ind w:left="284" w:right="-2"/>
    </w:pPr>
    <w:rPr>
      <w:rFonts w:cs="Calibri"/>
      <w:noProof/>
      <w:color w:val="000000" w:themeColor="text1"/>
    </w:rPr>
  </w:style>
  <w:style w:type="numbering" w:customStyle="1" w:styleId="OutlineList">
    <w:name w:val="OutlineList"/>
    <w:uiPriority w:val="99"/>
    <w:rsid w:val="00A57280"/>
    <w:pPr>
      <w:numPr>
        <w:numId w:val="4"/>
      </w:numPr>
    </w:pPr>
  </w:style>
  <w:style w:type="numbering" w:customStyle="1" w:styleId="BulletedList">
    <w:name w:val="Bulleted List"/>
    <w:uiPriority w:val="99"/>
    <w:rsid w:val="00A57280"/>
    <w:pPr>
      <w:numPr>
        <w:numId w:val="1"/>
      </w:numPr>
    </w:pPr>
  </w:style>
  <w:style w:type="numbering" w:customStyle="1" w:styleId="BoxBulletedList">
    <w:name w:val="Box Bulleted List"/>
    <w:uiPriority w:val="99"/>
    <w:rsid w:val="00A57280"/>
    <w:pPr>
      <w:numPr>
        <w:numId w:val="2"/>
      </w:numPr>
    </w:pPr>
  </w:style>
  <w:style w:type="numbering" w:customStyle="1" w:styleId="OneLevelList">
    <w:name w:val="OneLevelList"/>
    <w:uiPriority w:val="99"/>
    <w:rsid w:val="00A57280"/>
    <w:pPr>
      <w:numPr>
        <w:numId w:val="3"/>
      </w:numPr>
    </w:pPr>
  </w:style>
  <w:style w:type="numbering" w:customStyle="1" w:styleId="ChartandTableFootnoteAlphaList">
    <w:name w:val="ChartandTableFootnoteAlphaList"/>
    <w:uiPriority w:val="99"/>
    <w:rsid w:val="00A57280"/>
    <w:pPr>
      <w:numPr>
        <w:numId w:val="9"/>
      </w:numPr>
    </w:pPr>
  </w:style>
  <w:style w:type="paragraph" w:customStyle="1" w:styleId="Heading1Numbered">
    <w:name w:val="Heading 1 Numbered"/>
    <w:basedOn w:val="Heading1"/>
    <w:next w:val="Normal"/>
    <w:rsid w:val="00A57280"/>
    <w:pPr>
      <w:numPr>
        <w:numId w:val="7"/>
      </w:numPr>
    </w:pPr>
  </w:style>
  <w:style w:type="character" w:customStyle="1" w:styleId="SingleParagraphChar">
    <w:name w:val="Single Paragraph Char"/>
    <w:basedOn w:val="DefaultParagraphFont"/>
    <w:link w:val="SingleParagraph"/>
    <w:rsid w:val="00A57280"/>
    <w:rPr>
      <w:rFonts w:ascii="Calibri Light" w:eastAsia="Times New Roman" w:hAnsi="Calibri Light" w:cs="Times New Roman"/>
      <w:kern w:val="0"/>
      <w:szCs w:val="20"/>
      <w:lang w:eastAsia="en-AU"/>
    </w:rPr>
  </w:style>
  <w:style w:type="paragraph" w:customStyle="1" w:styleId="Heading2Numbered">
    <w:name w:val="Heading 2 Numbered"/>
    <w:basedOn w:val="Heading2"/>
    <w:next w:val="Normal"/>
    <w:rsid w:val="00A57280"/>
    <w:pPr>
      <w:numPr>
        <w:ilvl w:val="1"/>
        <w:numId w:val="7"/>
      </w:numPr>
      <w:ind w:left="284" w:hanging="284"/>
    </w:pPr>
  </w:style>
  <w:style w:type="paragraph" w:customStyle="1" w:styleId="Heading3Numbered">
    <w:name w:val="Heading 3 Numbered"/>
    <w:basedOn w:val="Heading3"/>
    <w:rsid w:val="00A57280"/>
    <w:pPr>
      <w:numPr>
        <w:ilvl w:val="2"/>
        <w:numId w:val="7"/>
      </w:numPr>
      <w:ind w:left="284" w:hanging="284"/>
    </w:pPr>
  </w:style>
  <w:style w:type="paragraph" w:styleId="Title">
    <w:name w:val="Title"/>
    <w:basedOn w:val="Normal"/>
    <w:next w:val="Normal"/>
    <w:link w:val="TitleChar"/>
    <w:uiPriority w:val="10"/>
    <w:rsid w:val="00A57280"/>
    <w:pPr>
      <w:spacing w:before="0" w:after="300"/>
      <w:contextualSpacing/>
    </w:pPr>
    <w:rPr>
      <w:rFonts w:eastAsiaTheme="majorEastAsia" w:cstheme="majorBidi"/>
      <w:b/>
      <w:color w:val="4472C4" w:themeColor="accent1"/>
      <w:spacing w:val="5"/>
      <w:kern w:val="28"/>
      <w:sz w:val="72"/>
      <w:szCs w:val="52"/>
    </w:rPr>
  </w:style>
  <w:style w:type="character" w:customStyle="1" w:styleId="TitleChar">
    <w:name w:val="Title Char"/>
    <w:basedOn w:val="DefaultParagraphFont"/>
    <w:link w:val="Title"/>
    <w:uiPriority w:val="10"/>
    <w:rsid w:val="00A57280"/>
    <w:rPr>
      <w:rFonts w:ascii="Calibri Light" w:eastAsiaTheme="majorEastAsia" w:hAnsi="Calibri Light" w:cstheme="majorBidi"/>
      <w:b/>
      <w:color w:val="4472C4" w:themeColor="accent1"/>
      <w:spacing w:val="5"/>
      <w:kern w:val="28"/>
      <w:sz w:val="72"/>
      <w:szCs w:val="52"/>
      <w:lang w:eastAsia="en-AU"/>
    </w:rPr>
  </w:style>
  <w:style w:type="paragraph" w:styleId="Subtitle">
    <w:name w:val="Subtitle"/>
    <w:basedOn w:val="Normal"/>
    <w:next w:val="Normal"/>
    <w:link w:val="SubtitleChar"/>
    <w:uiPriority w:val="11"/>
    <w:rsid w:val="00A57280"/>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A57280"/>
    <w:rPr>
      <w:rFonts w:ascii="Calibri Light" w:eastAsiaTheme="majorEastAsia" w:hAnsi="Calibri Light" w:cstheme="majorBidi"/>
      <w:iCs/>
      <w:color w:val="EEEEEE"/>
      <w:kern w:val="0"/>
      <w:sz w:val="44"/>
      <w:szCs w:val="44"/>
      <w:lang w:eastAsia="en-AU"/>
    </w:rPr>
  </w:style>
  <w:style w:type="character" w:styleId="SubtleEmphasis">
    <w:name w:val="Subtle Emphasis"/>
    <w:basedOn w:val="DefaultParagraphFont"/>
    <w:uiPriority w:val="19"/>
    <w:rsid w:val="00A57280"/>
    <w:rPr>
      <w:i/>
      <w:iCs/>
      <w:color w:val="808080" w:themeColor="text1" w:themeTint="7F"/>
    </w:rPr>
  </w:style>
  <w:style w:type="paragraph" w:styleId="Footer">
    <w:name w:val="footer"/>
    <w:basedOn w:val="Normal"/>
    <w:link w:val="FooterChar"/>
    <w:unhideWhenUsed/>
    <w:rsid w:val="00A57280"/>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A57280"/>
    <w:rPr>
      <w:rFonts w:ascii="Calibri Light" w:eastAsia="Times New Roman" w:hAnsi="Calibri Light" w:cs="Times New Roman"/>
      <w:color w:val="002C47"/>
      <w:kern w:val="0"/>
      <w:sz w:val="20"/>
      <w:szCs w:val="20"/>
      <w:lang w:eastAsia="en-AU"/>
    </w:rPr>
  </w:style>
  <w:style w:type="paragraph" w:styleId="Header">
    <w:name w:val="header"/>
    <w:basedOn w:val="Normal"/>
    <w:link w:val="HeaderChar"/>
    <w:uiPriority w:val="99"/>
    <w:unhideWhenUsed/>
    <w:rsid w:val="00A57280"/>
    <w:pPr>
      <w:keepNext/>
      <w:spacing w:before="0" w:after="0"/>
      <w:jc w:val="right"/>
    </w:pPr>
    <w:rPr>
      <w:color w:val="004A7F"/>
      <w:sz w:val="20"/>
    </w:rPr>
  </w:style>
  <w:style w:type="character" w:customStyle="1" w:styleId="HeaderChar">
    <w:name w:val="Header Char"/>
    <w:basedOn w:val="DefaultParagraphFont"/>
    <w:link w:val="Header"/>
    <w:uiPriority w:val="99"/>
    <w:rsid w:val="00A57280"/>
    <w:rPr>
      <w:rFonts w:ascii="Calibri Light" w:eastAsia="Times New Roman" w:hAnsi="Calibri Light" w:cs="Times New Roman"/>
      <w:color w:val="004A7F"/>
      <w:kern w:val="0"/>
      <w:sz w:val="20"/>
      <w:szCs w:val="20"/>
      <w:lang w:eastAsia="en-AU"/>
    </w:rPr>
  </w:style>
  <w:style w:type="character" w:styleId="PlaceholderText">
    <w:name w:val="Placeholder Text"/>
    <w:basedOn w:val="DefaultParagraphFont"/>
    <w:uiPriority w:val="99"/>
    <w:semiHidden/>
    <w:rsid w:val="00A57280"/>
    <w:rPr>
      <w:color w:val="808080"/>
    </w:rPr>
  </w:style>
  <w:style w:type="paragraph" w:customStyle="1" w:styleId="AppendixHeading">
    <w:name w:val="Appendix Heading"/>
    <w:basedOn w:val="Heading1"/>
    <w:next w:val="Normal"/>
    <w:rsid w:val="00A57280"/>
  </w:style>
  <w:style w:type="paragraph" w:customStyle="1" w:styleId="HeadingBase">
    <w:name w:val="Heading Base"/>
    <w:rsid w:val="00A57280"/>
    <w:pPr>
      <w:keepNext/>
      <w:spacing w:after="120"/>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A57280"/>
    <w:rPr>
      <w:rFonts w:ascii="Calibri Light" w:eastAsia="Times New Roman" w:hAnsi="Calibri Light" w:cs="Times New Roman"/>
      <w:color w:val="A5A5A5" w:themeColor="accent3"/>
      <w:kern w:val="0"/>
      <w:sz w:val="32"/>
      <w:szCs w:val="20"/>
      <w:lang w:eastAsia="en-AU"/>
    </w:rPr>
  </w:style>
  <w:style w:type="paragraph" w:customStyle="1" w:styleId="NotesHeading">
    <w:name w:val="Notes Heading"/>
    <w:basedOn w:val="Normal"/>
    <w:rsid w:val="00A57280"/>
    <w:pPr>
      <w:keepNext/>
      <w:spacing w:before="240" w:after="360"/>
      <w:jc w:val="center"/>
    </w:pPr>
    <w:rPr>
      <w:rFonts w:ascii="Century Gothic" w:hAnsi="Century Gothic"/>
      <w:smallCaps/>
      <w:color w:val="44546A" w:themeColor="text2"/>
      <w:sz w:val="36"/>
      <w:szCs w:val="36"/>
    </w:rPr>
  </w:style>
  <w:style w:type="paragraph" w:styleId="ListParagraph">
    <w:name w:val="List Paragraph"/>
    <w:basedOn w:val="Normal"/>
    <w:uiPriority w:val="34"/>
    <w:qFormat/>
    <w:rsid w:val="00A57280"/>
    <w:pPr>
      <w:ind w:left="720"/>
      <w:contextualSpacing/>
    </w:pPr>
  </w:style>
  <w:style w:type="paragraph" w:customStyle="1" w:styleId="TableTextIndented">
    <w:name w:val="Table Text Indented"/>
    <w:basedOn w:val="TableTextLeft"/>
    <w:rsid w:val="00A57280"/>
    <w:pPr>
      <w:ind w:left="284"/>
    </w:pPr>
  </w:style>
  <w:style w:type="paragraph" w:customStyle="1" w:styleId="TableHeadingContinued">
    <w:name w:val="Table Heading Continued"/>
    <w:basedOn w:val="TableMainHeading"/>
    <w:next w:val="TableGraphic"/>
    <w:rsid w:val="00A57280"/>
  </w:style>
  <w:style w:type="paragraph" w:customStyle="1" w:styleId="TableGraphic">
    <w:name w:val="Table Graphic"/>
    <w:basedOn w:val="HeadingBase"/>
    <w:next w:val="Normal"/>
    <w:rsid w:val="00A57280"/>
    <w:pPr>
      <w:spacing w:after="0"/>
    </w:pPr>
  </w:style>
  <w:style w:type="paragraph" w:customStyle="1" w:styleId="HeaderEven">
    <w:name w:val="Header Even"/>
    <w:basedOn w:val="Header"/>
    <w:qFormat/>
    <w:rsid w:val="00A57280"/>
    <w:pPr>
      <w:jc w:val="left"/>
    </w:pPr>
    <w:rPr>
      <w:color w:val="002C47"/>
    </w:rPr>
  </w:style>
  <w:style w:type="paragraph" w:customStyle="1" w:styleId="HeaderOdd">
    <w:name w:val="Header Odd"/>
    <w:basedOn w:val="Header"/>
    <w:qFormat/>
    <w:rsid w:val="00A57280"/>
    <w:rPr>
      <w:color w:val="002C47"/>
    </w:rPr>
  </w:style>
  <w:style w:type="paragraph" w:styleId="FootnoteText">
    <w:name w:val="footnote text"/>
    <w:basedOn w:val="Normal"/>
    <w:link w:val="FootnoteTextChar"/>
    <w:uiPriority w:val="99"/>
    <w:rsid w:val="00A57280"/>
    <w:pPr>
      <w:spacing w:before="0" w:after="0"/>
      <w:ind w:left="397" w:hanging="397"/>
    </w:pPr>
    <w:rPr>
      <w:sz w:val="20"/>
    </w:rPr>
  </w:style>
  <w:style w:type="character" w:customStyle="1" w:styleId="FootnoteTextChar">
    <w:name w:val="Footnote Text Char"/>
    <w:basedOn w:val="DefaultParagraphFont"/>
    <w:link w:val="FootnoteText"/>
    <w:uiPriority w:val="99"/>
    <w:rsid w:val="00A57280"/>
    <w:rPr>
      <w:rFonts w:ascii="Calibri Light" w:eastAsia="Times New Roman" w:hAnsi="Calibri Light" w:cs="Times New Roman"/>
      <w:kern w:val="0"/>
      <w:sz w:val="20"/>
      <w:szCs w:val="20"/>
      <w:lang w:eastAsia="en-AU"/>
    </w:rPr>
  </w:style>
  <w:style w:type="character" w:styleId="FootnoteReference">
    <w:name w:val="footnote reference"/>
    <w:uiPriority w:val="99"/>
    <w:rsid w:val="00A57280"/>
    <w:rPr>
      <w:sz w:val="18"/>
      <w:vertAlign w:val="superscript"/>
      <w:lang w:val="en-GB"/>
    </w:rPr>
  </w:style>
  <w:style w:type="paragraph" w:styleId="BalloonText">
    <w:name w:val="Balloon Text"/>
    <w:basedOn w:val="Normal"/>
    <w:link w:val="BalloonTextChar"/>
    <w:uiPriority w:val="99"/>
    <w:semiHidden/>
    <w:unhideWhenUsed/>
    <w:rsid w:val="00A5728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280"/>
    <w:rPr>
      <w:rFonts w:ascii="Tahoma" w:eastAsia="Times New Roman" w:hAnsi="Tahoma" w:cs="Tahoma"/>
      <w:kern w:val="0"/>
      <w:sz w:val="16"/>
      <w:szCs w:val="16"/>
      <w:lang w:eastAsia="en-AU"/>
    </w:rPr>
  </w:style>
  <w:style w:type="character" w:customStyle="1" w:styleId="BoxTextChar">
    <w:name w:val="Box Text Char"/>
    <w:basedOn w:val="DefaultParagraphFont"/>
    <w:link w:val="BoxText"/>
    <w:locked/>
    <w:rsid w:val="00A57280"/>
    <w:rPr>
      <w:rFonts w:ascii="Calibri Light" w:eastAsia="Times New Roman" w:hAnsi="Calibri Light" w:cs="Times New Roman"/>
      <w:kern w:val="0"/>
      <w:szCs w:val="20"/>
      <w:lang w:eastAsia="en-AU"/>
    </w:rPr>
  </w:style>
  <w:style w:type="paragraph" w:customStyle="1" w:styleId="Boxbullet">
    <w:name w:val="Box bullet"/>
    <w:basedOn w:val="Bullet"/>
    <w:rsid w:val="00A57280"/>
    <w:pPr>
      <w:numPr>
        <w:numId w:val="10"/>
      </w:numPr>
      <w:tabs>
        <w:tab w:val="clear" w:pos="283"/>
        <w:tab w:val="num" w:pos="284"/>
        <w:tab w:val="num" w:pos="520"/>
      </w:tabs>
      <w:spacing w:before="60"/>
    </w:pPr>
    <w:rPr>
      <w:color w:val="0D0D0D" w:themeColor="text1" w:themeTint="F2"/>
    </w:rPr>
  </w:style>
  <w:style w:type="paragraph" w:customStyle="1" w:styleId="Boxdash">
    <w:name w:val="Box dash"/>
    <w:basedOn w:val="Dash"/>
    <w:rsid w:val="00A57280"/>
    <w:pPr>
      <w:numPr>
        <w:numId w:val="10"/>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A57280"/>
    <w:pPr>
      <w:numPr>
        <w:numId w:val="10"/>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A57280"/>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A57280"/>
    <w:rPr>
      <w:sz w:val="16"/>
      <w:szCs w:val="16"/>
    </w:rPr>
  </w:style>
  <w:style w:type="paragraph" w:styleId="CommentText">
    <w:name w:val="annotation text"/>
    <w:basedOn w:val="Normal"/>
    <w:link w:val="CommentTextChar"/>
    <w:uiPriority w:val="99"/>
    <w:unhideWhenUsed/>
    <w:rsid w:val="00A57280"/>
    <w:rPr>
      <w:rFonts w:ascii="Calibri" w:hAnsi="Calibri"/>
      <w:sz w:val="20"/>
    </w:rPr>
  </w:style>
  <w:style w:type="character" w:customStyle="1" w:styleId="CommentTextChar">
    <w:name w:val="Comment Text Char"/>
    <w:basedOn w:val="DefaultParagraphFont"/>
    <w:link w:val="CommentText"/>
    <w:uiPriority w:val="99"/>
    <w:rsid w:val="00A57280"/>
    <w:rPr>
      <w:rFonts w:ascii="Calibri" w:eastAsia="Times New Roman" w:hAnsi="Calibri" w:cs="Times New Roman"/>
      <w:kern w:val="0"/>
      <w:sz w:val="20"/>
      <w:szCs w:val="20"/>
      <w:lang w:eastAsia="en-AU"/>
    </w:rPr>
  </w:style>
  <w:style w:type="paragraph" w:customStyle="1" w:styleId="SecurityClassificationHeader">
    <w:name w:val="Security Classification Header"/>
    <w:link w:val="SecurityClassificationHeaderChar"/>
    <w:rsid w:val="00A57280"/>
    <w:pPr>
      <w:spacing w:before="360" w:after="60" w:line="259" w:lineRule="auto"/>
      <w:jc w:val="center"/>
    </w:pPr>
    <w:rPr>
      <w:rFonts w:ascii="Calibri" w:eastAsia="Times New Roman" w:hAnsi="Calibri" w:cs="Calibri"/>
      <w:b/>
      <w:color w:val="FF0000"/>
      <w:kern w:val="0"/>
      <w:sz w:val="24"/>
      <w:szCs w:val="20"/>
      <w:lang w:eastAsia="en-AU"/>
    </w:rPr>
  </w:style>
  <w:style w:type="character" w:customStyle="1" w:styleId="SecurityClassificationHeaderChar">
    <w:name w:val="Security Classification Header Char"/>
    <w:basedOn w:val="HeaderChar"/>
    <w:link w:val="SecurityClassificationHeader"/>
    <w:rsid w:val="00A57280"/>
    <w:rPr>
      <w:rFonts w:ascii="Calibri" w:eastAsia="Times New Roman" w:hAnsi="Calibri" w:cs="Calibri"/>
      <w:b/>
      <w:color w:val="FF0000"/>
      <w:kern w:val="0"/>
      <w:sz w:val="24"/>
      <w:szCs w:val="20"/>
      <w:lang w:eastAsia="en-AU"/>
    </w:rPr>
  </w:style>
  <w:style w:type="paragraph" w:customStyle="1" w:styleId="SecurityClassificationFooter">
    <w:name w:val="Security Classification Footer"/>
    <w:link w:val="SecurityClassificationFooterChar"/>
    <w:rsid w:val="00A57280"/>
    <w:pPr>
      <w:spacing w:before="360" w:after="60" w:line="259" w:lineRule="auto"/>
      <w:jc w:val="center"/>
    </w:pPr>
    <w:rPr>
      <w:rFonts w:ascii="Calibri" w:eastAsia="Times New Roman" w:hAnsi="Calibri" w:cs="Calibri"/>
      <w:b/>
      <w:color w:val="FF0000"/>
      <w:kern w:val="0"/>
      <w:sz w:val="24"/>
      <w:szCs w:val="20"/>
      <w:lang w:eastAsia="en-AU"/>
    </w:rPr>
  </w:style>
  <w:style w:type="character" w:customStyle="1" w:styleId="SecurityClassificationFooterChar">
    <w:name w:val="Security Classification Footer Char"/>
    <w:basedOn w:val="HeaderChar"/>
    <w:link w:val="SecurityClassificationFooter"/>
    <w:rsid w:val="00A57280"/>
    <w:rPr>
      <w:rFonts w:ascii="Calibri" w:eastAsia="Times New Roman" w:hAnsi="Calibri" w:cs="Calibri"/>
      <w:b/>
      <w:color w:val="FF0000"/>
      <w:kern w:val="0"/>
      <w:sz w:val="24"/>
      <w:szCs w:val="20"/>
      <w:lang w:eastAsia="en-AU"/>
    </w:rPr>
  </w:style>
  <w:style w:type="paragraph" w:customStyle="1" w:styleId="DLMSecurityHeader">
    <w:name w:val="DLM Security Header"/>
    <w:link w:val="DLMSecurityHeaderChar"/>
    <w:rsid w:val="00A57280"/>
    <w:pPr>
      <w:spacing w:before="60" w:after="240" w:line="259" w:lineRule="auto"/>
      <w:jc w:val="center"/>
    </w:pPr>
    <w:rPr>
      <w:rFonts w:ascii="Calibri" w:eastAsia="Times New Roman" w:hAnsi="Calibri" w:cs="Calibri"/>
      <w:b/>
      <w:color w:val="FF0000"/>
      <w:kern w:val="0"/>
      <w:sz w:val="24"/>
      <w:szCs w:val="20"/>
      <w:lang w:eastAsia="en-AU"/>
    </w:rPr>
  </w:style>
  <w:style w:type="character" w:customStyle="1" w:styleId="DLMSecurityHeaderChar">
    <w:name w:val="DLM Security Header Char"/>
    <w:basedOn w:val="HeaderChar"/>
    <w:link w:val="DLMSecurityHeader"/>
    <w:rsid w:val="00A57280"/>
    <w:rPr>
      <w:rFonts w:ascii="Calibri" w:eastAsia="Times New Roman" w:hAnsi="Calibri" w:cs="Calibri"/>
      <w:b/>
      <w:color w:val="FF0000"/>
      <w:kern w:val="0"/>
      <w:sz w:val="24"/>
      <w:szCs w:val="20"/>
      <w:lang w:eastAsia="en-AU"/>
    </w:rPr>
  </w:style>
  <w:style w:type="paragraph" w:customStyle="1" w:styleId="DLMSecurityFooter">
    <w:name w:val="DLM Security Footer"/>
    <w:link w:val="DLMSecurityFooterChar"/>
    <w:rsid w:val="00A57280"/>
    <w:pPr>
      <w:spacing w:before="240" w:after="60" w:line="259" w:lineRule="auto"/>
      <w:jc w:val="center"/>
    </w:pPr>
    <w:rPr>
      <w:rFonts w:ascii="Calibri" w:eastAsia="Times New Roman" w:hAnsi="Calibri" w:cs="Calibri"/>
      <w:b/>
      <w:color w:val="FF0000"/>
      <w:kern w:val="0"/>
      <w:sz w:val="24"/>
      <w:szCs w:val="20"/>
      <w:lang w:eastAsia="en-AU"/>
    </w:rPr>
  </w:style>
  <w:style w:type="character" w:customStyle="1" w:styleId="DLMSecurityFooterChar">
    <w:name w:val="DLM Security Footer Char"/>
    <w:basedOn w:val="HeaderChar"/>
    <w:link w:val="DLMSecurityFooter"/>
    <w:rsid w:val="00A57280"/>
    <w:rPr>
      <w:rFonts w:ascii="Calibri" w:eastAsia="Times New Roman" w:hAnsi="Calibri" w:cs="Calibri"/>
      <w:b/>
      <w:color w:val="FF0000"/>
      <w:kern w:val="0"/>
      <w:sz w:val="24"/>
      <w:szCs w:val="20"/>
      <w:lang w:eastAsia="en-AU"/>
    </w:rPr>
  </w:style>
  <w:style w:type="table" w:styleId="TableGridLight">
    <w:name w:val="Grid Table Light"/>
    <w:basedOn w:val="TableNormal"/>
    <w:uiPriority w:val="40"/>
    <w:rsid w:val="00A57280"/>
    <w:rPr>
      <w:kern w:val="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A57280"/>
    <w:rPr>
      <w:kern w:val="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A57280"/>
    <w:rPr>
      <w:kern w:val="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A57280"/>
    <w:rPr>
      <w:kern w:val="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A57280"/>
    <w:rPr>
      <w:kern w:val="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57280"/>
    <w:rPr>
      <w:kern w:val="0"/>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57280"/>
    <w:rPr>
      <w:kern w:val="0"/>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57280"/>
    <w:rPr>
      <w:kern w:val="0"/>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57280"/>
    <w:rPr>
      <w:kern w:val="0"/>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57280"/>
    <w:rPr>
      <w:kern w:val="0"/>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57280"/>
    <w:rPr>
      <w:kern w:val="0"/>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A57280"/>
    <w:rPr>
      <w:kern w:val="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4">
    <w:name w:val="Grid Table 5 Dark Accent 4"/>
    <w:basedOn w:val="TableNormal"/>
    <w:uiPriority w:val="50"/>
    <w:rsid w:val="00A57280"/>
    <w:rPr>
      <w:kern w:val="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3">
    <w:name w:val="Grid Table 5 Dark Accent 3"/>
    <w:basedOn w:val="TableNormal"/>
    <w:uiPriority w:val="50"/>
    <w:rsid w:val="00A57280"/>
    <w:rPr>
      <w:kern w:val="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4-Accent5">
    <w:name w:val="Grid Table 4 Accent 5"/>
    <w:basedOn w:val="TableNormal"/>
    <w:uiPriority w:val="49"/>
    <w:rsid w:val="00A57280"/>
    <w:rPr>
      <w:kern w:val="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4">
    <w:name w:val="Grid Table 4 Accent 4"/>
    <w:basedOn w:val="TableNormal"/>
    <w:uiPriority w:val="49"/>
    <w:rsid w:val="00A57280"/>
    <w:rPr>
      <w:kern w:val="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3">
    <w:name w:val="Grid Table 4 Accent 3"/>
    <w:basedOn w:val="TableNormal"/>
    <w:uiPriority w:val="49"/>
    <w:rsid w:val="00A57280"/>
    <w:rPr>
      <w:kern w:val="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2">
    <w:name w:val="Grid Table 4 Accent 2"/>
    <w:basedOn w:val="TableNormal"/>
    <w:uiPriority w:val="49"/>
    <w:rsid w:val="00A57280"/>
    <w:rPr>
      <w:kern w:val="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1">
    <w:name w:val="Grid Table 4 Accent 1"/>
    <w:basedOn w:val="TableNormal"/>
    <w:uiPriority w:val="49"/>
    <w:rsid w:val="00A57280"/>
    <w:rPr>
      <w:kern w:val="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
    <w:name w:val="Grid Table 4"/>
    <w:basedOn w:val="TableNormal"/>
    <w:uiPriority w:val="49"/>
    <w:rsid w:val="00A57280"/>
    <w:rPr>
      <w:kern w:val="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6">
    <w:name w:val="Grid Table 5 Dark Accent 6"/>
    <w:basedOn w:val="TableNormal"/>
    <w:uiPriority w:val="50"/>
    <w:rsid w:val="00A57280"/>
    <w:rPr>
      <w:kern w:val="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Accent5">
    <w:name w:val="Grid Table 6 Colorful Accent 5"/>
    <w:basedOn w:val="TableNormal"/>
    <w:uiPriority w:val="51"/>
    <w:rsid w:val="00A57280"/>
    <w:rPr>
      <w:color w:val="2E74B5" w:themeColor="accent5" w:themeShade="BF"/>
      <w:kern w:val="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7Colorful-Accent5">
    <w:name w:val="Grid Table 7 Colorful Accent 5"/>
    <w:basedOn w:val="TableNormal"/>
    <w:uiPriority w:val="52"/>
    <w:rsid w:val="00A57280"/>
    <w:rPr>
      <w:color w:val="2E74B5" w:themeColor="accent5" w:themeShade="BF"/>
      <w:kern w:val="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3">
    <w:name w:val="Grid Table 7 Colorful Accent 3"/>
    <w:basedOn w:val="TableNormal"/>
    <w:uiPriority w:val="52"/>
    <w:rsid w:val="00A57280"/>
    <w:rPr>
      <w:color w:val="7B7B7B" w:themeColor="accent3" w:themeShade="BF"/>
      <w:kern w:val="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ListTable4-Accent5">
    <w:name w:val="List Table 4 Accent 5"/>
    <w:basedOn w:val="TableNormal"/>
    <w:uiPriority w:val="49"/>
    <w:rsid w:val="00A57280"/>
    <w:rPr>
      <w:kern w:val="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A57280"/>
    <w:rPr>
      <w:kern w:val="0"/>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customStyle="1" w:styleId="OutlineNumbered1Char">
    <w:name w:val="Outline Numbered 1 Char"/>
    <w:basedOn w:val="DefaultParagraphFont"/>
    <w:link w:val="OutlineNumbered1"/>
    <w:rsid w:val="00A57280"/>
    <w:rPr>
      <w:rFonts w:ascii="Calibri Light" w:eastAsia="Times New Roman" w:hAnsi="Calibri Light" w:cs="Times New Roman"/>
      <w:kern w:val="0"/>
      <w:szCs w:val="20"/>
      <w:lang w:eastAsia="en-AU"/>
    </w:rPr>
  </w:style>
  <w:style w:type="paragraph" w:customStyle="1" w:styleId="TableColumnHeadingLeft-White">
    <w:name w:val="Table Column Heading Left - White"/>
    <w:basedOn w:val="TableColumnHeadingLeft"/>
    <w:rsid w:val="00A57280"/>
    <w:pPr>
      <w:spacing w:before="120" w:after="120"/>
    </w:pPr>
    <w:rPr>
      <w:rFonts w:ascii="Arial" w:hAnsi="Arial"/>
      <w:color w:val="FFFFFF" w:themeColor="background1"/>
      <w:sz w:val="22"/>
      <w:szCs w:val="22"/>
    </w:rPr>
  </w:style>
  <w:style w:type="character" w:customStyle="1" w:styleId="normaltextrun">
    <w:name w:val="normaltextrun"/>
    <w:basedOn w:val="DefaultParagraphFont"/>
    <w:rsid w:val="00A57280"/>
  </w:style>
  <w:style w:type="character" w:customStyle="1" w:styleId="eop">
    <w:name w:val="eop"/>
    <w:basedOn w:val="DefaultParagraphFont"/>
    <w:rsid w:val="00A57280"/>
  </w:style>
  <w:style w:type="paragraph" w:customStyle="1" w:styleId="Romannumeral">
    <w:name w:val="Roman numeral"/>
    <w:basedOn w:val="Normal"/>
    <w:rsid w:val="00A57280"/>
    <w:pPr>
      <w:tabs>
        <w:tab w:val="num" w:pos="720"/>
      </w:tabs>
      <w:spacing w:before="0" w:after="240" w:line="280" w:lineRule="exact"/>
      <w:ind w:left="720" w:hanging="720"/>
      <w:jc w:val="both"/>
    </w:pPr>
    <w:rPr>
      <w:rFonts w:ascii="Century Gothic" w:hAnsi="Century Gothic"/>
      <w:color w:val="000000" w:themeColor="text1"/>
      <w:szCs w:val="22"/>
    </w:rPr>
  </w:style>
  <w:style w:type="paragraph" w:customStyle="1" w:styleId="Disclaimer">
    <w:name w:val="Disclaimer"/>
    <w:basedOn w:val="ReportDate"/>
    <w:rsid w:val="00A57280"/>
    <w:pPr>
      <w:spacing w:after="0"/>
      <w:ind w:right="142"/>
    </w:pPr>
    <w:rPr>
      <w:rFonts w:ascii="Century Gothic" w:hAnsi="Century Gothic"/>
      <w:bCs/>
      <w:color w:val="5B5E60"/>
      <w:sz w:val="18"/>
      <w:szCs w:val="22"/>
    </w:rPr>
  </w:style>
  <w:style w:type="character" w:styleId="UnresolvedMention">
    <w:name w:val="Unresolved Mention"/>
    <w:basedOn w:val="DefaultParagraphFont"/>
    <w:uiPriority w:val="99"/>
    <w:semiHidden/>
    <w:unhideWhenUsed/>
    <w:rsid w:val="00A5728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57280"/>
    <w:rPr>
      <w:rFonts w:ascii="Calibri Light" w:hAnsi="Calibri Light"/>
      <w:b/>
      <w:bCs/>
    </w:rPr>
  </w:style>
  <w:style w:type="character" w:customStyle="1" w:styleId="CommentSubjectChar">
    <w:name w:val="Comment Subject Char"/>
    <w:basedOn w:val="CommentTextChar"/>
    <w:link w:val="CommentSubject"/>
    <w:uiPriority w:val="99"/>
    <w:semiHidden/>
    <w:rsid w:val="00A57280"/>
    <w:rPr>
      <w:rFonts w:ascii="Calibri Light" w:eastAsia="Times New Roman" w:hAnsi="Calibri Light" w:cs="Times New Roman"/>
      <w:b/>
      <w:bCs/>
      <w:kern w:val="0"/>
      <w:sz w:val="20"/>
      <w:szCs w:val="20"/>
      <w:lang w:eastAsia="en-AU"/>
    </w:rPr>
  </w:style>
  <w:style w:type="paragraph" w:styleId="Revision">
    <w:name w:val="Revision"/>
    <w:hidden/>
    <w:uiPriority w:val="99"/>
    <w:semiHidden/>
    <w:rsid w:val="00A57280"/>
    <w:rPr>
      <w:rFonts w:ascii="Calibri Light" w:eastAsia="Times New Roman" w:hAnsi="Calibri Light" w:cs="Times New Roman"/>
      <w:kern w:val="0"/>
      <w:szCs w:val="20"/>
      <w:lang w:eastAsia="en-AU"/>
    </w:rPr>
  </w:style>
  <w:style w:type="numbering" w:customStyle="1" w:styleId="CurrentList1">
    <w:name w:val="Current List1"/>
    <w:uiPriority w:val="99"/>
    <w:rsid w:val="00A57280"/>
    <w:pPr>
      <w:numPr>
        <w:numId w:val="13"/>
      </w:numPr>
    </w:pPr>
  </w:style>
  <w:style w:type="numbering" w:customStyle="1" w:styleId="CurrentList2">
    <w:name w:val="Current List2"/>
    <w:uiPriority w:val="99"/>
    <w:rsid w:val="00A57280"/>
    <w:pPr>
      <w:numPr>
        <w:numId w:val="14"/>
      </w:numPr>
    </w:pPr>
  </w:style>
  <w:style w:type="paragraph" w:customStyle="1" w:styleId="AusNCPbodytext">
    <w:name w:val="AusNCP body text"/>
    <w:basedOn w:val="OutlineNumbered1"/>
    <w:qFormat/>
    <w:rsid w:val="00A57280"/>
    <w:pPr>
      <w:numPr>
        <w:numId w:val="0"/>
      </w:numPr>
      <w:spacing w:after="240" w:line="280" w:lineRule="exact"/>
      <w:ind w:left="360" w:hanging="360"/>
      <w:jc w:val="both"/>
    </w:pPr>
    <w:rPr>
      <w:iCs/>
    </w:rPr>
  </w:style>
  <w:style w:type="numbering" w:customStyle="1" w:styleId="CurrentList3">
    <w:name w:val="Current List3"/>
    <w:uiPriority w:val="99"/>
    <w:rsid w:val="00A57280"/>
    <w:pPr>
      <w:numPr>
        <w:numId w:val="15"/>
      </w:numPr>
    </w:pPr>
  </w:style>
  <w:style w:type="numbering" w:customStyle="1" w:styleId="CurrentList4">
    <w:name w:val="Current List4"/>
    <w:uiPriority w:val="99"/>
    <w:rsid w:val="00A57280"/>
    <w:pPr>
      <w:numPr>
        <w:numId w:val="16"/>
      </w:numPr>
    </w:pPr>
  </w:style>
  <w:style w:type="paragraph" w:styleId="NormalWeb">
    <w:name w:val="Normal (Web)"/>
    <w:basedOn w:val="Normal"/>
    <w:uiPriority w:val="99"/>
    <w:semiHidden/>
    <w:unhideWhenUsed/>
    <w:rsid w:val="00A57280"/>
    <w:pPr>
      <w:spacing w:before="100" w:beforeAutospacing="1" w:after="100" w:afterAutospacing="1"/>
    </w:pPr>
    <w:rPr>
      <w:rFonts w:ascii="Calibri" w:eastAsiaTheme="minorHAnsi" w:hAnsi="Calibri" w:cs="Calibri"/>
      <w:szCs w:val="22"/>
    </w:rPr>
  </w:style>
  <w:style w:type="paragraph" w:customStyle="1" w:styleId="EndNoteBibliographyTitle">
    <w:name w:val="EndNote Bibliography Title"/>
    <w:basedOn w:val="Normal"/>
    <w:link w:val="EndNoteBibliographyTitleChar"/>
    <w:rsid w:val="00A57280"/>
    <w:pPr>
      <w:spacing w:after="0"/>
      <w:jc w:val="center"/>
    </w:pPr>
    <w:rPr>
      <w:rFonts w:cs="Calibri Light"/>
      <w:noProof/>
    </w:rPr>
  </w:style>
  <w:style w:type="character" w:customStyle="1" w:styleId="EndNoteBibliographyTitleChar">
    <w:name w:val="EndNote Bibliography Title Char"/>
    <w:basedOn w:val="OutlineNumbered1Char"/>
    <w:link w:val="EndNoteBibliographyTitle"/>
    <w:rsid w:val="00A57280"/>
    <w:rPr>
      <w:rFonts w:ascii="Calibri Light" w:eastAsia="Times New Roman" w:hAnsi="Calibri Light" w:cs="Calibri Light"/>
      <w:noProof/>
      <w:kern w:val="0"/>
      <w:szCs w:val="20"/>
      <w:lang w:eastAsia="en-AU"/>
    </w:rPr>
  </w:style>
  <w:style w:type="paragraph" w:customStyle="1" w:styleId="EndNoteBibliography">
    <w:name w:val="EndNote Bibliography"/>
    <w:basedOn w:val="Normal"/>
    <w:link w:val="EndNoteBibliographyChar"/>
    <w:rsid w:val="00A57280"/>
    <w:rPr>
      <w:rFonts w:cs="Calibri Light"/>
      <w:noProof/>
    </w:rPr>
  </w:style>
  <w:style w:type="character" w:customStyle="1" w:styleId="EndNoteBibliographyChar">
    <w:name w:val="EndNote Bibliography Char"/>
    <w:basedOn w:val="OutlineNumbered1Char"/>
    <w:link w:val="EndNoteBibliography"/>
    <w:rsid w:val="00A57280"/>
    <w:rPr>
      <w:rFonts w:ascii="Calibri Light" w:eastAsia="Times New Roman" w:hAnsi="Calibri Light" w:cs="Calibri Light"/>
      <w:noProof/>
      <w:kern w:val="0"/>
      <w:szCs w:val="20"/>
      <w:lang w:eastAsia="en-AU"/>
    </w:rPr>
  </w:style>
  <w:style w:type="paragraph" w:styleId="EndnoteText">
    <w:name w:val="endnote text"/>
    <w:basedOn w:val="Normal"/>
    <w:link w:val="EndnoteTextChar"/>
    <w:unhideWhenUsed/>
    <w:rsid w:val="00A57280"/>
    <w:pPr>
      <w:spacing w:before="0" w:after="0"/>
    </w:pPr>
    <w:rPr>
      <w:rFonts w:asciiTheme="minorHAnsi" w:eastAsiaTheme="minorHAnsi" w:hAnsiTheme="minorHAnsi" w:cstheme="minorBidi"/>
      <w:sz w:val="20"/>
      <w:lang w:eastAsia="en-US"/>
    </w:rPr>
  </w:style>
  <w:style w:type="character" w:customStyle="1" w:styleId="EndnoteTextChar">
    <w:name w:val="Endnote Text Char"/>
    <w:basedOn w:val="DefaultParagraphFont"/>
    <w:link w:val="EndnoteText"/>
    <w:rsid w:val="00A57280"/>
    <w:rPr>
      <w:kern w:val="0"/>
      <w:sz w:val="20"/>
      <w:szCs w:val="20"/>
    </w:rPr>
  </w:style>
  <w:style w:type="character" w:styleId="EndnoteReference">
    <w:name w:val="endnote reference"/>
    <w:basedOn w:val="DefaultParagraphFont"/>
    <w:unhideWhenUsed/>
    <w:rsid w:val="00A57280"/>
    <w:rPr>
      <w:vertAlign w:val="superscript"/>
    </w:rPr>
  </w:style>
  <w:style w:type="paragraph" w:styleId="TOCHeading">
    <w:name w:val="TOC Heading"/>
    <w:basedOn w:val="Heading1"/>
    <w:next w:val="Normal"/>
    <w:uiPriority w:val="39"/>
    <w:unhideWhenUsed/>
    <w:qFormat/>
    <w:rsid w:val="00A57280"/>
    <w:pPr>
      <w:keepLines/>
      <w:spacing w:before="240" w:after="0" w:line="259" w:lineRule="auto"/>
      <w:outlineLvl w:val="9"/>
    </w:pPr>
    <w:rPr>
      <w:rFonts w:asciiTheme="majorHAnsi" w:eastAsiaTheme="majorEastAsia" w:hAnsiTheme="majorHAnsi" w:cstheme="majorBidi"/>
      <w:b w:val="0"/>
      <w:color w:val="2F5496" w:themeColor="accent1" w:themeShade="BF"/>
      <w:kern w:val="0"/>
      <w:sz w:val="32"/>
      <w:szCs w:val="32"/>
      <w:lang w:val="en-US" w:eastAsia="en-US"/>
    </w:rPr>
  </w:style>
  <w:style w:type="character" w:styleId="Strong">
    <w:name w:val="Strong"/>
    <w:basedOn w:val="DefaultParagraphFont"/>
    <w:uiPriority w:val="22"/>
    <w:qFormat/>
    <w:rsid w:val="00A57280"/>
    <w:rPr>
      <w:b/>
      <w:bCs/>
    </w:rPr>
  </w:style>
  <w:style w:type="paragraph" w:customStyle="1" w:styleId="paragraph">
    <w:name w:val="paragraph"/>
    <w:basedOn w:val="Normal"/>
    <w:rsid w:val="00A57280"/>
    <w:pPr>
      <w:spacing w:before="100" w:beforeAutospacing="1" w:after="100" w:afterAutospacing="1"/>
    </w:pPr>
    <w:rPr>
      <w:rFonts w:ascii="Times New Roman" w:hAnsi="Times New Roman"/>
      <w:sz w:val="24"/>
      <w:szCs w:val="24"/>
      <w14:ligatures w14:val="none"/>
    </w:rPr>
  </w:style>
  <w:style w:type="character" w:customStyle="1" w:styleId="scxw33249767">
    <w:name w:val="scxw33249767"/>
    <w:basedOn w:val="DefaultParagraphFont"/>
    <w:rsid w:val="00A57280"/>
  </w:style>
  <w:style w:type="character" w:styleId="FollowedHyperlink">
    <w:name w:val="FollowedHyperlink"/>
    <w:basedOn w:val="DefaultParagraphFont"/>
    <w:uiPriority w:val="99"/>
    <w:semiHidden/>
    <w:unhideWhenUsed/>
    <w:rsid w:val="00A57280"/>
    <w:rPr>
      <w:color w:val="954F72" w:themeColor="followedHyperlink"/>
      <w:u w:val="single"/>
    </w:rPr>
  </w:style>
  <w:style w:type="character" w:styleId="Mention">
    <w:name w:val="Mention"/>
    <w:basedOn w:val="DefaultParagraphFont"/>
    <w:uiPriority w:val="99"/>
    <w:unhideWhenUsed/>
    <w:rsid w:val="00FA5076"/>
    <w:rPr>
      <w:color w:val="2B579A"/>
      <w:shd w:val="clear" w:color="auto" w:fill="E1DFDD"/>
    </w:rPr>
  </w:style>
  <w:style w:type="character" w:customStyle="1" w:styleId="cf11">
    <w:name w:val="cf11"/>
    <w:basedOn w:val="DefaultParagraphFont"/>
    <w:rsid w:val="00815159"/>
    <w:rPr>
      <w:rFonts w:ascii="Segoe UI" w:hAnsi="Segoe UI" w:cs="Segoe UI" w:hint="default"/>
      <w:i/>
      <w:iCs/>
      <w:sz w:val="18"/>
      <w:szCs w:val="18"/>
    </w:rPr>
  </w:style>
  <w:style w:type="paragraph" w:styleId="TOC4">
    <w:name w:val="toc 4"/>
    <w:basedOn w:val="Normal"/>
    <w:next w:val="Normal"/>
    <w:autoRedefine/>
    <w:uiPriority w:val="39"/>
    <w:semiHidden/>
    <w:unhideWhenUsed/>
    <w:rsid w:val="00D027C0"/>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69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www.ausncp.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8621</Words>
  <Characters>48799</Characters>
  <Application>Microsoft Office Word</Application>
  <DocSecurity>0</DocSecurity>
  <Lines>774</Lines>
  <Paragraphs>251</Paragraphs>
  <ScaleCrop>false</ScaleCrop>
  <HeadingPairs>
    <vt:vector size="2" baseType="variant">
      <vt:variant>
        <vt:lpstr>Title</vt:lpstr>
      </vt:variant>
      <vt:variant>
        <vt:i4>1</vt:i4>
      </vt:variant>
    </vt:vector>
  </HeadingPairs>
  <TitlesOfParts>
    <vt:vector size="1" baseType="lpstr">
      <vt:lpstr>Follow Up Statement: Complaint submitted by Project Sepik and the Jubilee Australia Research Centre on behalf of Sepik River communities, concerning PanAust Limited</vt:lpstr>
    </vt:vector>
  </TitlesOfParts>
  <Company/>
  <LinksUpToDate>false</LinksUpToDate>
  <CharactersWithSpaces>57169</CharactersWithSpaces>
  <SharedDoc>false</SharedDoc>
  <HLinks>
    <vt:vector size="102" baseType="variant">
      <vt:variant>
        <vt:i4>4194379</vt:i4>
      </vt:variant>
      <vt:variant>
        <vt:i4>99</vt:i4>
      </vt:variant>
      <vt:variant>
        <vt:i4>0</vt:i4>
      </vt:variant>
      <vt:variant>
        <vt:i4>5</vt:i4>
      </vt:variant>
      <vt:variant>
        <vt:lpwstr>http://www.ausncp.gov.au/</vt:lpwstr>
      </vt:variant>
      <vt:variant>
        <vt:lpwstr/>
      </vt:variant>
      <vt:variant>
        <vt:i4>1245238</vt:i4>
      </vt:variant>
      <vt:variant>
        <vt:i4>92</vt:i4>
      </vt:variant>
      <vt:variant>
        <vt:i4>0</vt:i4>
      </vt:variant>
      <vt:variant>
        <vt:i4>5</vt:i4>
      </vt:variant>
      <vt:variant>
        <vt:lpwstr/>
      </vt:variant>
      <vt:variant>
        <vt:lpwstr>_Toc216100249</vt:lpwstr>
      </vt:variant>
      <vt:variant>
        <vt:i4>1245238</vt:i4>
      </vt:variant>
      <vt:variant>
        <vt:i4>86</vt:i4>
      </vt:variant>
      <vt:variant>
        <vt:i4>0</vt:i4>
      </vt:variant>
      <vt:variant>
        <vt:i4>5</vt:i4>
      </vt:variant>
      <vt:variant>
        <vt:lpwstr/>
      </vt:variant>
      <vt:variant>
        <vt:lpwstr>_Toc216100248</vt:lpwstr>
      </vt:variant>
      <vt:variant>
        <vt:i4>1245238</vt:i4>
      </vt:variant>
      <vt:variant>
        <vt:i4>80</vt:i4>
      </vt:variant>
      <vt:variant>
        <vt:i4>0</vt:i4>
      </vt:variant>
      <vt:variant>
        <vt:i4>5</vt:i4>
      </vt:variant>
      <vt:variant>
        <vt:lpwstr/>
      </vt:variant>
      <vt:variant>
        <vt:lpwstr>_Toc216100247</vt:lpwstr>
      </vt:variant>
      <vt:variant>
        <vt:i4>1245238</vt:i4>
      </vt:variant>
      <vt:variant>
        <vt:i4>74</vt:i4>
      </vt:variant>
      <vt:variant>
        <vt:i4>0</vt:i4>
      </vt:variant>
      <vt:variant>
        <vt:i4>5</vt:i4>
      </vt:variant>
      <vt:variant>
        <vt:lpwstr/>
      </vt:variant>
      <vt:variant>
        <vt:lpwstr>_Toc216100246</vt:lpwstr>
      </vt:variant>
      <vt:variant>
        <vt:i4>1245238</vt:i4>
      </vt:variant>
      <vt:variant>
        <vt:i4>68</vt:i4>
      </vt:variant>
      <vt:variant>
        <vt:i4>0</vt:i4>
      </vt:variant>
      <vt:variant>
        <vt:i4>5</vt:i4>
      </vt:variant>
      <vt:variant>
        <vt:lpwstr/>
      </vt:variant>
      <vt:variant>
        <vt:lpwstr>_Toc216100245</vt:lpwstr>
      </vt:variant>
      <vt:variant>
        <vt:i4>1245238</vt:i4>
      </vt:variant>
      <vt:variant>
        <vt:i4>62</vt:i4>
      </vt:variant>
      <vt:variant>
        <vt:i4>0</vt:i4>
      </vt:variant>
      <vt:variant>
        <vt:i4>5</vt:i4>
      </vt:variant>
      <vt:variant>
        <vt:lpwstr/>
      </vt:variant>
      <vt:variant>
        <vt:lpwstr>_Toc216100244</vt:lpwstr>
      </vt:variant>
      <vt:variant>
        <vt:i4>1245238</vt:i4>
      </vt:variant>
      <vt:variant>
        <vt:i4>56</vt:i4>
      </vt:variant>
      <vt:variant>
        <vt:i4>0</vt:i4>
      </vt:variant>
      <vt:variant>
        <vt:i4>5</vt:i4>
      </vt:variant>
      <vt:variant>
        <vt:lpwstr/>
      </vt:variant>
      <vt:variant>
        <vt:lpwstr>_Toc216100243</vt:lpwstr>
      </vt:variant>
      <vt:variant>
        <vt:i4>1245238</vt:i4>
      </vt:variant>
      <vt:variant>
        <vt:i4>50</vt:i4>
      </vt:variant>
      <vt:variant>
        <vt:i4>0</vt:i4>
      </vt:variant>
      <vt:variant>
        <vt:i4>5</vt:i4>
      </vt:variant>
      <vt:variant>
        <vt:lpwstr/>
      </vt:variant>
      <vt:variant>
        <vt:lpwstr>_Toc216100242</vt:lpwstr>
      </vt:variant>
      <vt:variant>
        <vt:i4>1245238</vt:i4>
      </vt:variant>
      <vt:variant>
        <vt:i4>44</vt:i4>
      </vt:variant>
      <vt:variant>
        <vt:i4>0</vt:i4>
      </vt:variant>
      <vt:variant>
        <vt:i4>5</vt:i4>
      </vt:variant>
      <vt:variant>
        <vt:lpwstr/>
      </vt:variant>
      <vt:variant>
        <vt:lpwstr>_Toc216100241</vt:lpwstr>
      </vt:variant>
      <vt:variant>
        <vt:i4>1245238</vt:i4>
      </vt:variant>
      <vt:variant>
        <vt:i4>38</vt:i4>
      </vt:variant>
      <vt:variant>
        <vt:i4>0</vt:i4>
      </vt:variant>
      <vt:variant>
        <vt:i4>5</vt:i4>
      </vt:variant>
      <vt:variant>
        <vt:lpwstr/>
      </vt:variant>
      <vt:variant>
        <vt:lpwstr>_Toc216100240</vt:lpwstr>
      </vt:variant>
      <vt:variant>
        <vt:i4>1310774</vt:i4>
      </vt:variant>
      <vt:variant>
        <vt:i4>32</vt:i4>
      </vt:variant>
      <vt:variant>
        <vt:i4>0</vt:i4>
      </vt:variant>
      <vt:variant>
        <vt:i4>5</vt:i4>
      </vt:variant>
      <vt:variant>
        <vt:lpwstr/>
      </vt:variant>
      <vt:variant>
        <vt:lpwstr>_Toc216100239</vt:lpwstr>
      </vt:variant>
      <vt:variant>
        <vt:i4>1310774</vt:i4>
      </vt:variant>
      <vt:variant>
        <vt:i4>26</vt:i4>
      </vt:variant>
      <vt:variant>
        <vt:i4>0</vt:i4>
      </vt:variant>
      <vt:variant>
        <vt:i4>5</vt:i4>
      </vt:variant>
      <vt:variant>
        <vt:lpwstr/>
      </vt:variant>
      <vt:variant>
        <vt:lpwstr>_Toc216100238</vt:lpwstr>
      </vt:variant>
      <vt:variant>
        <vt:i4>1310774</vt:i4>
      </vt:variant>
      <vt:variant>
        <vt:i4>20</vt:i4>
      </vt:variant>
      <vt:variant>
        <vt:i4>0</vt:i4>
      </vt:variant>
      <vt:variant>
        <vt:i4>5</vt:i4>
      </vt:variant>
      <vt:variant>
        <vt:lpwstr/>
      </vt:variant>
      <vt:variant>
        <vt:lpwstr>_Toc216100237</vt:lpwstr>
      </vt:variant>
      <vt:variant>
        <vt:i4>1310774</vt:i4>
      </vt:variant>
      <vt:variant>
        <vt:i4>14</vt:i4>
      </vt:variant>
      <vt:variant>
        <vt:i4>0</vt:i4>
      </vt:variant>
      <vt:variant>
        <vt:i4>5</vt:i4>
      </vt:variant>
      <vt:variant>
        <vt:lpwstr/>
      </vt:variant>
      <vt:variant>
        <vt:lpwstr>_Toc216100236</vt:lpwstr>
      </vt:variant>
      <vt:variant>
        <vt:i4>1310774</vt:i4>
      </vt:variant>
      <vt:variant>
        <vt:i4>8</vt:i4>
      </vt:variant>
      <vt:variant>
        <vt:i4>0</vt:i4>
      </vt:variant>
      <vt:variant>
        <vt:i4>5</vt:i4>
      </vt:variant>
      <vt:variant>
        <vt:lpwstr/>
      </vt:variant>
      <vt:variant>
        <vt:lpwstr>_Toc216100235</vt:lpwstr>
      </vt:variant>
      <vt:variant>
        <vt:i4>1310774</vt:i4>
      </vt:variant>
      <vt:variant>
        <vt:i4>2</vt:i4>
      </vt:variant>
      <vt:variant>
        <vt:i4>0</vt:i4>
      </vt:variant>
      <vt:variant>
        <vt:i4>5</vt:i4>
      </vt:variant>
      <vt:variant>
        <vt:lpwstr/>
      </vt:variant>
      <vt:variant>
        <vt:lpwstr>_Toc216100234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Follow Up Statement: Complaint submitted by Project Sepik and the Jubilee Australia Research Centre on behalf of Sepik River communities, concerning PanAust Limited</dc:title>
  <dc:subject/>
  <dc:creator>AusNCP</dc:creator>
  <cp:keywords/>
  <dc:description/>
  <cp:lastModifiedBy/>
  <cp:revision>1</cp:revision>
  <dcterms:created xsi:type="dcterms:W3CDTF">2025-12-19T00:27:00Z</dcterms:created>
  <dcterms:modified xsi:type="dcterms:W3CDTF">2025-12-19T00:28:00Z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2025-12-19T00:28:19Z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77e58717-119f-487e-90fa-391bd51129b9</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