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83B4" w14:textId="13AB027D" w:rsidR="00A7181C" w:rsidRPr="007F6DB3" w:rsidRDefault="00E43B52" w:rsidP="007F6DB3">
      <w:pPr>
        <w:pStyle w:val="Bullet"/>
        <w:numPr>
          <w:ilvl w:val="0"/>
          <w:numId w:val="0"/>
        </w:numPr>
        <w:rPr>
          <w:b/>
          <w:bCs/>
          <w:color w:val="0070C0"/>
          <w:sz w:val="28"/>
          <w:szCs w:val="28"/>
        </w:rPr>
      </w:pPr>
      <w:r w:rsidRPr="007F6DB3">
        <w:rPr>
          <w:b/>
          <w:bCs/>
          <w:color w:val="0070C0"/>
          <w:sz w:val="40"/>
          <w:szCs w:val="40"/>
        </w:rPr>
        <w:t xml:space="preserve">Summary </w:t>
      </w:r>
      <w:r w:rsidR="00A7181C" w:rsidRPr="007F6DB3">
        <w:rPr>
          <w:b/>
          <w:bCs/>
          <w:color w:val="0070C0"/>
          <w:sz w:val="40"/>
          <w:szCs w:val="40"/>
        </w:rPr>
        <w:t xml:space="preserve">- </w:t>
      </w:r>
      <w:r w:rsidR="003F738F" w:rsidRPr="007F6DB3">
        <w:rPr>
          <w:b/>
          <w:bCs/>
          <w:color w:val="0070C0"/>
          <w:sz w:val="40"/>
          <w:szCs w:val="40"/>
        </w:rPr>
        <w:t>202</w:t>
      </w:r>
      <w:r w:rsidR="004145E6">
        <w:rPr>
          <w:b/>
          <w:bCs/>
          <w:color w:val="0070C0"/>
          <w:sz w:val="40"/>
          <w:szCs w:val="40"/>
        </w:rPr>
        <w:t>4</w:t>
      </w:r>
      <w:r w:rsidR="003F738F" w:rsidRPr="007F6DB3">
        <w:rPr>
          <w:b/>
          <w:bCs/>
          <w:color w:val="0070C0"/>
          <w:sz w:val="40"/>
          <w:szCs w:val="40"/>
        </w:rPr>
        <w:t xml:space="preserve"> Annual Report to the OECD </w:t>
      </w:r>
      <w:r w:rsidR="007F6DB3">
        <w:rPr>
          <w:b/>
          <w:bCs/>
          <w:color w:val="0070C0"/>
          <w:sz w:val="40"/>
          <w:szCs w:val="40"/>
        </w:rPr>
        <w:br/>
      </w:r>
    </w:p>
    <w:p w14:paraId="61D2C896" w14:textId="2F4F3232" w:rsidR="00EE7B3D" w:rsidRPr="00A7181C" w:rsidRDefault="004B72C4" w:rsidP="00E43B52">
      <w:pPr>
        <w:rPr>
          <w:sz w:val="28"/>
          <w:szCs w:val="28"/>
        </w:rPr>
      </w:pPr>
      <w:r w:rsidRPr="00A7181C">
        <w:rPr>
          <w:sz w:val="28"/>
          <w:szCs w:val="28"/>
        </w:rPr>
        <w:t>This document provides a</w:t>
      </w:r>
      <w:r w:rsidR="004145E6">
        <w:rPr>
          <w:sz w:val="28"/>
          <w:szCs w:val="28"/>
        </w:rPr>
        <w:t>n accessible</w:t>
      </w:r>
      <w:r w:rsidRPr="00A7181C">
        <w:rPr>
          <w:sz w:val="28"/>
          <w:szCs w:val="28"/>
        </w:rPr>
        <w:t xml:space="preserve"> snapshot of the </w:t>
      </w:r>
      <w:proofErr w:type="spellStart"/>
      <w:r w:rsidRPr="00A7181C">
        <w:rPr>
          <w:sz w:val="28"/>
          <w:szCs w:val="28"/>
        </w:rPr>
        <w:t>AusNCP’s</w:t>
      </w:r>
      <w:proofErr w:type="spellEnd"/>
      <w:r w:rsidRPr="00A7181C">
        <w:rPr>
          <w:sz w:val="28"/>
          <w:szCs w:val="28"/>
        </w:rPr>
        <w:t xml:space="preserve"> Annual Report to the OECD for the </w:t>
      </w:r>
      <w:r w:rsidR="003F738F" w:rsidRPr="00A7181C">
        <w:rPr>
          <w:sz w:val="28"/>
          <w:szCs w:val="28"/>
        </w:rPr>
        <w:t>202</w:t>
      </w:r>
      <w:r w:rsidR="00A24B0F">
        <w:rPr>
          <w:sz w:val="28"/>
          <w:szCs w:val="28"/>
        </w:rPr>
        <w:t>4</w:t>
      </w:r>
      <w:r w:rsidR="003F738F" w:rsidRPr="00A7181C">
        <w:rPr>
          <w:sz w:val="28"/>
          <w:szCs w:val="28"/>
        </w:rPr>
        <w:t xml:space="preserve"> calendar </w:t>
      </w:r>
      <w:r w:rsidR="00D00976" w:rsidRPr="00A7181C">
        <w:rPr>
          <w:sz w:val="28"/>
          <w:szCs w:val="28"/>
        </w:rPr>
        <w:t>year</w:t>
      </w:r>
      <w:r w:rsidRPr="00A7181C">
        <w:rPr>
          <w:sz w:val="28"/>
          <w:szCs w:val="28"/>
        </w:rPr>
        <w:t>.</w:t>
      </w:r>
    </w:p>
    <w:p w14:paraId="64CDBA65" w14:textId="77777777" w:rsidR="00E43B52" w:rsidRPr="00A7181C" w:rsidRDefault="00E43B52" w:rsidP="00E43B52">
      <w:pPr>
        <w:textAlignment w:val="baseline"/>
        <w:rPr>
          <w:color w:val="004A7F"/>
          <w:sz w:val="28"/>
          <w:szCs w:val="28"/>
        </w:rPr>
      </w:pPr>
      <w:r w:rsidRPr="00A7181C">
        <w:rPr>
          <w:color w:val="004A7F"/>
          <w:sz w:val="28"/>
          <w:szCs w:val="28"/>
        </w:rPr>
        <w:t>Structure and Governance</w:t>
      </w:r>
    </w:p>
    <w:p w14:paraId="43749307" w14:textId="4B7A4E1B" w:rsidR="00E43B52" w:rsidRPr="00143E16" w:rsidRDefault="0082609F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color w:val="000000" w:themeColor="text1"/>
          <w:sz w:val="28"/>
          <w:szCs w:val="28"/>
        </w:rPr>
      </w:pPr>
      <w:r w:rsidRPr="00337CA8">
        <w:rPr>
          <w:color w:val="000000" w:themeColor="text1"/>
          <w:sz w:val="28"/>
          <w:szCs w:val="28"/>
          <w:lang w:val="en-GB"/>
        </w:rPr>
        <w:t>The AusNCP</w:t>
      </w:r>
      <w:r w:rsidR="00E43B52" w:rsidRPr="00A7181C">
        <w:rPr>
          <w:color w:val="000000" w:themeColor="text1"/>
          <w:sz w:val="28"/>
          <w:szCs w:val="28"/>
          <w:lang w:val="en-GB"/>
        </w:rPr>
        <w:t xml:space="preserve">’s </w:t>
      </w:r>
      <w:hyperlink r:id="rId7" w:history="1">
        <w:r w:rsidR="00A7181C" w:rsidRPr="00A7181C">
          <w:rPr>
            <w:rStyle w:val="Hyperlink"/>
            <w:rFonts w:eastAsiaTheme="minorEastAsia"/>
            <w:sz w:val="28"/>
            <w:szCs w:val="28"/>
            <w:lang w:val="en-GB"/>
          </w:rPr>
          <w:t>structure</w:t>
        </w:r>
      </w:hyperlink>
      <w:r w:rsidR="00A7181C" w:rsidRPr="00A7181C">
        <w:rPr>
          <w:rFonts w:eastAsiaTheme="minorEastAsia"/>
          <w:color w:val="000000" w:themeColor="text1"/>
          <w:sz w:val="28"/>
          <w:szCs w:val="28"/>
          <w:lang w:val="en-GB"/>
        </w:rPr>
        <w:t xml:space="preserve"> </w:t>
      </w:r>
      <w:r w:rsidR="00E43B52" w:rsidRPr="00A7181C">
        <w:rPr>
          <w:color w:val="000000" w:themeColor="text1"/>
          <w:sz w:val="28"/>
          <w:szCs w:val="28"/>
          <w:lang w:val="en-GB"/>
        </w:rPr>
        <w:t xml:space="preserve">and resourcing remained broadly stable. </w:t>
      </w:r>
    </w:p>
    <w:p w14:paraId="42E8F441" w14:textId="354E2B54" w:rsidR="00143E16" w:rsidRDefault="00143E16" w:rsidP="00143E16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</w:rPr>
      </w:pPr>
      <w:r>
        <w:rPr>
          <w:sz w:val="28"/>
          <w:szCs w:val="28"/>
        </w:rPr>
        <w:t xml:space="preserve">In April 2024, the AusNCP published revised </w:t>
      </w:r>
      <w:hyperlink r:id="rId8" w:history="1">
        <w:r w:rsidRPr="00143E16">
          <w:rPr>
            <w:rFonts w:ascii="Calibri" w:hAnsi="Calibri" w:cs="Times New Roman"/>
            <w:color w:val="0000FF"/>
            <w:sz w:val="28"/>
            <w:szCs w:val="28"/>
            <w:u w:val="single"/>
          </w:rPr>
          <w:t xml:space="preserve"> complaint handling procedures</w:t>
        </w:r>
      </w:hyperlink>
      <w:r>
        <w:rPr>
          <w:rFonts w:ascii="Calibri" w:hAnsi="Calibri" w:cs="Times New Roman"/>
          <w:sz w:val="22"/>
        </w:rPr>
        <w:t xml:space="preserve"> </w:t>
      </w:r>
      <w:r>
        <w:rPr>
          <w:sz w:val="28"/>
          <w:szCs w:val="28"/>
        </w:rPr>
        <w:t>to reflect the 2023 update to the OECD Guidelines.</w:t>
      </w:r>
    </w:p>
    <w:p w14:paraId="5A548534" w14:textId="7286246C" w:rsidR="00A7181C" w:rsidRPr="00A7181C" w:rsidRDefault="00A7181C" w:rsidP="00A7181C">
      <w:pPr>
        <w:textAlignment w:val="baseline"/>
        <w:rPr>
          <w:rFonts w:asciiTheme="minorHAnsi" w:eastAsiaTheme="minorHAnsi" w:hAnsiTheme="minorHAnsi" w:cstheme="minorBidi"/>
          <w:b/>
          <w:bCs/>
          <w:sz w:val="28"/>
          <w:szCs w:val="28"/>
          <w:lang w:val="en-GB"/>
        </w:rPr>
      </w:pPr>
      <w:r w:rsidRPr="00A7181C">
        <w:rPr>
          <w:rFonts w:asciiTheme="minorHAnsi" w:eastAsiaTheme="minorHAnsi" w:hAnsiTheme="minorHAnsi" w:cstheme="minorBidi"/>
          <w:color w:val="004A7F"/>
          <w:sz w:val="28"/>
          <w:szCs w:val="28"/>
        </w:rPr>
        <w:t>Awareness raising a</w:t>
      </w:r>
      <w:r w:rsidR="00BF4980">
        <w:rPr>
          <w:rFonts w:asciiTheme="minorHAnsi" w:eastAsiaTheme="minorHAnsi" w:hAnsiTheme="minorHAnsi" w:cstheme="minorBidi"/>
          <w:color w:val="004A7F"/>
          <w:sz w:val="28"/>
          <w:szCs w:val="28"/>
        </w:rPr>
        <w:t>n</w:t>
      </w:r>
      <w:r w:rsidRPr="00A7181C">
        <w:rPr>
          <w:rFonts w:asciiTheme="minorHAnsi" w:eastAsiaTheme="minorHAnsi" w:hAnsiTheme="minorHAnsi" w:cstheme="minorBidi"/>
          <w:color w:val="004A7F"/>
          <w:sz w:val="28"/>
          <w:szCs w:val="28"/>
        </w:rPr>
        <w:t xml:space="preserve">d </w:t>
      </w:r>
      <w:proofErr w:type="gramStart"/>
      <w:r w:rsidRPr="00A7181C">
        <w:rPr>
          <w:rFonts w:asciiTheme="minorHAnsi" w:eastAsiaTheme="minorHAnsi" w:hAnsiTheme="minorHAnsi" w:cstheme="minorBidi"/>
          <w:color w:val="004A7F"/>
          <w:sz w:val="28"/>
          <w:szCs w:val="28"/>
        </w:rPr>
        <w:t>promotion</w:t>
      </w:r>
      <w:proofErr w:type="gramEnd"/>
    </w:p>
    <w:p w14:paraId="56C9106C" w14:textId="5EEA3733" w:rsidR="00E43B52" w:rsidRPr="00A7181C" w:rsidRDefault="00A7181C" w:rsidP="00A7181C">
      <w:pPr>
        <w:textAlignment w:val="baseline"/>
        <w:rPr>
          <w:sz w:val="28"/>
          <w:szCs w:val="28"/>
        </w:rPr>
      </w:pPr>
      <w:r w:rsidRPr="00A7181C">
        <w:rPr>
          <w:sz w:val="28"/>
          <w:szCs w:val="28"/>
        </w:rPr>
        <w:t>The AusNCP:</w:t>
      </w:r>
      <w:r w:rsidR="00E43B52" w:rsidRPr="00A7181C">
        <w:rPr>
          <w:sz w:val="28"/>
          <w:szCs w:val="28"/>
        </w:rPr>
        <w:t xml:space="preserve"> </w:t>
      </w:r>
    </w:p>
    <w:p w14:paraId="713C83D2" w14:textId="2AFAE504" w:rsidR="00143E16" w:rsidRDefault="004B4BCC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Developed e-learning materials for Australian trade commissioners.</w:t>
      </w:r>
    </w:p>
    <w:p w14:paraId="4957774C" w14:textId="3EB72A80" w:rsidR="00E43B52" w:rsidRPr="00A7181C" w:rsidRDefault="00097DD4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</w:t>
      </w:r>
      <w:r w:rsidR="00A7181C" w:rsidRPr="00A7181C">
        <w:rPr>
          <w:sz w:val="28"/>
          <w:szCs w:val="28"/>
          <w:lang w:val="en-GB"/>
        </w:rPr>
        <w:t xml:space="preserve">resented at </w:t>
      </w:r>
      <w:r w:rsidR="004B4BCC">
        <w:rPr>
          <w:sz w:val="28"/>
          <w:szCs w:val="28"/>
          <w:lang w:val="en-GB"/>
        </w:rPr>
        <w:t>seven</w:t>
      </w:r>
      <w:r w:rsidR="00A7181C" w:rsidRPr="00A7181C">
        <w:rPr>
          <w:sz w:val="28"/>
          <w:szCs w:val="28"/>
          <w:lang w:val="en-GB"/>
        </w:rPr>
        <w:t xml:space="preserve"> </w:t>
      </w:r>
      <w:proofErr w:type="gramStart"/>
      <w:r w:rsidR="00A7181C" w:rsidRPr="00A7181C">
        <w:rPr>
          <w:sz w:val="28"/>
          <w:szCs w:val="28"/>
          <w:lang w:val="en-GB"/>
        </w:rPr>
        <w:t>events</w:t>
      </w:r>
      <w:proofErr w:type="gramEnd"/>
      <w:r w:rsidR="00A7181C" w:rsidRPr="00A7181C">
        <w:rPr>
          <w:sz w:val="28"/>
          <w:szCs w:val="28"/>
          <w:lang w:val="en-GB"/>
        </w:rPr>
        <w:t xml:space="preserve"> </w:t>
      </w:r>
    </w:p>
    <w:p w14:paraId="3B887CF2" w14:textId="5226D60B" w:rsidR="00E43B52" w:rsidRPr="00A7181C" w:rsidRDefault="00097DD4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</w:t>
      </w:r>
      <w:r w:rsidR="00E43B52" w:rsidRPr="00A7181C">
        <w:rPr>
          <w:sz w:val="28"/>
          <w:szCs w:val="28"/>
          <w:lang w:val="en-GB"/>
        </w:rPr>
        <w:t>sed social media to promote the OECD Guidelines and the AusNCP</w:t>
      </w:r>
    </w:p>
    <w:p w14:paraId="7E2E1DB0" w14:textId="12F3B888" w:rsidR="00E43B52" w:rsidRPr="00A7181C" w:rsidRDefault="00CF0D4A" w:rsidP="00E43B52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rFonts w:eastAsiaTheme="minorHAnsi" w:cstheme="minorBidi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continued its work </w:t>
      </w:r>
      <w:r w:rsidR="004B4BCC">
        <w:rPr>
          <w:sz w:val="28"/>
          <w:szCs w:val="28"/>
          <w:lang w:val="en-GB"/>
        </w:rPr>
        <w:t xml:space="preserve">in briefing </w:t>
      </w:r>
      <w:r>
        <w:rPr>
          <w:sz w:val="28"/>
          <w:szCs w:val="28"/>
          <w:lang w:val="en-GB"/>
        </w:rPr>
        <w:t>diplomatic officials</w:t>
      </w:r>
      <w:r w:rsidR="004B4BCC">
        <w:rPr>
          <w:sz w:val="28"/>
          <w:szCs w:val="28"/>
          <w:lang w:val="en-GB"/>
        </w:rPr>
        <w:t xml:space="preserve"> about the OECD Guidelines and the work of the </w:t>
      </w:r>
      <w:proofErr w:type="gramStart"/>
      <w:r w:rsidR="004B4BCC">
        <w:rPr>
          <w:sz w:val="28"/>
          <w:szCs w:val="28"/>
          <w:lang w:val="en-GB"/>
        </w:rPr>
        <w:t>AusNCP</w:t>
      </w:r>
      <w:proofErr w:type="gramEnd"/>
    </w:p>
    <w:p w14:paraId="4F570235" w14:textId="01077D4D" w:rsidR="00A7181C" w:rsidRDefault="00A7181C" w:rsidP="00E43B52">
      <w:pPr>
        <w:textAlignment w:val="baseline"/>
        <w:rPr>
          <w:color w:val="004A7F"/>
          <w:sz w:val="28"/>
          <w:szCs w:val="28"/>
        </w:rPr>
      </w:pPr>
      <w:r>
        <w:rPr>
          <w:color w:val="004A7F"/>
          <w:sz w:val="28"/>
          <w:szCs w:val="28"/>
        </w:rPr>
        <w:t>C</w:t>
      </w:r>
      <w:r w:rsidR="00E43B52" w:rsidRPr="00A7181C">
        <w:rPr>
          <w:color w:val="004A7F"/>
          <w:sz w:val="28"/>
          <w:szCs w:val="28"/>
        </w:rPr>
        <w:t>omplaint</w:t>
      </w:r>
      <w:r>
        <w:rPr>
          <w:color w:val="004A7F"/>
          <w:sz w:val="28"/>
          <w:szCs w:val="28"/>
        </w:rPr>
        <w:t xml:space="preserve"> handling</w:t>
      </w:r>
      <w:r w:rsidR="00E43B52" w:rsidRPr="00A7181C">
        <w:rPr>
          <w:color w:val="004A7F"/>
          <w:sz w:val="28"/>
          <w:szCs w:val="28"/>
        </w:rPr>
        <w:t xml:space="preserve"> </w:t>
      </w:r>
    </w:p>
    <w:p w14:paraId="2A9003C0" w14:textId="0C098CB9" w:rsidR="00E43B52" w:rsidRPr="00A7181C" w:rsidRDefault="00A7181C" w:rsidP="00E43B52">
      <w:pPr>
        <w:textAlignment w:val="baseline"/>
        <w:rPr>
          <w:sz w:val="28"/>
          <w:szCs w:val="28"/>
        </w:rPr>
      </w:pPr>
      <w:r w:rsidRPr="00A7181C">
        <w:rPr>
          <w:sz w:val="28"/>
          <w:szCs w:val="28"/>
        </w:rPr>
        <w:t>T</w:t>
      </w:r>
      <w:r w:rsidR="00E43B52" w:rsidRPr="00A7181C">
        <w:rPr>
          <w:sz w:val="28"/>
          <w:szCs w:val="28"/>
        </w:rPr>
        <w:t>he AusNCP:</w:t>
      </w:r>
    </w:p>
    <w:p w14:paraId="71EC94F2" w14:textId="5686D367" w:rsidR="00E43B52" w:rsidRPr="00A7181C" w:rsidRDefault="00A7181C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sz w:val="28"/>
          <w:szCs w:val="28"/>
        </w:rPr>
      </w:pPr>
      <w:r>
        <w:rPr>
          <w:sz w:val="28"/>
          <w:szCs w:val="28"/>
        </w:rPr>
        <w:t>c</w:t>
      </w:r>
      <w:r w:rsidR="00E43B52" w:rsidRPr="00A7181C">
        <w:rPr>
          <w:sz w:val="28"/>
          <w:szCs w:val="28"/>
        </w:rPr>
        <w:t xml:space="preserve">losed </w:t>
      </w:r>
      <w:r w:rsidR="004B4BCC">
        <w:rPr>
          <w:sz w:val="28"/>
          <w:szCs w:val="28"/>
        </w:rPr>
        <w:t>one</w:t>
      </w:r>
      <w:r w:rsidR="00E43B52" w:rsidRPr="00A7181C">
        <w:rPr>
          <w:sz w:val="28"/>
          <w:szCs w:val="28"/>
        </w:rPr>
        <w:t xml:space="preserve"> complaint</w:t>
      </w:r>
      <w:r w:rsidR="004B4BCC">
        <w:rPr>
          <w:sz w:val="28"/>
          <w:szCs w:val="28"/>
        </w:rPr>
        <w:t>.</w:t>
      </w:r>
      <w:r w:rsidR="00F9702D">
        <w:rPr>
          <w:sz w:val="28"/>
          <w:szCs w:val="28"/>
        </w:rPr>
        <w:t xml:space="preserve"> </w:t>
      </w:r>
    </w:p>
    <w:p w14:paraId="1B2BDBBE" w14:textId="5E372098" w:rsidR="00F83B6B" w:rsidRPr="00470539" w:rsidRDefault="00A7181C" w:rsidP="00A7181C">
      <w:pPr>
        <w:pStyle w:val="Bullet"/>
        <w:tabs>
          <w:tab w:val="clear" w:pos="567"/>
          <w:tab w:val="num" w:pos="520"/>
        </w:tabs>
        <w:spacing w:before="0" w:after="160" w:line="259" w:lineRule="auto"/>
        <w:ind w:left="520" w:hanging="5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h</w:t>
      </w:r>
      <w:r w:rsidR="00E43B52" w:rsidRPr="00A7181C">
        <w:rPr>
          <w:sz w:val="28"/>
          <w:szCs w:val="28"/>
        </w:rPr>
        <w:t xml:space="preserve">ad </w:t>
      </w:r>
      <w:r w:rsidR="00E43B52" w:rsidRPr="004B4BCC">
        <w:rPr>
          <w:sz w:val="28"/>
          <w:szCs w:val="28"/>
        </w:rPr>
        <w:t>five</w:t>
      </w:r>
      <w:r w:rsidR="00E43B52" w:rsidRPr="00A7181C">
        <w:rPr>
          <w:sz w:val="28"/>
          <w:szCs w:val="28"/>
        </w:rPr>
        <w:t xml:space="preserve"> complaints </w:t>
      </w:r>
      <w:r w:rsidR="004B4BCC">
        <w:rPr>
          <w:sz w:val="28"/>
          <w:szCs w:val="28"/>
        </w:rPr>
        <w:t xml:space="preserve">in progress </w:t>
      </w:r>
      <w:r>
        <w:rPr>
          <w:sz w:val="28"/>
          <w:szCs w:val="28"/>
        </w:rPr>
        <w:t>at the end of 202</w:t>
      </w:r>
      <w:r w:rsidR="004145E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0A65CF7" w14:textId="77777777" w:rsidR="00470539" w:rsidRDefault="00470539" w:rsidP="00470539">
      <w:pPr>
        <w:pStyle w:val="Bullet"/>
        <w:numPr>
          <w:ilvl w:val="0"/>
          <w:numId w:val="0"/>
        </w:numPr>
        <w:spacing w:before="0" w:after="160" w:line="259" w:lineRule="auto"/>
        <w:rPr>
          <w:sz w:val="28"/>
          <w:szCs w:val="28"/>
        </w:rPr>
      </w:pPr>
    </w:p>
    <w:sectPr w:rsidR="00470539" w:rsidSect="00C0376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425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5262" w14:textId="77777777" w:rsidR="00AF46C2" w:rsidRDefault="00AF46C2">
      <w:r>
        <w:separator/>
      </w:r>
    </w:p>
  </w:endnote>
  <w:endnote w:type="continuationSeparator" w:id="0">
    <w:p w14:paraId="6E3441D8" w14:textId="77777777" w:rsidR="00AF46C2" w:rsidRDefault="00AF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B5D5" w14:textId="46D2712D" w:rsidR="002B692A" w:rsidRDefault="002B692A" w:rsidP="002B692A">
    <w:pPr>
      <w:pStyle w:val="SecurityClassificationFooter"/>
    </w:pPr>
  </w:p>
  <w:p w14:paraId="3554B56C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fldSimple w:instr=" DOCPROPERTY SecurityClassification \* MERGEFORMAT ">
      <w:r w:rsidR="00A35735">
        <w:t>For Official Use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BDD5" w14:textId="72E1E0A4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C7EE" w14:textId="5A3A5687" w:rsidR="005F6F02" w:rsidRPr="00A23E22" w:rsidRDefault="005F6F02" w:rsidP="00240E21">
    <w:pPr>
      <w:pStyle w:val="FooterAddress"/>
      <w:spacing w:before="840"/>
      <w:rPr>
        <w:sz w:val="2"/>
      </w:rPr>
    </w:pPr>
  </w:p>
  <w:p w14:paraId="16F2C5B6" w14:textId="77777777" w:rsidR="001F6841" w:rsidRPr="001F6841" w:rsidRDefault="009835B4" w:rsidP="003000C6">
    <w:pPr>
      <w:pStyle w:val="FooterAddress"/>
      <w:spacing w:before="60" w:after="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E51333" wp14:editId="241E52F0">
          <wp:simplePos x="0" y="0"/>
          <wp:positionH relativeFrom="margin">
            <wp:posOffset>-1905</wp:posOffset>
          </wp:positionH>
          <wp:positionV relativeFrom="page">
            <wp:posOffset>10099675</wp:posOffset>
          </wp:positionV>
          <wp:extent cx="1407160" cy="23368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4"/>
                  <a:stretch/>
                </pic:blipFill>
                <pic:spPr bwMode="auto">
                  <a:xfrm>
                    <a:off x="0" y="0"/>
                    <a:ext cx="1407160" cy="233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79F32" w14:textId="77777777" w:rsidR="005F6F02" w:rsidRDefault="00C03767" w:rsidP="008741F9">
    <w:pPr>
      <w:pStyle w:val="FooterAddress"/>
      <w:tabs>
        <w:tab w:val="clear" w:pos="4820"/>
        <w:tab w:val="center" w:pos="9639"/>
      </w:tabs>
    </w:pPr>
    <w:r>
      <w:t xml:space="preserve">Langton Crescent Parkes ACT 2600  |  </w:t>
    </w:r>
    <w:r w:rsidR="001F6841">
      <w:t>+61 2 6263 2</w:t>
    </w:r>
    <w:r w:rsidR="001627D5">
      <w:t>224</w:t>
    </w:r>
    <w:r w:rsidR="003000C6">
      <w:t xml:space="preserve">  |  </w:t>
    </w:r>
    <w:r w:rsidR="001627D5">
      <w:t>secretariat@ausncp.gov.au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F5A4" w14:textId="77777777" w:rsidR="00AF46C2" w:rsidRDefault="00AF46C2">
      <w:r>
        <w:separator/>
      </w:r>
    </w:p>
  </w:footnote>
  <w:footnote w:type="continuationSeparator" w:id="0">
    <w:p w14:paraId="4367AC46" w14:textId="77777777" w:rsidR="00AF46C2" w:rsidRDefault="00AF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BD17" w14:textId="712724A2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05AEB834" wp14:editId="1ADD61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8800" cy="1915200"/>
          <wp:effectExtent l="0" t="0" r="0" b="889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AE23A7"/>
    <w:multiLevelType w:val="singleLevel"/>
    <w:tmpl w:val="E8EC2568"/>
    <w:lvl w:ilvl="0">
      <w:start w:val="1"/>
      <w:numFmt w:val="upperLetter"/>
      <w:lvlText w:val="%1:"/>
      <w:lvlJc w:val="left"/>
      <w:pPr>
        <w:ind w:left="360" w:hanging="360"/>
      </w:pPr>
      <w:rPr>
        <w:b w:val="0"/>
        <w:sz w:val="24"/>
        <w:szCs w:val="24"/>
      </w:rPr>
    </w:lvl>
  </w:abstractNum>
  <w:num w:numId="1" w16cid:durableId="1949466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96058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772276">
    <w:abstractNumId w:val="2"/>
    <w:lvlOverride w:ilvl="0">
      <w:startOverride w:val="1"/>
    </w:lvlOverride>
  </w:num>
  <w:num w:numId="4" w16cid:durableId="167642263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36368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29928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582807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A35735"/>
    <w:rsid w:val="000070A2"/>
    <w:rsid w:val="00010558"/>
    <w:rsid w:val="00013C16"/>
    <w:rsid w:val="00021A7F"/>
    <w:rsid w:val="00041147"/>
    <w:rsid w:val="00042864"/>
    <w:rsid w:val="00070A45"/>
    <w:rsid w:val="00086AEF"/>
    <w:rsid w:val="00097DD4"/>
    <w:rsid w:val="000A146D"/>
    <w:rsid w:val="000B65EB"/>
    <w:rsid w:val="000C3D77"/>
    <w:rsid w:val="000D2875"/>
    <w:rsid w:val="000E70A5"/>
    <w:rsid w:val="00143E16"/>
    <w:rsid w:val="00160A78"/>
    <w:rsid w:val="001627D5"/>
    <w:rsid w:val="00187181"/>
    <w:rsid w:val="001960EE"/>
    <w:rsid w:val="001F4A93"/>
    <w:rsid w:val="001F5439"/>
    <w:rsid w:val="001F6841"/>
    <w:rsid w:val="00240E21"/>
    <w:rsid w:val="002554F2"/>
    <w:rsid w:val="002B4ACE"/>
    <w:rsid w:val="002B692A"/>
    <w:rsid w:val="002C49E4"/>
    <w:rsid w:val="002D0D6C"/>
    <w:rsid w:val="002F767C"/>
    <w:rsid w:val="003000C6"/>
    <w:rsid w:val="00337317"/>
    <w:rsid w:val="00341F84"/>
    <w:rsid w:val="00350E67"/>
    <w:rsid w:val="00352DDC"/>
    <w:rsid w:val="00366648"/>
    <w:rsid w:val="00375CB3"/>
    <w:rsid w:val="003A12F8"/>
    <w:rsid w:val="003A13CA"/>
    <w:rsid w:val="003F738F"/>
    <w:rsid w:val="00400A9F"/>
    <w:rsid w:val="004145E6"/>
    <w:rsid w:val="00436CCC"/>
    <w:rsid w:val="00437881"/>
    <w:rsid w:val="00444ADC"/>
    <w:rsid w:val="00470539"/>
    <w:rsid w:val="00470BB9"/>
    <w:rsid w:val="00485E79"/>
    <w:rsid w:val="004A5077"/>
    <w:rsid w:val="004B4BCC"/>
    <w:rsid w:val="004B72C4"/>
    <w:rsid w:val="004D59F6"/>
    <w:rsid w:val="00521D21"/>
    <w:rsid w:val="00521F1E"/>
    <w:rsid w:val="005734A5"/>
    <w:rsid w:val="005755DF"/>
    <w:rsid w:val="0058454C"/>
    <w:rsid w:val="00585D8B"/>
    <w:rsid w:val="005B562F"/>
    <w:rsid w:val="005C68C5"/>
    <w:rsid w:val="005E5698"/>
    <w:rsid w:val="005F01D5"/>
    <w:rsid w:val="005F6F02"/>
    <w:rsid w:val="00600FC1"/>
    <w:rsid w:val="00644208"/>
    <w:rsid w:val="00665BAA"/>
    <w:rsid w:val="006A1A29"/>
    <w:rsid w:val="006A320D"/>
    <w:rsid w:val="006A446E"/>
    <w:rsid w:val="006B2510"/>
    <w:rsid w:val="006D0143"/>
    <w:rsid w:val="006D0CCF"/>
    <w:rsid w:val="006F2190"/>
    <w:rsid w:val="007232C5"/>
    <w:rsid w:val="0073242D"/>
    <w:rsid w:val="0073673D"/>
    <w:rsid w:val="007D745D"/>
    <w:rsid w:val="007E0F60"/>
    <w:rsid w:val="007F4815"/>
    <w:rsid w:val="007F4F2D"/>
    <w:rsid w:val="007F6DB3"/>
    <w:rsid w:val="0082609F"/>
    <w:rsid w:val="00857F46"/>
    <w:rsid w:val="00863EE0"/>
    <w:rsid w:val="008741F9"/>
    <w:rsid w:val="00912E16"/>
    <w:rsid w:val="0092186E"/>
    <w:rsid w:val="009835B4"/>
    <w:rsid w:val="0098490B"/>
    <w:rsid w:val="009A310B"/>
    <w:rsid w:val="00A23E22"/>
    <w:rsid w:val="00A24156"/>
    <w:rsid w:val="00A24B0F"/>
    <w:rsid w:val="00A35735"/>
    <w:rsid w:val="00A36607"/>
    <w:rsid w:val="00A46863"/>
    <w:rsid w:val="00A63863"/>
    <w:rsid w:val="00A7181C"/>
    <w:rsid w:val="00AA7D6E"/>
    <w:rsid w:val="00AD44A4"/>
    <w:rsid w:val="00AF46C2"/>
    <w:rsid w:val="00B112A0"/>
    <w:rsid w:val="00B120E5"/>
    <w:rsid w:val="00B315A0"/>
    <w:rsid w:val="00B457FE"/>
    <w:rsid w:val="00B8256A"/>
    <w:rsid w:val="00B84E7B"/>
    <w:rsid w:val="00B87DE1"/>
    <w:rsid w:val="00BC5D54"/>
    <w:rsid w:val="00BD167B"/>
    <w:rsid w:val="00BF4980"/>
    <w:rsid w:val="00C03767"/>
    <w:rsid w:val="00C8731A"/>
    <w:rsid w:val="00CA030C"/>
    <w:rsid w:val="00CA62A6"/>
    <w:rsid w:val="00CB4210"/>
    <w:rsid w:val="00CF0D4A"/>
    <w:rsid w:val="00D00976"/>
    <w:rsid w:val="00D42296"/>
    <w:rsid w:val="00D55072"/>
    <w:rsid w:val="00DA54C5"/>
    <w:rsid w:val="00DC3829"/>
    <w:rsid w:val="00DC76B2"/>
    <w:rsid w:val="00E217CF"/>
    <w:rsid w:val="00E43B52"/>
    <w:rsid w:val="00E51C9D"/>
    <w:rsid w:val="00E90177"/>
    <w:rsid w:val="00EC5544"/>
    <w:rsid w:val="00EE7B3D"/>
    <w:rsid w:val="00F140D3"/>
    <w:rsid w:val="00F36BED"/>
    <w:rsid w:val="00F36FE7"/>
    <w:rsid w:val="00F5164B"/>
    <w:rsid w:val="00F70E57"/>
    <w:rsid w:val="00F83B6B"/>
    <w:rsid w:val="00F86302"/>
    <w:rsid w:val="00F9702D"/>
    <w:rsid w:val="00FD1DFD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0C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F83B6B"/>
    <w:rPr>
      <w:rFonts w:ascii="Calibri" w:hAnsi="Calibri"/>
      <w:b/>
      <w:caps/>
      <w:sz w:val="22"/>
    </w:rPr>
  </w:style>
  <w:style w:type="paragraph" w:styleId="ListParagraph">
    <w:name w:val="List Paragraph"/>
    <w:basedOn w:val="Normal"/>
    <w:uiPriority w:val="34"/>
    <w:qFormat/>
    <w:rsid w:val="00F83B6B"/>
    <w:pPr>
      <w:numPr>
        <w:numId w:val="1"/>
      </w:numPr>
      <w:spacing w:after="200" w:line="276" w:lineRule="auto"/>
    </w:pPr>
    <w:rPr>
      <w:rFonts w:asciiTheme="minorHAnsi" w:eastAsia="Calibri" w:hAnsiTheme="minorHAnsi"/>
      <w:szCs w:val="22"/>
      <w:lang w:eastAsia="en-US"/>
    </w:rPr>
  </w:style>
  <w:style w:type="character" w:customStyle="1" w:styleId="BulletChar">
    <w:name w:val="Bullet Char"/>
    <w:basedOn w:val="DefaultParagraphFont"/>
    <w:link w:val="Bullet"/>
    <w:locked/>
    <w:rsid w:val="00F83B6B"/>
    <w:rPr>
      <w:rFonts w:asciiTheme="minorHAnsi" w:hAnsiTheme="minorHAnsi" w:cs="Calibri"/>
      <w:sz w:val="24"/>
    </w:rPr>
  </w:style>
  <w:style w:type="paragraph" w:customStyle="1" w:styleId="Bullet">
    <w:name w:val="Bullet"/>
    <w:basedOn w:val="Normal"/>
    <w:link w:val="BulletChar"/>
    <w:qFormat/>
    <w:rsid w:val="00F83B6B"/>
    <w:pPr>
      <w:numPr>
        <w:numId w:val="2"/>
      </w:numPr>
      <w:spacing w:before="240" w:after="0"/>
    </w:pPr>
    <w:rPr>
      <w:rFonts w:asciiTheme="minorHAnsi" w:hAnsiTheme="minorHAnsi" w:cs="Calibri"/>
      <w:sz w:val="24"/>
    </w:rPr>
  </w:style>
  <w:style w:type="paragraph" w:customStyle="1" w:styleId="Dash">
    <w:name w:val="Dash"/>
    <w:basedOn w:val="Normal"/>
    <w:rsid w:val="00F83B6B"/>
    <w:pPr>
      <w:numPr>
        <w:ilvl w:val="1"/>
        <w:numId w:val="2"/>
      </w:numPr>
      <w:spacing w:after="200"/>
    </w:pPr>
    <w:rPr>
      <w:rFonts w:asciiTheme="minorHAnsi" w:hAnsiTheme="minorHAnsi"/>
      <w:sz w:val="24"/>
    </w:rPr>
  </w:style>
  <w:style w:type="paragraph" w:customStyle="1" w:styleId="DoubleDot">
    <w:name w:val="Double Dot"/>
    <w:basedOn w:val="Normal"/>
    <w:rsid w:val="00F83B6B"/>
    <w:pPr>
      <w:numPr>
        <w:ilvl w:val="2"/>
        <w:numId w:val="2"/>
      </w:numPr>
      <w:spacing w:after="20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ncp.gov.au/sites/default/files/2024-04/ausncp-complaint-procedur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sncp.gov.au/sites/default/files/2022-12/AusNCP-factsheet-structure-and-authority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- 2024 Annual Report to the OECD 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- 2024 Annual Report to the OECD </dc:title>
  <dc:creator>AusNCP</dc:creator>
  <cp:lastModifiedBy/>
  <cp:revision>1</cp:revision>
  <dcterms:created xsi:type="dcterms:W3CDTF">2025-06-19T05:27:00Z</dcterms:created>
  <dcterms:modified xsi:type="dcterms:W3CDTF">2025-06-19T22:55:00Z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2025-06-19T05:27:37Z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bf08e26c-1272-4f58-960b-fa6b1b69a254</vt:lpwstr>
  </property>
  <property fmtid="{D5CDD505-2E9C-101B-9397-08002B2CF9AE}" pid="8" name="MSIP_Label_4f932d64-9ab1-4d9b-81d2-a3a8b82dd47d_ContentBits">
    <vt:lpwstr>0</vt:lpwstr>
  </property>
</Properties>
</file>