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663B0ED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DEB3" w14:textId="56F72EA5" w:rsidR="00C8639A" w:rsidRPr="00694A49" w:rsidRDefault="00D0624C" w:rsidP="00D0624C">
      <w:pPr>
        <w:pStyle w:val="Heading1"/>
        <w:spacing w:before="240" w:after="720"/>
      </w:pPr>
      <w:bookmarkStart w:id="0" w:name="_GoBack"/>
      <w:r>
        <w:t>Appointment of the inaugural</w:t>
      </w:r>
      <w:r>
        <w:br/>
      </w:r>
      <w:proofErr w:type="spellStart"/>
      <w:r w:rsidR="001846E0">
        <w:t>AusNCP</w:t>
      </w:r>
      <w:proofErr w:type="spellEnd"/>
      <w:r w:rsidR="001846E0">
        <w:t xml:space="preserve"> Independent Examiner</w:t>
      </w:r>
    </w:p>
    <w:bookmarkEnd w:id="0"/>
    <w:p w14:paraId="21507207" w14:textId="6ADFB695" w:rsidR="001846E0" w:rsidRPr="00D0624C" w:rsidRDefault="001846E0" w:rsidP="00D0624C">
      <w:pPr>
        <w:spacing w:line="360" w:lineRule="auto"/>
        <w:ind w:right="-2"/>
        <w:rPr>
          <w:sz w:val="24"/>
          <w:szCs w:val="24"/>
        </w:rPr>
      </w:pPr>
      <w:r w:rsidRPr="00D0624C">
        <w:rPr>
          <w:sz w:val="24"/>
          <w:szCs w:val="24"/>
        </w:rPr>
        <w:t xml:space="preserve">The Australian Treasury is pleased to announce the appointment of </w:t>
      </w:r>
      <w:r w:rsidRPr="00D0624C">
        <w:rPr>
          <w:b/>
          <w:sz w:val="24"/>
          <w:szCs w:val="24"/>
        </w:rPr>
        <w:t xml:space="preserve">Mr John </w:t>
      </w:r>
      <w:proofErr w:type="spellStart"/>
      <w:r w:rsidRPr="00D0624C">
        <w:rPr>
          <w:b/>
          <w:sz w:val="24"/>
          <w:szCs w:val="24"/>
        </w:rPr>
        <w:t>Southalan</w:t>
      </w:r>
      <w:proofErr w:type="spellEnd"/>
      <w:r w:rsidRPr="00D0624C">
        <w:rPr>
          <w:sz w:val="24"/>
          <w:szCs w:val="24"/>
        </w:rPr>
        <w:t xml:space="preserve"> to handle complaint work of the Australian National Contact Point (</w:t>
      </w:r>
      <w:proofErr w:type="spellStart"/>
      <w:r w:rsidRPr="00D0624C">
        <w:rPr>
          <w:sz w:val="24"/>
          <w:szCs w:val="24"/>
        </w:rPr>
        <w:t>AusNCP</w:t>
      </w:r>
      <w:proofErr w:type="spellEnd"/>
      <w:r w:rsidRPr="00D0624C">
        <w:rPr>
          <w:sz w:val="24"/>
          <w:szCs w:val="24"/>
        </w:rPr>
        <w:t xml:space="preserve">), in the new position of Independent Examiner announced in the </w:t>
      </w:r>
      <w:hyperlink r:id="rId13" w:history="1">
        <w:r w:rsidRPr="00D0624C">
          <w:rPr>
            <w:rStyle w:val="Hyperlink"/>
            <w:b/>
            <w:color w:val="0070C0"/>
            <w:sz w:val="24"/>
            <w:szCs w:val="24"/>
            <w:u w:val="none"/>
          </w:rPr>
          <w:t xml:space="preserve">2018 </w:t>
        </w:r>
        <w:proofErr w:type="spellStart"/>
        <w:r w:rsidRPr="00D0624C">
          <w:rPr>
            <w:rStyle w:val="Hyperlink"/>
            <w:b/>
            <w:color w:val="0070C0"/>
            <w:sz w:val="24"/>
            <w:szCs w:val="24"/>
            <w:u w:val="none"/>
          </w:rPr>
          <w:t>AusNCP</w:t>
        </w:r>
        <w:proofErr w:type="spellEnd"/>
        <w:r w:rsidRPr="00D0624C">
          <w:rPr>
            <w:rStyle w:val="Hyperlink"/>
            <w:b/>
            <w:color w:val="0070C0"/>
            <w:sz w:val="24"/>
            <w:szCs w:val="24"/>
            <w:u w:val="none"/>
          </w:rPr>
          <w:t xml:space="preserve"> reforms</w:t>
        </w:r>
      </w:hyperlink>
      <w:r w:rsidRPr="00D0624C">
        <w:rPr>
          <w:sz w:val="24"/>
          <w:szCs w:val="24"/>
        </w:rPr>
        <w:t>.</w:t>
      </w:r>
    </w:p>
    <w:p w14:paraId="15D9BCBB" w14:textId="4896C9E2" w:rsidR="001846E0" w:rsidRPr="00D0624C" w:rsidRDefault="00CE6991" w:rsidP="00D0624C">
      <w:pPr>
        <w:spacing w:line="360" w:lineRule="auto"/>
        <w:ind w:right="-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3235F86" wp14:editId="770C609B">
            <wp:simplePos x="0" y="0"/>
            <wp:positionH relativeFrom="column">
              <wp:posOffset>51435</wp:posOffset>
            </wp:positionH>
            <wp:positionV relativeFrom="paragraph">
              <wp:posOffset>4445</wp:posOffset>
            </wp:positionV>
            <wp:extent cx="1228725" cy="1839595"/>
            <wp:effectExtent l="0" t="0" r="9525" b="8255"/>
            <wp:wrapSquare wrapText="bothSides"/>
            <wp:docPr id="46" name="Picture 46" descr="C:\Users\ALB\AppData\Local\Microsoft\Windows\Temporary Internet Files\Content.Word\no tie t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\AppData\Local\Microsoft\Windows\Temporary Internet Files\Content.Word\no tie tors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E0" w:rsidRPr="00D0624C">
        <w:rPr>
          <w:sz w:val="24"/>
          <w:szCs w:val="24"/>
        </w:rPr>
        <w:t xml:space="preserve">Based in Western Australia, John is an experienced practitioner in the fields of responsible business conduct and dispute resolution. His extensive international and domestic experience will enhance the </w:t>
      </w:r>
      <w:proofErr w:type="spellStart"/>
      <w:r w:rsidR="001846E0" w:rsidRPr="00D0624C">
        <w:rPr>
          <w:sz w:val="24"/>
          <w:szCs w:val="24"/>
        </w:rPr>
        <w:t>AusNCP’s</w:t>
      </w:r>
      <w:proofErr w:type="spellEnd"/>
      <w:r w:rsidR="001846E0" w:rsidRPr="00D0624C">
        <w:rPr>
          <w:sz w:val="24"/>
          <w:szCs w:val="24"/>
        </w:rPr>
        <w:t xml:space="preserve"> capability to handle complex and sensitive issues arising under the </w:t>
      </w:r>
      <w:r w:rsidR="001846E0" w:rsidRPr="00D0624C">
        <w:rPr>
          <w:i/>
          <w:sz w:val="24"/>
          <w:szCs w:val="24"/>
        </w:rPr>
        <w:t>OECD Guidelines for Multinational Enterprises</w:t>
      </w:r>
      <w:r w:rsidR="001846E0" w:rsidRPr="00D0624C">
        <w:rPr>
          <w:sz w:val="24"/>
          <w:szCs w:val="24"/>
        </w:rPr>
        <w:t>. John will commence his duties as the inaugural Independent Examiner on 27 August 2019.</w:t>
      </w:r>
    </w:p>
    <w:p w14:paraId="30971963" w14:textId="71E03F91" w:rsidR="001846E0" w:rsidRDefault="001846E0" w:rsidP="00D0624C">
      <w:pPr>
        <w:spacing w:line="360" w:lineRule="auto"/>
        <w:ind w:right="-2"/>
        <w:rPr>
          <w:sz w:val="24"/>
          <w:szCs w:val="24"/>
        </w:rPr>
      </w:pPr>
      <w:r w:rsidRPr="00D0624C">
        <w:rPr>
          <w:sz w:val="24"/>
          <w:szCs w:val="24"/>
        </w:rPr>
        <w:t xml:space="preserve">The quality field of applicants for this position highlights the interest in, and support for, reforms to the </w:t>
      </w:r>
      <w:proofErr w:type="spellStart"/>
      <w:r w:rsidRPr="00D0624C">
        <w:rPr>
          <w:sz w:val="24"/>
          <w:szCs w:val="24"/>
        </w:rPr>
        <w:t>AusNCP</w:t>
      </w:r>
      <w:proofErr w:type="spellEnd"/>
      <w:r w:rsidRPr="00D0624C">
        <w:rPr>
          <w:sz w:val="24"/>
          <w:szCs w:val="24"/>
        </w:rPr>
        <w:t xml:space="preserve"> structure. Together, the new </w:t>
      </w:r>
      <w:proofErr w:type="spellStart"/>
      <w:r w:rsidRPr="00D0624C">
        <w:rPr>
          <w:sz w:val="24"/>
          <w:szCs w:val="24"/>
        </w:rPr>
        <w:t>AusNCP</w:t>
      </w:r>
      <w:proofErr w:type="spellEnd"/>
      <w:r w:rsidRPr="00D0624C">
        <w:rPr>
          <w:b/>
          <w:sz w:val="24"/>
          <w:szCs w:val="24"/>
        </w:rPr>
        <w:t xml:space="preserve"> </w:t>
      </w:r>
      <w:hyperlink r:id="rId15" w:history="1">
        <w:r w:rsidRPr="00D0624C">
          <w:rPr>
            <w:rStyle w:val="Hyperlink"/>
            <w:b/>
            <w:color w:val="0070C0"/>
            <w:sz w:val="24"/>
            <w:szCs w:val="24"/>
            <w:u w:val="none"/>
          </w:rPr>
          <w:t>Governance and Advisory Board</w:t>
        </w:r>
      </w:hyperlink>
      <w:r w:rsidRPr="00D0624C">
        <w:rPr>
          <w:sz w:val="24"/>
          <w:szCs w:val="24"/>
        </w:rPr>
        <w:t xml:space="preserve"> and Independent Examiner will play an integral role in ensuring the </w:t>
      </w:r>
      <w:proofErr w:type="spellStart"/>
      <w:r w:rsidRPr="00D0624C">
        <w:rPr>
          <w:sz w:val="24"/>
          <w:szCs w:val="24"/>
        </w:rPr>
        <w:t>AusNCP</w:t>
      </w:r>
      <w:proofErr w:type="spellEnd"/>
      <w:r w:rsidRPr="00D0624C">
        <w:rPr>
          <w:sz w:val="24"/>
          <w:szCs w:val="24"/>
        </w:rPr>
        <w:t xml:space="preserve"> provides a transparent, independent and accessible NCP service. </w:t>
      </w:r>
    </w:p>
    <w:p w14:paraId="6FB181C3" w14:textId="6EDB22F0" w:rsidR="001846E0" w:rsidRPr="00D0624C" w:rsidRDefault="001846E0" w:rsidP="00D0624C">
      <w:pPr>
        <w:spacing w:line="360" w:lineRule="auto"/>
        <w:ind w:right="-2"/>
        <w:rPr>
          <w:sz w:val="24"/>
          <w:szCs w:val="24"/>
        </w:rPr>
      </w:pPr>
      <w:r w:rsidRPr="00D0624C">
        <w:rPr>
          <w:sz w:val="24"/>
          <w:szCs w:val="24"/>
        </w:rPr>
        <w:t xml:space="preserve">For more information about the </w:t>
      </w:r>
      <w:proofErr w:type="spellStart"/>
      <w:r w:rsidRPr="00D0624C">
        <w:rPr>
          <w:sz w:val="24"/>
          <w:szCs w:val="24"/>
        </w:rPr>
        <w:t>AusNCP</w:t>
      </w:r>
      <w:proofErr w:type="spellEnd"/>
      <w:r w:rsidRPr="00D0624C">
        <w:rPr>
          <w:sz w:val="24"/>
          <w:szCs w:val="24"/>
        </w:rPr>
        <w:t xml:space="preserve">, visit </w:t>
      </w:r>
      <w:hyperlink r:id="rId16" w:history="1">
        <w:r w:rsidR="00D0624C" w:rsidRPr="00D0624C">
          <w:rPr>
            <w:rStyle w:val="Hyperlink"/>
            <w:b/>
            <w:color w:val="0070C0"/>
            <w:sz w:val="24"/>
            <w:szCs w:val="24"/>
            <w:u w:val="none"/>
          </w:rPr>
          <w:t>www.AusNCP.gov.au</w:t>
        </w:r>
      </w:hyperlink>
      <w:r w:rsidRPr="00D0624C">
        <w:rPr>
          <w:sz w:val="24"/>
          <w:szCs w:val="24"/>
        </w:rPr>
        <w:t xml:space="preserve">. For more information about the OECD, visit </w:t>
      </w:r>
      <w:hyperlink r:id="rId17" w:history="1">
        <w:r w:rsidRPr="00D0624C">
          <w:rPr>
            <w:rStyle w:val="Hyperlink"/>
            <w:b/>
            <w:color w:val="0070C0"/>
            <w:sz w:val="24"/>
            <w:szCs w:val="24"/>
            <w:u w:val="none"/>
          </w:rPr>
          <w:t>mneguidelines.oecd.org</w:t>
        </w:r>
      </w:hyperlink>
      <w:r w:rsidRPr="00D0624C">
        <w:rPr>
          <w:color w:val="0070C0"/>
          <w:sz w:val="24"/>
          <w:szCs w:val="24"/>
        </w:rPr>
        <w:t>.</w:t>
      </w:r>
    </w:p>
    <w:p w14:paraId="3A9693EE" w14:textId="521D29BD" w:rsidR="001846E0" w:rsidRPr="00D0624C" w:rsidRDefault="001846E0" w:rsidP="001846E0">
      <w:pPr>
        <w:rPr>
          <w:sz w:val="24"/>
          <w:szCs w:val="24"/>
        </w:rPr>
      </w:pPr>
    </w:p>
    <w:p w14:paraId="0014A2F9" w14:textId="5069F06A" w:rsidR="001846E0" w:rsidRPr="00D0624C" w:rsidRDefault="001846E0" w:rsidP="001846E0">
      <w:pPr>
        <w:rPr>
          <w:sz w:val="24"/>
          <w:szCs w:val="24"/>
        </w:rPr>
      </w:pPr>
    </w:p>
    <w:p w14:paraId="3A7B99A4" w14:textId="7DE4595B" w:rsidR="00832BEC" w:rsidRPr="00D0624C" w:rsidRDefault="001846E0" w:rsidP="00694A49">
      <w:pPr>
        <w:jc w:val="right"/>
        <w:rPr>
          <w:sz w:val="24"/>
          <w:szCs w:val="24"/>
        </w:rPr>
      </w:pPr>
      <w:r w:rsidRPr="00D0624C">
        <w:rPr>
          <w:sz w:val="24"/>
          <w:szCs w:val="24"/>
        </w:rPr>
        <w:t>July 2019</w:t>
      </w:r>
    </w:p>
    <w:sectPr w:rsidR="00832BEC" w:rsidRPr="00D0624C" w:rsidSect="001846E0">
      <w:footerReference w:type="default" r:id="rId18"/>
      <w:headerReference w:type="first" r:id="rId19"/>
      <w:footerReference w:type="first" r:id="rId20"/>
      <w:pgSz w:w="11906" w:h="16838"/>
      <w:pgMar w:top="3067" w:right="1418" w:bottom="567" w:left="1418" w:header="425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6065" w14:textId="77777777" w:rsidR="00AD3356" w:rsidRDefault="00AD3356" w:rsidP="00AD5703">
      <w:pPr>
        <w:spacing w:after="0" w:line="240" w:lineRule="auto"/>
      </w:pPr>
      <w:r>
        <w:separator/>
      </w:r>
    </w:p>
  </w:endnote>
  <w:endnote w:type="continuationSeparator" w:id="0">
    <w:p w14:paraId="7723AC32" w14:textId="77777777" w:rsidR="00AD3356" w:rsidRDefault="00AD3356" w:rsidP="00AD5703">
      <w:pPr>
        <w:spacing w:after="0" w:line="240" w:lineRule="auto"/>
      </w:pPr>
      <w:r>
        <w:continuationSeparator/>
      </w:r>
    </w:p>
  </w:endnote>
  <w:endnote w:type="continuationNotice" w:id="1">
    <w:p w14:paraId="305BA40A" w14:textId="77777777" w:rsidR="00AD3356" w:rsidRDefault="00AD3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239" w14:textId="77777777" w:rsidR="00AD3356" w:rsidRDefault="00AD3356" w:rsidP="00832BEC">
    <w:pPr>
      <w:pStyle w:val="Footer"/>
      <w:tabs>
        <w:tab w:val="clear" w:pos="4513"/>
        <w:tab w:val="clear" w:pos="9026"/>
      </w:tabs>
      <w:ind w:left="-993"/>
      <w:jc w:val="right"/>
    </w:pPr>
    <w:r>
      <w:rPr>
        <w:noProof/>
        <w:lang w:eastAsia="en-AU"/>
      </w:rPr>
      <w:drawing>
        <wp:inline distT="0" distB="0" distL="0" distR="0" wp14:anchorId="717F95D8" wp14:editId="46A47555">
          <wp:extent cx="5759450" cy="457200"/>
          <wp:effectExtent l="0" t="0" r="0" b="0"/>
          <wp:docPr id="42" name="Picture 42" descr="cid:image002.jpg@01D41DF0.663B0E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cid:image002.jpg@01D41DF0.663B0ED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34" b="24210"/>
                  <a:stretch/>
                </pic:blipFill>
                <pic:spPr bwMode="auto">
                  <a:xfrm>
                    <a:off x="0" y="0"/>
                    <a:ext cx="5759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ECAC" w14:textId="77777777" w:rsidR="00AD3356" w:rsidRDefault="00AD3356">
    <w:pPr>
      <w:pStyle w:val="Footer"/>
    </w:pPr>
    <w:r>
      <w:rPr>
        <w:noProof/>
        <w:lang w:eastAsia="en-AU"/>
      </w:rPr>
      <w:drawing>
        <wp:inline distT="0" distB="0" distL="0" distR="0" wp14:anchorId="03D13D86" wp14:editId="0D31EDA3">
          <wp:extent cx="5760000" cy="457200"/>
          <wp:effectExtent l="0" t="0" r="0" b="0"/>
          <wp:docPr id="45" name="Picture 45" descr="cid:image002.jpg@01D41DF0.663B0E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cid:image002.jpg@01D41DF0.663B0ED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34" b="24210"/>
                  <a:stretch/>
                </pic:blipFill>
                <pic:spPr bwMode="auto">
                  <a:xfrm>
                    <a:off x="0" y="0"/>
                    <a:ext cx="576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29EA" w14:textId="77777777" w:rsidR="00AD3356" w:rsidRDefault="00AD3356" w:rsidP="00AD5703">
      <w:pPr>
        <w:spacing w:after="0" w:line="240" w:lineRule="auto"/>
      </w:pPr>
      <w:r>
        <w:separator/>
      </w:r>
    </w:p>
  </w:footnote>
  <w:footnote w:type="continuationSeparator" w:id="0">
    <w:p w14:paraId="18DBF563" w14:textId="77777777" w:rsidR="00AD3356" w:rsidRDefault="00AD3356" w:rsidP="00AD5703">
      <w:pPr>
        <w:spacing w:after="0" w:line="240" w:lineRule="auto"/>
      </w:pPr>
      <w:r>
        <w:continuationSeparator/>
      </w:r>
    </w:p>
  </w:footnote>
  <w:footnote w:type="continuationNotice" w:id="1">
    <w:p w14:paraId="420DF46D" w14:textId="77777777" w:rsidR="00AD3356" w:rsidRDefault="00AD3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6BE0" w14:textId="3BBB69F8" w:rsidR="00AD3356" w:rsidRDefault="00AD3356" w:rsidP="00EB69D9">
    <w:pPr>
      <w:pStyle w:val="Header"/>
      <w:tabs>
        <w:tab w:val="clear" w:pos="4513"/>
        <w:tab w:val="clear" w:pos="9026"/>
      </w:tabs>
      <w:spacing w:before="240"/>
      <w:jc w:val="center"/>
    </w:pPr>
    <w:r>
      <w:rPr>
        <w:noProof/>
        <w:lang w:eastAsia="en-AU"/>
      </w:rPr>
      <w:drawing>
        <wp:inline distT="0" distB="0" distL="0" distR="0" wp14:anchorId="2E360D14" wp14:editId="48A1FC07">
          <wp:extent cx="1677035" cy="1036472"/>
          <wp:effectExtent l="0" t="0" r="0" b="0"/>
          <wp:docPr id="43" name="Picture 43" descr="The Treasury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reasury_stack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748" cy="104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2D0947DF" wp14:editId="709EC6DB">
          <wp:extent cx="1076908" cy="952500"/>
          <wp:effectExtent l="0" t="0" r="9525" b="0"/>
          <wp:docPr id="44" name="Picture 44" descr="\\tweb\DavWWWRoot\sites\mg\fitpd\IITPU\ANCP\AusNCP Administration\Templates\AusNCP logo - dark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web\DavWWWRoot\sites\mg\fitpd\IITPU\ANCP\AusNCP Administration\Templates\AusNCP logo - dark backgrou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76" cy="96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081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8E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6C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D2B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806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EF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EC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8D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6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48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186F15"/>
    <w:multiLevelType w:val="multilevel"/>
    <w:tmpl w:val="D794F55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1"/>
    <w:rsid w:val="00045CAD"/>
    <w:rsid w:val="00053D61"/>
    <w:rsid w:val="0007269D"/>
    <w:rsid w:val="000E5BB1"/>
    <w:rsid w:val="000F14AB"/>
    <w:rsid w:val="00120D7C"/>
    <w:rsid w:val="001648A4"/>
    <w:rsid w:val="001846E0"/>
    <w:rsid w:val="001B546F"/>
    <w:rsid w:val="001E537A"/>
    <w:rsid w:val="002415EB"/>
    <w:rsid w:val="00256A72"/>
    <w:rsid w:val="00287E07"/>
    <w:rsid w:val="002F165B"/>
    <w:rsid w:val="002F7C87"/>
    <w:rsid w:val="00304D3A"/>
    <w:rsid w:val="0031025A"/>
    <w:rsid w:val="00373540"/>
    <w:rsid w:val="00384772"/>
    <w:rsid w:val="00393235"/>
    <w:rsid w:val="00397970"/>
    <w:rsid w:val="003F249B"/>
    <w:rsid w:val="00401891"/>
    <w:rsid w:val="004057A7"/>
    <w:rsid w:val="00417563"/>
    <w:rsid w:val="00426C96"/>
    <w:rsid w:val="004678B7"/>
    <w:rsid w:val="0048134A"/>
    <w:rsid w:val="004C72B9"/>
    <w:rsid w:val="00501D04"/>
    <w:rsid w:val="00532897"/>
    <w:rsid w:val="005343EE"/>
    <w:rsid w:val="0055616B"/>
    <w:rsid w:val="00604E0F"/>
    <w:rsid w:val="00694A49"/>
    <w:rsid w:val="006C131C"/>
    <w:rsid w:val="006E706D"/>
    <w:rsid w:val="00763A08"/>
    <w:rsid w:val="00790CF3"/>
    <w:rsid w:val="00790D53"/>
    <w:rsid w:val="007F6535"/>
    <w:rsid w:val="008209C5"/>
    <w:rsid w:val="008317E3"/>
    <w:rsid w:val="00832BEC"/>
    <w:rsid w:val="0085112A"/>
    <w:rsid w:val="00860394"/>
    <w:rsid w:val="00867C84"/>
    <w:rsid w:val="008D3018"/>
    <w:rsid w:val="008D7FD8"/>
    <w:rsid w:val="009305E0"/>
    <w:rsid w:val="00944186"/>
    <w:rsid w:val="0094511B"/>
    <w:rsid w:val="00971BC2"/>
    <w:rsid w:val="009C64FA"/>
    <w:rsid w:val="00A23BEA"/>
    <w:rsid w:val="00A53F0B"/>
    <w:rsid w:val="00AA08E9"/>
    <w:rsid w:val="00AD3356"/>
    <w:rsid w:val="00AD3974"/>
    <w:rsid w:val="00AD5703"/>
    <w:rsid w:val="00AE47EA"/>
    <w:rsid w:val="00B37375"/>
    <w:rsid w:val="00B75EC5"/>
    <w:rsid w:val="00BC0561"/>
    <w:rsid w:val="00BC48EA"/>
    <w:rsid w:val="00C41B4E"/>
    <w:rsid w:val="00C8639A"/>
    <w:rsid w:val="00CE6991"/>
    <w:rsid w:val="00CF1519"/>
    <w:rsid w:val="00D0146D"/>
    <w:rsid w:val="00D0624C"/>
    <w:rsid w:val="00D17BE6"/>
    <w:rsid w:val="00D34FE3"/>
    <w:rsid w:val="00D4736E"/>
    <w:rsid w:val="00D619B0"/>
    <w:rsid w:val="00D83695"/>
    <w:rsid w:val="00E061E4"/>
    <w:rsid w:val="00E24C84"/>
    <w:rsid w:val="00EA28BC"/>
    <w:rsid w:val="00EB69D9"/>
    <w:rsid w:val="00ED28AD"/>
    <w:rsid w:val="00EE4B55"/>
    <w:rsid w:val="00F14173"/>
    <w:rsid w:val="00F231CC"/>
    <w:rsid w:val="00F73DEB"/>
    <w:rsid w:val="00F84392"/>
    <w:rsid w:val="00FB3E0A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FFFC6C"/>
  <w15:docId w15:val="{E6D4BCCD-E193-4CB5-9B06-B99CD59D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6B"/>
    <w:pPr>
      <w:spacing w:after="240" w:line="28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4A49"/>
    <w:pPr>
      <w:tabs>
        <w:tab w:val="right" w:pos="9923"/>
      </w:tabs>
      <w:spacing w:after="480" w:line="240" w:lineRule="auto"/>
      <w:ind w:right="284"/>
      <w:jc w:val="center"/>
      <w:outlineLvl w:val="0"/>
    </w:pPr>
    <w:rPr>
      <w:b/>
      <w:i/>
      <w:color w:val="0070C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BEA"/>
    <w:pPr>
      <w:spacing w:before="240" w:after="360" w:line="240" w:lineRule="auto"/>
      <w:jc w:val="center"/>
      <w:outlineLvl w:val="1"/>
    </w:pPr>
    <w:rPr>
      <w:b/>
      <w:i/>
      <w:color w:val="0070C0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BEA"/>
    <w:pPr>
      <w:spacing w:after="120" w:line="240" w:lineRule="auto"/>
      <w:outlineLvl w:val="2"/>
    </w:pPr>
    <w:rPr>
      <w:b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7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rsid w:val="00B37375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B37375"/>
  </w:style>
  <w:style w:type="paragraph" w:customStyle="1" w:styleId="Dash">
    <w:name w:val="Dash"/>
    <w:basedOn w:val="Normal"/>
    <w:link w:val="DashChar"/>
    <w:rsid w:val="00B37375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B37375"/>
  </w:style>
  <w:style w:type="paragraph" w:customStyle="1" w:styleId="DoubleDot">
    <w:name w:val="Double Dot"/>
    <w:basedOn w:val="Normal"/>
    <w:link w:val="DoubleDotChar"/>
    <w:rsid w:val="00B37375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B37375"/>
  </w:style>
  <w:style w:type="paragraph" w:styleId="Header">
    <w:name w:val="header"/>
    <w:basedOn w:val="Normal"/>
    <w:link w:val="HeaderChar"/>
    <w:uiPriority w:val="99"/>
    <w:unhideWhenUsed/>
    <w:rsid w:val="00AD5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03"/>
  </w:style>
  <w:style w:type="paragraph" w:styleId="Footer">
    <w:name w:val="footer"/>
    <w:basedOn w:val="Normal"/>
    <w:link w:val="FooterChar"/>
    <w:uiPriority w:val="99"/>
    <w:unhideWhenUsed/>
    <w:rsid w:val="00AD5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03"/>
  </w:style>
  <w:style w:type="character" w:customStyle="1" w:styleId="Heading1Char">
    <w:name w:val="Heading 1 Char"/>
    <w:basedOn w:val="DefaultParagraphFont"/>
    <w:link w:val="Heading1"/>
    <w:uiPriority w:val="9"/>
    <w:rsid w:val="00694A49"/>
    <w:rPr>
      <w:b/>
      <w:i/>
      <w:color w:val="0070C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BEA"/>
    <w:rPr>
      <w:b/>
      <w:i/>
      <w:color w:val="0070C0"/>
      <w:sz w:val="32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A23BEA"/>
    <w:rPr>
      <w:b/>
      <w:i/>
      <w:color w:val="000000" w:themeColor="text1"/>
      <w:sz w:val="24"/>
    </w:rPr>
  </w:style>
  <w:style w:type="paragraph" w:customStyle="1" w:styleId="Normal-Indent">
    <w:name w:val="Normal - Indent"/>
    <w:basedOn w:val="Normal"/>
    <w:rsid w:val="00694A49"/>
    <w:pPr>
      <w:ind w:left="425" w:right="425"/>
    </w:pPr>
  </w:style>
  <w:style w:type="table" w:styleId="TableGrid">
    <w:name w:val="Table Grid"/>
    <w:basedOn w:val="TableNormal"/>
    <w:uiPriority w:val="59"/>
    <w:rsid w:val="0038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Graphic">
    <w:name w:val="Chart Graphic"/>
    <w:basedOn w:val="Normal"/>
    <w:rsid w:val="00D83695"/>
    <w:pPr>
      <w:spacing w:before="12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ausncp.gov.au/about/2017-review/treasury-response-2017-ausncp-independent-revie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mneguidelines.oec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sNCP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usncp.gov.au/about/governance-and-advisory-board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663B0ED0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663B0ED0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udge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57</Value>
    </TaxCatchAll>
    <_dlc_DocId xmlns="0f563589-9cf9-4143-b1eb-fb0534803d38">2019MG-1494553492-4237</_dlc_DocId>
    <_dlc_DocIdUrl xmlns="0f563589-9cf9-4143-b1eb-fb0534803d38">
      <Url>http://tweb/sites/mg/fitpd/_layouts/15/DocIdRedir.aspx?ID=2019MG-1494553492-4237</Url>
      <Description>2019MG-1494553492-4237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1697" ma:contentTypeDescription="" ma:contentTypeScope="" ma:versionID="ad34b94f6483a384e3fab739bdc683f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CC8B-565A-43FD-B830-11A84C1E463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C13DF9F-D330-4A14-91CD-06DE9752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F7B9F-B6FB-4D17-842E-246B62740F7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0f563589-9cf9-4143-b1eb-fb0534803d38"/>
    <ds:schemaRef ds:uri="d4dd4adf-ddb3-46a3-8d7c-fab3fb2a6bc7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139681-9DEA-4221-849C-9FB5C925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FBAAB3-736D-4D71-BDC4-C321CE490C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9D0196-06A8-488C-AE4B-D6DBA6C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Template.dotm</Template>
  <TotalTime>10</TotalTime>
  <Pages>1</Pages>
  <Words>168</Words>
  <Characters>1008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the inaugural AusNCP Independent Examiner</vt:lpstr>
    </vt:vector>
  </TitlesOfParts>
  <Company>Australian Government - The Treasury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inaugural AusNCP Independent Examiner</dc:title>
  <dc:creator>The Treasury | AusNCP</dc:creator>
  <cp:lastModifiedBy>Hill, Christine</cp:lastModifiedBy>
  <cp:revision>3</cp:revision>
  <cp:lastPrinted>2019-07-24T04:57:00Z</cp:lastPrinted>
  <dcterms:created xsi:type="dcterms:W3CDTF">2019-08-13T00:14:00Z</dcterms:created>
  <dcterms:modified xsi:type="dcterms:W3CDTF">2019-08-13T00:24:00Z</dcterms:modified>
</cp:coreProperties>
</file>