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77" w:rsidRPr="00F829AB" w:rsidRDefault="00FD6E77" w:rsidP="0019588C">
      <w:pPr>
        <w:pStyle w:val="OutlineNumbered1"/>
        <w:rPr>
          <w:rFonts w:ascii="Century Gothic" w:hAnsi="Century Gothic"/>
          <w:b/>
          <w:sz w:val="22"/>
        </w:rPr>
      </w:pPr>
      <w:bookmarkStart w:id="0" w:name="_GoBack"/>
      <w:bookmarkEnd w:id="0"/>
    </w:p>
    <w:tbl>
      <w:tblPr>
        <w:tblW w:w="0" w:type="auto"/>
        <w:jc w:val="center"/>
        <w:tblBorders>
          <w:left w:val="single" w:sz="24" w:space="0" w:color="3A87C8"/>
        </w:tblBorders>
        <w:tblLook w:val="04A0" w:firstRow="1" w:lastRow="0" w:firstColumn="1" w:lastColumn="0" w:noHBand="0" w:noVBand="1"/>
      </w:tblPr>
      <w:tblGrid>
        <w:gridCol w:w="7621"/>
      </w:tblGrid>
      <w:tr w:rsidR="00FD6E77" w:rsidRPr="00631CDC" w:rsidTr="0019588C">
        <w:trPr>
          <w:jc w:val="center"/>
        </w:trPr>
        <w:tc>
          <w:tcPr>
            <w:tcW w:w="7621" w:type="dxa"/>
          </w:tcPr>
          <w:p w:rsidR="00FD6E77" w:rsidRPr="00631CDC" w:rsidRDefault="00FD6E77" w:rsidP="0019588C">
            <w:pPr>
              <w:pStyle w:val="Subtitle"/>
              <w:ind w:left="170"/>
              <w:rPr>
                <w:noProof w:val="0"/>
              </w:rPr>
            </w:pPr>
            <w:r w:rsidRPr="00631CDC">
              <w:rPr>
                <w:noProof w:val="0"/>
              </w:rPr>
              <w:t>Australian National Contact Point</w:t>
            </w:r>
          </w:p>
          <w:p w:rsidR="00FD6E77" w:rsidRPr="00631CDC" w:rsidRDefault="00FD6E77" w:rsidP="0019588C">
            <w:pPr>
              <w:pStyle w:val="SubSubTitle"/>
              <w:rPr>
                <w:lang w:val="en-AU"/>
              </w:rPr>
            </w:pPr>
            <w:r w:rsidRPr="00631CDC">
              <w:rPr>
                <w:lang w:val="en-AU"/>
              </w:rPr>
              <w:t>for the OECD Guidelines for Multinational Enterprises</w:t>
            </w:r>
          </w:p>
        </w:tc>
      </w:tr>
      <w:tr w:rsidR="00FD6E77" w:rsidRPr="00631CDC" w:rsidTr="0019588C">
        <w:trPr>
          <w:jc w:val="center"/>
        </w:trPr>
        <w:tc>
          <w:tcPr>
            <w:tcW w:w="7621" w:type="dxa"/>
          </w:tcPr>
          <w:p w:rsidR="00FD6E77" w:rsidRPr="00631CDC" w:rsidRDefault="00A81C48" w:rsidP="0019588C">
            <w:pPr>
              <w:pStyle w:val="Title"/>
              <w:spacing w:after="960"/>
              <w:ind w:left="170"/>
              <w:contextualSpacing w:val="0"/>
            </w:pPr>
            <w:r w:rsidRPr="00631CDC">
              <w:rPr>
                <w:rFonts w:ascii="Arial Bold" w:eastAsiaTheme="minorEastAsia" w:hAnsi="Arial Bold" w:cs="Arial"/>
                <w:color w:val="3A87C8"/>
                <w:spacing w:val="6"/>
                <w:kern w:val="0"/>
                <w:sz w:val="86"/>
                <w:szCs w:val="22"/>
                <w:lang w:eastAsia="ja-JP"/>
              </w:rPr>
              <w:t>Initial Assessment</w:t>
            </w:r>
          </w:p>
        </w:tc>
      </w:tr>
      <w:tr w:rsidR="00FD6E77" w:rsidRPr="00631CDC" w:rsidTr="0019588C">
        <w:trPr>
          <w:jc w:val="center"/>
        </w:trPr>
        <w:tc>
          <w:tcPr>
            <w:tcW w:w="7621" w:type="dxa"/>
          </w:tcPr>
          <w:p w:rsidR="0068733E" w:rsidRPr="00631CDC" w:rsidRDefault="00FD6E77" w:rsidP="0068733E">
            <w:pPr>
              <w:pStyle w:val="SubSubSubTitle"/>
            </w:pPr>
            <w:r w:rsidRPr="00631CDC">
              <w:t xml:space="preserve">This complaint was submitted by </w:t>
            </w:r>
            <w:r w:rsidR="0068733E" w:rsidRPr="00631CDC">
              <w:t>John Podgorelec (on behalf of Andrew Starkey and Robert Starkey) in relation to ElectraNet Pty Ltd</w:t>
            </w:r>
          </w:p>
          <w:p w:rsidR="00FD6E77" w:rsidRPr="00631CDC" w:rsidRDefault="00FD6E77" w:rsidP="0068733E">
            <w:pPr>
              <w:pStyle w:val="SubSubSubTitle"/>
            </w:pPr>
          </w:p>
        </w:tc>
      </w:tr>
      <w:tr w:rsidR="00FD6E77" w:rsidRPr="00631CDC" w:rsidTr="0019588C">
        <w:trPr>
          <w:jc w:val="center"/>
        </w:trPr>
        <w:tc>
          <w:tcPr>
            <w:tcW w:w="7621" w:type="dxa"/>
          </w:tcPr>
          <w:p w:rsidR="00FD6E77" w:rsidRPr="00631CDC" w:rsidRDefault="00D76813" w:rsidP="00D76813">
            <w:pPr>
              <w:pStyle w:val="ReportDate"/>
              <w:ind w:left="149"/>
              <w:jc w:val="left"/>
            </w:pPr>
            <w:r>
              <w:rPr>
                <w:rFonts w:ascii="Futura Bk BT" w:eastAsiaTheme="minorEastAsia" w:hAnsi="Futura Bk BT" w:cstheme="minorBidi"/>
                <w:sz w:val="24"/>
                <w:szCs w:val="26"/>
                <w:lang w:eastAsia="ja-JP"/>
              </w:rPr>
              <w:t>Published Thursday, 25 February 2021</w:t>
            </w:r>
          </w:p>
        </w:tc>
      </w:tr>
    </w:tbl>
    <w:p w:rsidR="00FD6E77" w:rsidRPr="00631CDC" w:rsidRDefault="00FD6E77" w:rsidP="0019588C">
      <w:r w:rsidRPr="00631CDC">
        <w:br w:type="page"/>
      </w:r>
    </w:p>
    <w:p w:rsidR="00FD6E77" w:rsidRPr="00631CDC" w:rsidRDefault="00FD6E77" w:rsidP="0019588C">
      <w:pPr>
        <w:rPr>
          <w:rFonts w:ascii="Century Gothic" w:hAnsi="Century Gothic"/>
        </w:rPr>
      </w:pPr>
      <w:r w:rsidRPr="00631CDC">
        <w:rPr>
          <w:rFonts w:ascii="Century Gothic" w:hAnsi="Century Gothic"/>
        </w:rPr>
        <w:lastRenderedPageBreak/>
        <w:t xml:space="preserve">© Commonwealth of Australia </w:t>
      </w:r>
      <w:r w:rsidR="0030364D" w:rsidRPr="00631CDC">
        <w:rPr>
          <w:rFonts w:ascii="Century Gothic" w:hAnsi="Century Gothic"/>
        </w:rPr>
        <w:t>2021</w:t>
      </w:r>
    </w:p>
    <w:p w:rsidR="00FD6E77" w:rsidRPr="00631CDC" w:rsidRDefault="00FD6E77" w:rsidP="0019588C">
      <w:pPr>
        <w:rPr>
          <w:rFonts w:ascii="Century Gothic" w:hAnsi="Century Gothic"/>
          <w:sz w:val="24"/>
          <w:szCs w:val="24"/>
        </w:rPr>
      </w:pPr>
      <w:r w:rsidRPr="00631CDC">
        <w:rPr>
          <w:rFonts w:ascii="Century Gothic" w:hAnsi="Century Gothic"/>
        </w:rPr>
        <w:t>This publication is available for your use under a</w:t>
      </w:r>
      <w:r w:rsidRPr="00631CDC">
        <w:rPr>
          <w:rFonts w:ascii="Century Gothic" w:hAnsi="Century Gothic" w:cs="Calibri"/>
          <w:sz w:val="24"/>
          <w:szCs w:val="24"/>
        </w:rPr>
        <w:t xml:space="preserve"> </w:t>
      </w:r>
      <w:hyperlink r:id="rId9" w:history="1">
        <w:r w:rsidRPr="00631CDC">
          <w:rPr>
            <w:rStyle w:val="Hyperlink"/>
            <w:rFonts w:ascii="Century Gothic" w:hAnsi="Century Gothic"/>
          </w:rPr>
          <w:t>Creative Commons Attribution 3.0 Australia</w:t>
        </w:r>
      </w:hyperlink>
      <w:r w:rsidRPr="00631CDC">
        <w:rPr>
          <w:rFonts w:ascii="Century Gothic" w:hAnsi="Century Gothic" w:cs="Calibri"/>
          <w:sz w:val="24"/>
          <w:szCs w:val="24"/>
        </w:rPr>
        <w:t xml:space="preserve"> </w:t>
      </w:r>
      <w:r w:rsidRPr="00631CDC">
        <w:rPr>
          <w:rFonts w:ascii="Century Gothic" w:hAnsi="Century Gothic"/>
        </w:rPr>
        <w:t>licence, with the exception of the Commonwealth Coat of Arms, the Treasury logo, photographs, images, signatures and where otherwise stated. The full licence terms are available from</w:t>
      </w:r>
      <w:r w:rsidRPr="00631CDC">
        <w:rPr>
          <w:rFonts w:ascii="Century Gothic" w:hAnsi="Century Gothic" w:cs="Calibri"/>
          <w:sz w:val="24"/>
          <w:szCs w:val="24"/>
        </w:rPr>
        <w:t xml:space="preserve"> </w:t>
      </w:r>
      <w:hyperlink r:id="rId10" w:history="1">
        <w:r w:rsidRPr="00631CDC">
          <w:rPr>
            <w:rStyle w:val="Hyperlink"/>
            <w:rFonts w:ascii="Century Gothic" w:hAnsi="Century Gothic"/>
          </w:rPr>
          <w:t>http://creativecommons.org/licenses/by/3.0/au/</w:t>
        </w:r>
        <w:r w:rsidRPr="00631CDC">
          <w:rPr>
            <w:rStyle w:val="Hyperlink"/>
            <w:rFonts w:ascii="Century Gothic" w:hAnsi="Century Gothic"/>
          </w:rPr>
          <w:br/>
          <w:t>legalcode</w:t>
        </w:r>
      </w:hyperlink>
      <w:r w:rsidRPr="00631CDC">
        <w:rPr>
          <w:rFonts w:ascii="Century Gothic" w:hAnsi="Century Gothic"/>
          <w:b/>
          <w:color w:val="004A7F"/>
        </w:rPr>
        <w:t>.</w:t>
      </w:r>
    </w:p>
    <w:p w:rsidR="00FD6E77" w:rsidRPr="00631CDC" w:rsidRDefault="00FD6E77" w:rsidP="0019588C">
      <w:pPr>
        <w:pStyle w:val="TableGraphic"/>
        <w:rPr>
          <w:rFonts w:ascii="Century Gothic" w:hAnsi="Century Gothic"/>
        </w:rPr>
      </w:pPr>
      <w:r w:rsidRPr="00631CDC">
        <w:rPr>
          <w:rFonts w:ascii="Century Gothic" w:hAnsi="Century Gothic"/>
          <w:noProof/>
        </w:rPr>
        <w:drawing>
          <wp:anchor distT="0" distB="0" distL="114300" distR="114300" simplePos="0" relativeHeight="251659264" behindDoc="0" locked="0" layoutInCell="1" allowOverlap="1" wp14:anchorId="0442E73C" wp14:editId="15ADA81D">
            <wp:simplePos x="0" y="0"/>
            <wp:positionH relativeFrom="column">
              <wp:posOffset>4445</wp:posOffset>
            </wp:positionH>
            <wp:positionV relativeFrom="paragraph">
              <wp:posOffset>4445</wp:posOffset>
            </wp:positionV>
            <wp:extent cx="809625" cy="285750"/>
            <wp:effectExtent l="0" t="0" r="9525" b="0"/>
            <wp:wrapSquare wrapText="bothSides"/>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D6E77" w:rsidRPr="00631CDC" w:rsidRDefault="00FD6E77" w:rsidP="0019588C">
      <w:pPr>
        <w:rPr>
          <w:rFonts w:ascii="Century Gothic" w:hAnsi="Century Gothic"/>
        </w:rPr>
      </w:pPr>
      <w:r w:rsidRPr="00631CDC">
        <w:rPr>
          <w:rFonts w:ascii="Century Gothic" w:hAnsi="Century Gothic"/>
        </w:rPr>
        <w:t>Use of Treasury material under a</w:t>
      </w:r>
      <w:r w:rsidRPr="00631CDC">
        <w:rPr>
          <w:rFonts w:ascii="Century Gothic" w:hAnsi="Century Gothic" w:cs="Calibri"/>
          <w:sz w:val="24"/>
          <w:szCs w:val="24"/>
        </w:rPr>
        <w:t xml:space="preserve"> </w:t>
      </w:r>
      <w:hyperlink r:id="rId12" w:history="1">
        <w:r w:rsidRPr="00631CDC">
          <w:rPr>
            <w:rStyle w:val="Hyperlink"/>
            <w:rFonts w:ascii="Century Gothic" w:hAnsi="Century Gothic"/>
          </w:rPr>
          <w:t>Creative Commons Attribution 3.0 Australia</w:t>
        </w:r>
      </w:hyperlink>
      <w:r w:rsidRPr="00631CDC">
        <w:rPr>
          <w:rFonts w:ascii="Century Gothic" w:hAnsi="Century Gothic"/>
          <w:b/>
          <w:color w:val="004A7F"/>
        </w:rPr>
        <w:t xml:space="preserve"> </w:t>
      </w:r>
      <w:r w:rsidRPr="00631CDC">
        <w:rPr>
          <w:rFonts w:ascii="Century Gothic" w:hAnsi="Century Gothic"/>
        </w:rPr>
        <w:t>licence requires you to attribute the work (but not in any way that suggests that the Treasury endorses you or your use of the work).</w:t>
      </w:r>
    </w:p>
    <w:p w:rsidR="00FD6E77" w:rsidRPr="00631CDC" w:rsidRDefault="00FD6E77" w:rsidP="0019588C">
      <w:pPr>
        <w:ind w:left="567"/>
        <w:rPr>
          <w:rFonts w:ascii="Century Gothic" w:hAnsi="Century Gothic"/>
          <w:i/>
        </w:rPr>
      </w:pPr>
      <w:r w:rsidRPr="00631CDC">
        <w:rPr>
          <w:rFonts w:ascii="Century Gothic" w:hAnsi="Century Gothic"/>
          <w:i/>
        </w:rPr>
        <w:t>Treasury material used ‘as supplied’.</w:t>
      </w:r>
    </w:p>
    <w:p w:rsidR="00FD6E77" w:rsidRPr="00631CDC" w:rsidRDefault="00FD6E77" w:rsidP="0019588C">
      <w:pPr>
        <w:rPr>
          <w:rFonts w:ascii="Century Gothic" w:hAnsi="Century Gothic"/>
        </w:rPr>
      </w:pPr>
      <w:r w:rsidRPr="00631CDC">
        <w:rPr>
          <w:rFonts w:ascii="Century Gothic" w:hAnsi="Century Gothic"/>
        </w:rPr>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rsidR="00FD6E77" w:rsidRPr="00631CDC" w:rsidRDefault="00FD6E77" w:rsidP="0019588C">
      <w:pPr>
        <w:ind w:left="567"/>
        <w:rPr>
          <w:rFonts w:ascii="Century Gothic" w:hAnsi="Century Gothic"/>
          <w:i/>
        </w:rPr>
      </w:pPr>
      <w:r w:rsidRPr="00631CDC">
        <w:rPr>
          <w:rFonts w:ascii="Century Gothic" w:hAnsi="Century Gothic"/>
          <w:i/>
        </w:rPr>
        <w:t>Source: The Australian Government the Treasury</w:t>
      </w:r>
    </w:p>
    <w:p w:rsidR="00FD6E77" w:rsidRPr="00631CDC" w:rsidRDefault="00FD6E77" w:rsidP="00D76813">
      <w:pPr>
        <w:tabs>
          <w:tab w:val="center" w:pos="4819"/>
        </w:tabs>
        <w:rPr>
          <w:rFonts w:ascii="Century Gothic" w:hAnsi="Century Gothic"/>
          <w:b/>
        </w:rPr>
      </w:pPr>
      <w:r w:rsidRPr="00631CDC">
        <w:rPr>
          <w:rFonts w:ascii="Century Gothic" w:hAnsi="Century Gothic"/>
          <w:b/>
        </w:rPr>
        <w:t>Derivative material</w:t>
      </w:r>
      <w:r w:rsidR="00D76813">
        <w:rPr>
          <w:rFonts w:ascii="Century Gothic" w:hAnsi="Century Gothic"/>
          <w:b/>
        </w:rPr>
        <w:tab/>
      </w:r>
    </w:p>
    <w:p w:rsidR="00FD6E77" w:rsidRPr="00631CDC" w:rsidRDefault="00FD6E77" w:rsidP="0019588C">
      <w:pPr>
        <w:rPr>
          <w:rFonts w:ascii="Century Gothic" w:hAnsi="Century Gothic"/>
        </w:rPr>
      </w:pPr>
      <w:r w:rsidRPr="00631CDC">
        <w:rPr>
          <w:rFonts w:ascii="Century Gothic" w:hAnsi="Century Gothic"/>
        </w:rPr>
        <w:t>If you have modified or transformed Treasury material, or derived new material from those of the Treasury in any way, then Treasury prefers the following attribution:</w:t>
      </w:r>
    </w:p>
    <w:p w:rsidR="00FD6E77" w:rsidRPr="00631CDC" w:rsidRDefault="00FD6E77" w:rsidP="0019588C">
      <w:pPr>
        <w:ind w:left="567"/>
        <w:rPr>
          <w:rFonts w:ascii="Century Gothic" w:hAnsi="Century Gothic"/>
          <w:i/>
        </w:rPr>
      </w:pPr>
      <w:r w:rsidRPr="00631CDC">
        <w:rPr>
          <w:rFonts w:ascii="Century Gothic" w:hAnsi="Century Gothic"/>
          <w:i/>
        </w:rPr>
        <w:t>Based on The Australian Government the Treasury data</w:t>
      </w:r>
    </w:p>
    <w:p w:rsidR="00FD6E77" w:rsidRPr="00631CDC" w:rsidRDefault="00FD6E77" w:rsidP="0019588C">
      <w:pPr>
        <w:rPr>
          <w:rFonts w:ascii="Century Gothic" w:hAnsi="Century Gothic"/>
          <w:b/>
        </w:rPr>
      </w:pPr>
      <w:r w:rsidRPr="00631CDC">
        <w:rPr>
          <w:rFonts w:ascii="Century Gothic" w:hAnsi="Century Gothic"/>
          <w:b/>
        </w:rPr>
        <w:t>Use of the Coat of Arms</w:t>
      </w:r>
    </w:p>
    <w:p w:rsidR="00FD6E77" w:rsidRPr="00631CDC" w:rsidRDefault="00FD6E77" w:rsidP="0019588C">
      <w:pPr>
        <w:rPr>
          <w:rFonts w:ascii="Century Gothic" w:hAnsi="Century Gothic"/>
        </w:rPr>
      </w:pPr>
      <w:r w:rsidRPr="00631CDC">
        <w:rPr>
          <w:rFonts w:ascii="Century Gothic" w:hAnsi="Century Gothic"/>
        </w:rPr>
        <w:t>The terms under which the Coat of Arms can be used are set out on the It’s an Honour website (see </w:t>
      </w:r>
      <w:hyperlink r:id="rId13" w:history="1">
        <w:r w:rsidRPr="00631CDC">
          <w:rPr>
            <w:rStyle w:val="Hyperlink"/>
            <w:rFonts w:ascii="Century Gothic" w:hAnsi="Century Gothic"/>
          </w:rPr>
          <w:t>www.itsanhonour.gov.au</w:t>
        </w:r>
      </w:hyperlink>
      <w:r w:rsidRPr="00631CDC">
        <w:rPr>
          <w:rFonts w:ascii="Century Gothic" w:hAnsi="Century Gothic"/>
        </w:rPr>
        <w:t>).</w:t>
      </w:r>
    </w:p>
    <w:p w:rsidR="00FD6E77" w:rsidRPr="00631CDC" w:rsidRDefault="00FD6E77" w:rsidP="0019588C">
      <w:pPr>
        <w:rPr>
          <w:rFonts w:ascii="Century Gothic" w:hAnsi="Century Gothic"/>
          <w:b/>
        </w:rPr>
      </w:pPr>
      <w:r w:rsidRPr="00631CDC">
        <w:rPr>
          <w:rFonts w:ascii="Century Gothic" w:hAnsi="Century Gothic"/>
          <w:b/>
        </w:rPr>
        <w:t>Other uses</w:t>
      </w:r>
    </w:p>
    <w:p w:rsidR="00FD6E77" w:rsidRPr="00631CDC" w:rsidRDefault="00FD6E77" w:rsidP="0019588C">
      <w:pPr>
        <w:rPr>
          <w:rFonts w:ascii="Century Gothic" w:hAnsi="Century Gothic"/>
        </w:rPr>
      </w:pPr>
      <w:r w:rsidRPr="00631CDC">
        <w:rPr>
          <w:rFonts w:ascii="Century Gothic" w:hAnsi="Century Gothic"/>
        </w:rPr>
        <w:t>Enquiries regarding this licence and any other use of this document are welcome at:</w:t>
      </w:r>
    </w:p>
    <w:p w:rsidR="00FD6E77" w:rsidRPr="00631CDC" w:rsidRDefault="00FD6E77" w:rsidP="0019588C">
      <w:pPr>
        <w:ind w:left="567"/>
        <w:rPr>
          <w:rFonts w:ascii="Century Gothic" w:hAnsi="Century Gothic"/>
          <w:b/>
          <w:color w:val="004A7F"/>
        </w:rPr>
      </w:pPr>
      <w:r w:rsidRPr="00631CDC">
        <w:rPr>
          <w:rFonts w:ascii="Century Gothic" w:hAnsi="Century Gothic"/>
        </w:rPr>
        <w:t>Manager, Media Unit</w:t>
      </w:r>
      <w:r w:rsidRPr="00631CDC">
        <w:rPr>
          <w:rFonts w:ascii="Century Gothic" w:hAnsi="Century Gothic"/>
        </w:rPr>
        <w:br/>
        <w:t>The Treasury</w:t>
      </w:r>
      <w:r w:rsidRPr="00631CDC">
        <w:rPr>
          <w:rFonts w:ascii="Century Gothic" w:hAnsi="Century Gothic"/>
        </w:rPr>
        <w:br/>
        <w:t xml:space="preserve">Langton Crescent </w:t>
      </w:r>
      <w:r w:rsidRPr="00631CDC">
        <w:rPr>
          <w:rFonts w:ascii="Century Gothic" w:hAnsi="Century Gothic"/>
        </w:rPr>
        <w:br/>
        <w:t>Parkes  ACT  2600</w:t>
      </w:r>
      <w:r w:rsidRPr="00631CDC">
        <w:rPr>
          <w:rFonts w:ascii="Century Gothic" w:hAnsi="Century Gothic"/>
        </w:rPr>
        <w:br/>
        <w:t xml:space="preserve">Email: </w:t>
      </w:r>
      <w:hyperlink r:id="rId14" w:history="1">
        <w:r w:rsidRPr="00631CDC">
          <w:rPr>
            <w:rStyle w:val="Hyperlink"/>
            <w:rFonts w:ascii="Century Gothic" w:hAnsi="Century Gothic"/>
          </w:rPr>
          <w:t>medialiaison@treasury.gov.au</w:t>
        </w:r>
      </w:hyperlink>
    </w:p>
    <w:p w:rsidR="00FD6E77" w:rsidRPr="00631CDC" w:rsidRDefault="00FD6E77" w:rsidP="0019588C">
      <w:pPr>
        <w:pStyle w:val="OutlineNumbered1"/>
        <w:rPr>
          <w:rFonts w:ascii="Century Gothic" w:hAnsi="Century Gothic"/>
          <w:b/>
          <w:sz w:val="22"/>
        </w:rPr>
      </w:pPr>
    </w:p>
    <w:p w:rsidR="00FD6E77" w:rsidRPr="00631CDC" w:rsidRDefault="00FD6E77" w:rsidP="0019588C">
      <w:pPr>
        <w:pStyle w:val="Heading1"/>
        <w:keepLines w:val="0"/>
        <w:pageBreakBefore/>
        <w:pBdr>
          <w:bottom w:val="single" w:sz="12" w:space="10" w:color="3A87C8"/>
        </w:pBdr>
        <w:spacing w:before="360" w:line="240" w:lineRule="auto"/>
        <w:rPr>
          <w:rFonts w:ascii="Calibri" w:eastAsia="Times New Roman" w:hAnsi="Calibri" w:cs="Arial"/>
          <w:bCs w:val="0"/>
          <w:caps/>
          <w:color w:val="3A87C8"/>
          <w:kern w:val="32"/>
          <w:sz w:val="44"/>
          <w:szCs w:val="36"/>
          <w:lang w:eastAsia="en-AU"/>
        </w:rPr>
      </w:pPr>
      <w:bookmarkStart w:id="1" w:name="_Toc34504297"/>
      <w:bookmarkStart w:id="2" w:name="_Toc61348602"/>
      <w:bookmarkStart w:id="3" w:name="_Toc64463314"/>
      <w:r w:rsidRPr="00631CDC">
        <w:rPr>
          <w:rFonts w:ascii="Calibri" w:eastAsia="Times New Roman" w:hAnsi="Calibri" w:cs="Arial"/>
          <w:bCs w:val="0"/>
          <w:caps/>
          <w:color w:val="3A87C8"/>
          <w:kern w:val="32"/>
          <w:sz w:val="44"/>
          <w:szCs w:val="36"/>
          <w:lang w:eastAsia="en-AU"/>
        </w:rPr>
        <w:lastRenderedPageBreak/>
        <w:t>Executive summary</w:t>
      </w:r>
      <w:bookmarkEnd w:id="1"/>
      <w:bookmarkEnd w:id="2"/>
      <w:bookmarkEnd w:id="3"/>
    </w:p>
    <w:p w:rsidR="00FD6E77" w:rsidRPr="00F153D6" w:rsidRDefault="00FD6E77" w:rsidP="00F153D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F153D6">
        <w:rPr>
          <w:rFonts w:ascii="Century Gothic" w:eastAsia="Times New Roman" w:hAnsi="Century Gothic" w:cs="Times New Roman"/>
          <w:color w:val="000000" w:themeColor="text1"/>
          <w:sz w:val="22"/>
          <w:lang w:eastAsia="en-AU"/>
        </w:rPr>
        <w:t xml:space="preserve">On </w:t>
      </w:r>
      <w:r w:rsidR="0068733E" w:rsidRPr="00F153D6">
        <w:rPr>
          <w:rFonts w:ascii="Century Gothic" w:eastAsia="Times New Roman" w:hAnsi="Century Gothic" w:cs="Times New Roman"/>
          <w:color w:val="000000" w:themeColor="text1"/>
          <w:sz w:val="22"/>
          <w:lang w:eastAsia="en-AU"/>
        </w:rPr>
        <w:t>28 October</w:t>
      </w:r>
      <w:r w:rsidRPr="00F153D6">
        <w:rPr>
          <w:rFonts w:ascii="Century Gothic" w:eastAsia="Times New Roman" w:hAnsi="Century Gothic" w:cs="Times New Roman"/>
          <w:color w:val="000000" w:themeColor="text1"/>
          <w:sz w:val="22"/>
          <w:lang w:eastAsia="en-AU"/>
        </w:rPr>
        <w:t xml:space="preserve"> 2020, the Australian National Contact Point (</w:t>
      </w:r>
      <w:r w:rsidRPr="00F153D6">
        <w:rPr>
          <w:rFonts w:ascii="Century Gothic" w:eastAsia="Times New Roman" w:hAnsi="Century Gothic" w:cs="Times New Roman"/>
          <w:b/>
          <w:bCs/>
          <w:color w:val="000000" w:themeColor="text1"/>
          <w:sz w:val="22"/>
          <w:lang w:eastAsia="en-AU"/>
        </w:rPr>
        <w:t>AusNCP</w:t>
      </w:r>
      <w:r w:rsidRPr="00F153D6">
        <w:rPr>
          <w:rFonts w:ascii="Century Gothic" w:eastAsia="Times New Roman" w:hAnsi="Century Gothic" w:cs="Times New Roman"/>
          <w:color w:val="000000" w:themeColor="text1"/>
          <w:sz w:val="22"/>
          <w:lang w:eastAsia="en-AU"/>
        </w:rPr>
        <w:t xml:space="preserve">) received a complaint </w:t>
      </w:r>
      <w:r w:rsidR="00F153D6">
        <w:rPr>
          <w:rFonts w:ascii="Century Gothic" w:eastAsia="Times New Roman" w:hAnsi="Century Gothic" w:cs="Times New Roman"/>
          <w:color w:val="000000" w:themeColor="text1"/>
          <w:sz w:val="22"/>
          <w:lang w:eastAsia="en-AU"/>
        </w:rPr>
        <w:t>(</w:t>
      </w:r>
      <w:r w:rsidR="00F153D6" w:rsidRPr="00F153D6">
        <w:rPr>
          <w:rFonts w:ascii="Century Gothic" w:eastAsia="Times New Roman" w:hAnsi="Century Gothic" w:cs="Times New Roman"/>
          <w:b/>
          <w:bCs/>
          <w:color w:val="000000" w:themeColor="text1"/>
          <w:sz w:val="22"/>
          <w:lang w:eastAsia="en-AU"/>
        </w:rPr>
        <w:t>Complaint</w:t>
      </w:r>
      <w:r w:rsidR="00F153D6">
        <w:rPr>
          <w:rFonts w:ascii="Century Gothic" w:eastAsia="Times New Roman" w:hAnsi="Century Gothic" w:cs="Times New Roman"/>
          <w:color w:val="000000" w:themeColor="text1"/>
          <w:sz w:val="22"/>
          <w:lang w:eastAsia="en-AU"/>
        </w:rPr>
        <w:t xml:space="preserve">) </w:t>
      </w:r>
      <w:r w:rsidR="0068733E" w:rsidRPr="00F153D6">
        <w:rPr>
          <w:rFonts w:ascii="Century Gothic" w:eastAsia="Times New Roman" w:hAnsi="Century Gothic" w:cs="Times New Roman"/>
          <w:color w:val="000000" w:themeColor="text1"/>
          <w:sz w:val="22"/>
          <w:lang w:eastAsia="en-AU"/>
        </w:rPr>
        <w:t>on behalf of Andrew Starkey and Robert Starkey</w:t>
      </w:r>
      <w:r w:rsidRPr="00F153D6">
        <w:rPr>
          <w:rFonts w:ascii="Century Gothic" w:eastAsia="Times New Roman" w:hAnsi="Century Gothic" w:cs="Times New Roman"/>
          <w:color w:val="000000" w:themeColor="text1"/>
          <w:sz w:val="22"/>
          <w:lang w:eastAsia="en-AU"/>
        </w:rPr>
        <w:t xml:space="preserve"> (</w:t>
      </w:r>
      <w:r w:rsidR="00A81C48" w:rsidRPr="00F153D6">
        <w:rPr>
          <w:rFonts w:ascii="Century Gothic" w:eastAsia="Times New Roman" w:hAnsi="Century Gothic" w:cs="Times New Roman"/>
          <w:b/>
          <w:bCs/>
          <w:color w:val="000000" w:themeColor="text1"/>
          <w:sz w:val="22"/>
          <w:lang w:eastAsia="en-AU"/>
        </w:rPr>
        <w:t>Starkeys</w:t>
      </w:r>
      <w:r w:rsidRPr="00F153D6">
        <w:rPr>
          <w:rFonts w:ascii="Century Gothic" w:eastAsia="Times New Roman" w:hAnsi="Century Gothic" w:cs="Times New Roman"/>
          <w:color w:val="000000" w:themeColor="text1"/>
          <w:sz w:val="22"/>
          <w:lang w:eastAsia="en-AU"/>
        </w:rPr>
        <w:t xml:space="preserve">) against </w:t>
      </w:r>
      <w:r w:rsidR="0068733E" w:rsidRPr="00F153D6">
        <w:rPr>
          <w:rFonts w:ascii="Century Gothic" w:eastAsia="Times New Roman" w:hAnsi="Century Gothic" w:cs="Times New Roman"/>
          <w:color w:val="000000" w:themeColor="text1"/>
          <w:sz w:val="22"/>
          <w:lang w:eastAsia="en-AU"/>
        </w:rPr>
        <w:t>ElectraNet Pty Ltd</w:t>
      </w:r>
      <w:r w:rsidRPr="00F153D6">
        <w:rPr>
          <w:rFonts w:ascii="Century Gothic" w:eastAsia="Times New Roman" w:hAnsi="Century Gothic" w:cs="Times New Roman"/>
          <w:color w:val="000000" w:themeColor="text1"/>
          <w:sz w:val="22"/>
          <w:lang w:eastAsia="en-AU"/>
        </w:rPr>
        <w:t xml:space="preserve"> (</w:t>
      </w:r>
      <w:r w:rsidR="0068733E" w:rsidRPr="00F153D6">
        <w:rPr>
          <w:rFonts w:ascii="Century Gothic" w:eastAsia="Times New Roman" w:hAnsi="Century Gothic" w:cs="Times New Roman"/>
          <w:b/>
          <w:bCs/>
          <w:color w:val="000000" w:themeColor="text1"/>
          <w:sz w:val="22"/>
          <w:lang w:eastAsia="en-AU"/>
        </w:rPr>
        <w:t>ElectraNet</w:t>
      </w:r>
      <w:r w:rsidRPr="00F153D6">
        <w:rPr>
          <w:rFonts w:ascii="Century Gothic" w:eastAsia="Times New Roman" w:hAnsi="Century Gothic" w:cs="Times New Roman"/>
          <w:color w:val="000000" w:themeColor="text1"/>
          <w:sz w:val="22"/>
          <w:lang w:eastAsia="en-AU"/>
        </w:rPr>
        <w:t>).</w:t>
      </w:r>
      <w:r w:rsidR="00F153D6" w:rsidRPr="00F153D6">
        <w:rPr>
          <w:rFonts w:ascii="Century Gothic" w:eastAsia="Times New Roman" w:hAnsi="Century Gothic" w:cs="Times New Roman"/>
          <w:color w:val="000000" w:themeColor="text1"/>
          <w:sz w:val="22"/>
          <w:lang w:eastAsia="en-AU"/>
        </w:rPr>
        <w:t xml:space="preserve"> </w:t>
      </w:r>
      <w:r w:rsidRPr="00F153D6">
        <w:rPr>
          <w:rFonts w:ascii="Century Gothic" w:eastAsia="Times New Roman" w:hAnsi="Century Gothic" w:cs="Times New Roman"/>
          <w:color w:val="000000" w:themeColor="text1"/>
          <w:sz w:val="22"/>
          <w:lang w:eastAsia="en-AU"/>
        </w:rPr>
        <w:t>The Complaint allege</w:t>
      </w:r>
      <w:r w:rsidR="00A81C48" w:rsidRPr="00F153D6">
        <w:rPr>
          <w:rFonts w:ascii="Century Gothic" w:eastAsia="Times New Roman" w:hAnsi="Century Gothic" w:cs="Times New Roman"/>
          <w:color w:val="000000" w:themeColor="text1"/>
          <w:sz w:val="22"/>
          <w:lang w:eastAsia="en-AU"/>
        </w:rPr>
        <w:t>s</w:t>
      </w:r>
      <w:r w:rsidRPr="00F153D6">
        <w:rPr>
          <w:rFonts w:ascii="Century Gothic" w:eastAsia="Times New Roman" w:hAnsi="Century Gothic" w:cs="Times New Roman"/>
          <w:color w:val="000000" w:themeColor="text1"/>
          <w:sz w:val="22"/>
          <w:lang w:eastAsia="en-AU"/>
        </w:rPr>
        <w:t xml:space="preserve"> </w:t>
      </w:r>
      <w:r w:rsidR="0069447C" w:rsidRPr="00F153D6">
        <w:rPr>
          <w:rFonts w:ascii="Century Gothic" w:eastAsia="Times New Roman" w:hAnsi="Century Gothic" w:cs="Times New Roman"/>
          <w:color w:val="000000" w:themeColor="text1"/>
          <w:sz w:val="22"/>
          <w:lang w:eastAsia="en-AU"/>
        </w:rPr>
        <w:t>that Electra</w:t>
      </w:r>
      <w:r w:rsidR="00370A6E" w:rsidRPr="00F153D6">
        <w:rPr>
          <w:rFonts w:ascii="Century Gothic" w:eastAsia="Times New Roman" w:hAnsi="Century Gothic" w:cs="Times New Roman"/>
          <w:color w:val="000000" w:themeColor="text1"/>
          <w:sz w:val="22"/>
          <w:lang w:eastAsia="en-AU"/>
        </w:rPr>
        <w:t>N</w:t>
      </w:r>
      <w:r w:rsidR="0069447C" w:rsidRPr="00F153D6">
        <w:rPr>
          <w:rFonts w:ascii="Century Gothic" w:eastAsia="Times New Roman" w:hAnsi="Century Gothic" w:cs="Times New Roman"/>
          <w:color w:val="000000" w:themeColor="text1"/>
          <w:sz w:val="22"/>
          <w:lang w:eastAsia="en-AU"/>
        </w:rPr>
        <w:t xml:space="preserve">et’s construction of </w:t>
      </w:r>
      <w:r w:rsidR="001B479C" w:rsidRPr="00F153D6">
        <w:rPr>
          <w:rFonts w:ascii="Century Gothic" w:eastAsia="Times New Roman" w:hAnsi="Century Gothic" w:cs="Times New Roman"/>
          <w:color w:val="000000" w:themeColor="text1"/>
          <w:sz w:val="22"/>
          <w:lang w:eastAsia="en-AU"/>
        </w:rPr>
        <w:t>electricity</w:t>
      </w:r>
      <w:r w:rsidR="0069447C" w:rsidRPr="00F153D6">
        <w:rPr>
          <w:rFonts w:ascii="Century Gothic" w:eastAsia="Times New Roman" w:hAnsi="Century Gothic" w:cs="Times New Roman"/>
          <w:color w:val="000000" w:themeColor="text1"/>
          <w:sz w:val="22"/>
          <w:lang w:eastAsia="en-AU"/>
        </w:rPr>
        <w:t xml:space="preserve"> </w:t>
      </w:r>
      <w:r w:rsidR="001B479C" w:rsidRPr="00F153D6">
        <w:rPr>
          <w:rFonts w:ascii="Century Gothic" w:eastAsia="Times New Roman" w:hAnsi="Century Gothic" w:cs="Times New Roman"/>
          <w:color w:val="000000" w:themeColor="text1"/>
          <w:sz w:val="22"/>
          <w:lang w:eastAsia="en-AU"/>
        </w:rPr>
        <w:t>facilities</w:t>
      </w:r>
      <w:r w:rsidR="0069447C" w:rsidRPr="00F153D6">
        <w:rPr>
          <w:rFonts w:ascii="Century Gothic" w:eastAsia="Times New Roman" w:hAnsi="Century Gothic" w:cs="Times New Roman"/>
          <w:color w:val="000000" w:themeColor="text1"/>
          <w:sz w:val="22"/>
          <w:lang w:eastAsia="en-AU"/>
        </w:rPr>
        <w:t xml:space="preserve"> </w:t>
      </w:r>
      <w:r w:rsidR="0030364D" w:rsidRPr="00F153D6">
        <w:rPr>
          <w:rFonts w:ascii="Century Gothic" w:eastAsia="Times New Roman" w:hAnsi="Century Gothic" w:cs="Times New Roman"/>
          <w:color w:val="000000" w:themeColor="text1"/>
          <w:sz w:val="22"/>
          <w:lang w:eastAsia="en-AU"/>
        </w:rPr>
        <w:t xml:space="preserve">in South Australia </w:t>
      </w:r>
      <w:r w:rsidR="0069447C" w:rsidRPr="00F153D6">
        <w:rPr>
          <w:rFonts w:ascii="Century Gothic" w:eastAsia="Times New Roman" w:hAnsi="Century Gothic" w:cs="Times New Roman"/>
          <w:color w:val="000000" w:themeColor="text1"/>
          <w:sz w:val="22"/>
          <w:lang w:eastAsia="en-AU"/>
        </w:rPr>
        <w:t xml:space="preserve">damaged Aboriginal heritage sites for which the </w:t>
      </w:r>
      <w:r w:rsidR="00A81C48" w:rsidRPr="00F153D6">
        <w:rPr>
          <w:rFonts w:ascii="Century Gothic" w:eastAsia="Times New Roman" w:hAnsi="Century Gothic" w:cs="Times New Roman"/>
          <w:color w:val="000000" w:themeColor="text1"/>
          <w:sz w:val="22"/>
          <w:lang w:eastAsia="en-AU"/>
        </w:rPr>
        <w:t>Starkeys</w:t>
      </w:r>
      <w:r w:rsidR="0069447C" w:rsidRPr="00F153D6">
        <w:rPr>
          <w:rFonts w:ascii="Century Gothic" w:eastAsia="Times New Roman" w:hAnsi="Century Gothic" w:cs="Times New Roman"/>
          <w:color w:val="000000" w:themeColor="text1"/>
          <w:sz w:val="22"/>
          <w:lang w:eastAsia="en-AU"/>
        </w:rPr>
        <w:t xml:space="preserve"> have traditional custodial responsibilities</w:t>
      </w:r>
      <w:r w:rsidR="00A81C48" w:rsidRPr="00F153D6">
        <w:rPr>
          <w:rFonts w:ascii="Century Gothic" w:eastAsia="Times New Roman" w:hAnsi="Century Gothic" w:cs="Times New Roman"/>
          <w:color w:val="000000" w:themeColor="text1"/>
          <w:sz w:val="22"/>
          <w:lang w:eastAsia="en-AU"/>
        </w:rPr>
        <w:t>,</w:t>
      </w:r>
      <w:r w:rsidR="0069447C" w:rsidRPr="00F153D6">
        <w:rPr>
          <w:rFonts w:ascii="Century Gothic" w:eastAsia="Times New Roman" w:hAnsi="Century Gothic" w:cs="Times New Roman"/>
          <w:color w:val="000000" w:themeColor="text1"/>
          <w:sz w:val="22"/>
          <w:lang w:eastAsia="en-AU"/>
        </w:rPr>
        <w:t xml:space="preserve"> contrary</w:t>
      </w:r>
      <w:r w:rsidRPr="00F153D6">
        <w:rPr>
          <w:rFonts w:ascii="Century Gothic" w:eastAsia="Times New Roman" w:hAnsi="Century Gothic" w:cs="Times New Roman"/>
          <w:color w:val="000000" w:themeColor="text1"/>
          <w:sz w:val="22"/>
          <w:lang w:eastAsia="en-AU"/>
        </w:rPr>
        <w:t xml:space="preserve"> to the </w:t>
      </w:r>
      <w:r w:rsidRPr="00F153D6">
        <w:rPr>
          <w:rFonts w:ascii="Century Gothic" w:eastAsia="Times New Roman" w:hAnsi="Century Gothic" w:cs="Times New Roman"/>
          <w:i/>
          <w:iCs/>
          <w:color w:val="000000" w:themeColor="text1"/>
          <w:sz w:val="22"/>
          <w:lang w:eastAsia="en-AU"/>
        </w:rPr>
        <w:t>OECD Guidelines for Multinational Enterprises</w:t>
      </w:r>
      <w:r w:rsidRPr="00F153D6">
        <w:rPr>
          <w:rFonts w:ascii="Century Gothic" w:eastAsia="Times New Roman" w:hAnsi="Century Gothic" w:cs="Times New Roman"/>
          <w:iCs/>
          <w:color w:val="000000" w:themeColor="text1"/>
          <w:sz w:val="22"/>
          <w:lang w:eastAsia="en-AU"/>
        </w:rPr>
        <w:t xml:space="preserve"> (</w:t>
      </w:r>
      <w:r w:rsidRPr="00F153D6">
        <w:rPr>
          <w:rFonts w:ascii="Century Gothic" w:eastAsia="Times New Roman" w:hAnsi="Century Gothic" w:cs="Times New Roman"/>
          <w:b/>
          <w:iCs/>
          <w:color w:val="000000" w:themeColor="text1"/>
          <w:sz w:val="22"/>
          <w:lang w:eastAsia="en-AU"/>
        </w:rPr>
        <w:t>OECD Guidelines</w:t>
      </w:r>
      <w:r w:rsidR="0069447C" w:rsidRPr="00F153D6">
        <w:rPr>
          <w:rFonts w:ascii="Century Gothic" w:eastAsia="Times New Roman" w:hAnsi="Century Gothic" w:cs="Times New Roman"/>
          <w:iCs/>
          <w:color w:val="000000" w:themeColor="text1"/>
          <w:sz w:val="22"/>
          <w:lang w:eastAsia="en-AU"/>
        </w:rPr>
        <w:t>)</w:t>
      </w:r>
      <w:r w:rsidRPr="00F153D6">
        <w:rPr>
          <w:rFonts w:ascii="Century Gothic" w:eastAsia="Times New Roman" w:hAnsi="Century Gothic" w:cs="Times New Roman"/>
          <w:color w:val="000000" w:themeColor="text1"/>
          <w:sz w:val="22"/>
          <w:lang w:eastAsia="en-AU"/>
        </w:rPr>
        <w:t>.</w:t>
      </w:r>
    </w:p>
    <w:p w:rsidR="00495844" w:rsidRPr="00631CDC" w:rsidRDefault="00FD6E77" w:rsidP="00495844">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AusNCP Independent Examiner considered the six admissibility criteria of the Initial Assessment process</w:t>
      </w:r>
      <w:r w:rsidR="00A81C48" w:rsidRPr="00631CDC">
        <w:rPr>
          <w:rFonts w:ascii="Century Gothic" w:eastAsia="Times New Roman" w:hAnsi="Century Gothic" w:cs="Times New Roman"/>
          <w:color w:val="000000" w:themeColor="text1"/>
          <w:sz w:val="22"/>
          <w:lang w:eastAsia="en-AU"/>
        </w:rPr>
        <w:t xml:space="preserve">, engaged with the parties, and determined to accept </w:t>
      </w:r>
      <w:r w:rsidR="00A81C48" w:rsidRPr="00631CDC">
        <w:rPr>
          <w:rFonts w:ascii="Century Gothic" w:eastAsia="Times New Roman" w:hAnsi="Century Gothic" w:cs="Times New Roman"/>
          <w:i/>
          <w:iCs/>
          <w:color w:val="000000" w:themeColor="text1"/>
          <w:sz w:val="22"/>
          <w:lang w:eastAsia="en-AU"/>
        </w:rPr>
        <w:t>some</w:t>
      </w:r>
      <w:r w:rsidR="00A81C48" w:rsidRPr="00631CDC">
        <w:rPr>
          <w:rFonts w:ascii="Century Gothic" w:eastAsia="Times New Roman" w:hAnsi="Century Gothic" w:cs="Times New Roman"/>
          <w:color w:val="000000" w:themeColor="text1"/>
          <w:sz w:val="22"/>
          <w:lang w:eastAsia="en-AU"/>
        </w:rPr>
        <w:t xml:space="preserve"> aspects of the </w:t>
      </w:r>
      <w:r w:rsidR="00F153D6">
        <w:rPr>
          <w:rFonts w:ascii="Century Gothic" w:eastAsia="Times New Roman" w:hAnsi="Century Gothic" w:cs="Times New Roman"/>
          <w:color w:val="000000" w:themeColor="text1"/>
          <w:sz w:val="22"/>
          <w:lang w:eastAsia="en-AU"/>
        </w:rPr>
        <w:t>C</w:t>
      </w:r>
      <w:r w:rsidR="00A81C48" w:rsidRPr="00631CDC">
        <w:rPr>
          <w:rFonts w:ascii="Century Gothic" w:eastAsia="Times New Roman" w:hAnsi="Century Gothic" w:cs="Times New Roman"/>
          <w:color w:val="000000" w:themeColor="text1"/>
          <w:sz w:val="22"/>
          <w:lang w:eastAsia="en-AU"/>
        </w:rPr>
        <w:t>omplaint and offer ‘good offices’ to the parties</w:t>
      </w:r>
      <w:r w:rsidR="00495844" w:rsidRPr="00631CDC">
        <w:rPr>
          <w:rFonts w:ascii="Century Gothic" w:eastAsia="Times New Roman" w:hAnsi="Century Gothic" w:cs="Times New Roman"/>
          <w:color w:val="000000" w:themeColor="text1"/>
          <w:sz w:val="22"/>
          <w:lang w:eastAsia="en-AU"/>
        </w:rPr>
        <w:t xml:space="preserve"> regarding the due-diligence and arrangements concerning the activity </w:t>
      </w:r>
      <w:r w:rsidR="001B479C" w:rsidRPr="00631CDC">
        <w:rPr>
          <w:rFonts w:ascii="Century Gothic" w:eastAsia="Times New Roman" w:hAnsi="Century Gothic" w:cs="Times New Roman"/>
          <w:color w:val="000000" w:themeColor="text1"/>
          <w:sz w:val="22"/>
          <w:lang w:eastAsia="en-AU"/>
        </w:rPr>
        <w:t>at one site</w:t>
      </w:r>
      <w:r w:rsidR="00495844" w:rsidRPr="00631CDC">
        <w:rPr>
          <w:rFonts w:ascii="Century Gothic" w:eastAsia="Times New Roman" w:hAnsi="Century Gothic" w:cs="Times New Roman"/>
          <w:color w:val="000000" w:themeColor="text1"/>
          <w:sz w:val="22"/>
          <w:lang w:eastAsia="en-AU"/>
        </w:rPr>
        <w:t xml:space="preserve">. </w:t>
      </w:r>
    </w:p>
    <w:p w:rsidR="00A81C48" w:rsidRPr="00631CDC" w:rsidRDefault="00A81C48" w:rsidP="00A81C48">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following observations were made during the Initial Assessment.</w:t>
      </w:r>
    </w:p>
    <w:p w:rsidR="00693BBE" w:rsidRP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The Starkeys demonstrat</w:t>
      </w:r>
      <w:r w:rsidR="00F153D6">
        <w:rPr>
          <w:rFonts w:ascii="Century Gothic" w:eastAsia="Times New Roman" w:hAnsi="Century Gothic" w:cs="Times New Roman"/>
          <w:color w:val="000000" w:themeColor="text1"/>
          <w:sz w:val="22"/>
          <w:lang w:eastAsia="en-AU"/>
        </w:rPr>
        <w:t>ed</w:t>
      </w:r>
      <w:r w:rsidRPr="00693BBE">
        <w:rPr>
          <w:rFonts w:ascii="Century Gothic" w:eastAsia="Times New Roman" w:hAnsi="Century Gothic" w:cs="Times New Roman"/>
          <w:color w:val="000000" w:themeColor="text1"/>
          <w:sz w:val="22"/>
          <w:lang w:eastAsia="en-AU"/>
        </w:rPr>
        <w:t xml:space="preserve"> they have </w:t>
      </w:r>
      <w:r w:rsidR="009441FF">
        <w:rPr>
          <w:rFonts w:ascii="Century Gothic" w:eastAsia="Times New Roman" w:hAnsi="Century Gothic" w:cs="Times New Roman"/>
          <w:color w:val="000000" w:themeColor="text1"/>
          <w:sz w:val="22"/>
          <w:lang w:eastAsia="en-AU"/>
        </w:rPr>
        <w:t xml:space="preserve">relevant </w:t>
      </w:r>
      <w:r w:rsidRPr="00693BBE">
        <w:rPr>
          <w:rFonts w:ascii="Century Gothic" w:eastAsia="Times New Roman" w:hAnsi="Century Gothic" w:cs="Times New Roman"/>
          <w:color w:val="000000" w:themeColor="text1"/>
          <w:sz w:val="22"/>
          <w:lang w:eastAsia="en-AU"/>
        </w:rPr>
        <w:t>interest in the matter, the concerns are plausible and related to the application of the OECD Guidelines, and there is link between ElectraNet and the issues raised in the Complaint.</w:t>
      </w:r>
    </w:p>
    <w:p w:rsidR="00693BBE" w:rsidRP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 xml:space="preserve">There is a question of whether the OECD Guidelines apply, given this is an Australian corporation and the </w:t>
      </w:r>
      <w:r w:rsidR="00F153D6">
        <w:rPr>
          <w:rFonts w:ascii="Century Gothic" w:eastAsia="Times New Roman" w:hAnsi="Century Gothic" w:cs="Times New Roman"/>
          <w:color w:val="000000" w:themeColor="text1"/>
          <w:sz w:val="22"/>
          <w:lang w:eastAsia="en-AU"/>
        </w:rPr>
        <w:t>impacts</w:t>
      </w:r>
      <w:r w:rsidRPr="00693BBE">
        <w:rPr>
          <w:rFonts w:ascii="Century Gothic" w:eastAsia="Times New Roman" w:hAnsi="Century Gothic" w:cs="Times New Roman"/>
          <w:color w:val="000000" w:themeColor="text1"/>
          <w:sz w:val="22"/>
          <w:lang w:eastAsia="en-AU"/>
        </w:rPr>
        <w:t xml:space="preserve"> occurred in Australia. There are, however, multinational aspects to ElectraNet’s shareholding and management, making it inappropriate to reject the Complaint on this basis at the Initial Assessment phase.</w:t>
      </w:r>
    </w:p>
    <w:p w:rsidR="00693BBE" w:rsidRP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 xml:space="preserve">The OECD Guidelines outline expectations on enterprises where their actions impact Indigenous people. Relevant here are standards about group rights, which are not determined by the presence or absence of agreement with individual Indigenous persons. </w:t>
      </w:r>
    </w:p>
    <w:p w:rsidR="00693BBE" w:rsidRP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 xml:space="preserve">The construction affecting </w:t>
      </w:r>
      <w:r w:rsidRPr="00B45583">
        <w:rPr>
          <w:rFonts w:ascii="Century Gothic" w:eastAsia="Times New Roman" w:hAnsi="Century Gothic" w:cs="Times New Roman"/>
          <w:i/>
          <w:iCs/>
          <w:color w:val="000000" w:themeColor="text1"/>
          <w:sz w:val="22"/>
          <w:lang w:eastAsia="en-AU"/>
        </w:rPr>
        <w:t>most</w:t>
      </w:r>
      <w:r w:rsidRPr="00693BBE">
        <w:rPr>
          <w:rFonts w:ascii="Century Gothic" w:eastAsia="Times New Roman" w:hAnsi="Century Gothic" w:cs="Times New Roman"/>
          <w:color w:val="000000" w:themeColor="text1"/>
          <w:sz w:val="22"/>
          <w:lang w:eastAsia="en-AU"/>
        </w:rPr>
        <w:t xml:space="preserve"> sites (all the sites except one) occurred after an agreement with an Indigenous body which has </w:t>
      </w:r>
      <w:r w:rsidR="009441FF">
        <w:rPr>
          <w:rFonts w:ascii="Century Gothic" w:eastAsia="Times New Roman" w:hAnsi="Century Gothic" w:cs="Times New Roman"/>
          <w:color w:val="000000" w:themeColor="text1"/>
          <w:sz w:val="22"/>
          <w:lang w:eastAsia="en-AU"/>
        </w:rPr>
        <w:t xml:space="preserve">publicly acknowledged </w:t>
      </w:r>
      <w:r w:rsidRPr="00693BBE">
        <w:rPr>
          <w:rFonts w:ascii="Century Gothic" w:eastAsia="Times New Roman" w:hAnsi="Century Gothic" w:cs="Times New Roman"/>
          <w:color w:val="000000" w:themeColor="text1"/>
          <w:sz w:val="22"/>
          <w:lang w:eastAsia="en-AU"/>
        </w:rPr>
        <w:t>authority to represent th</w:t>
      </w:r>
      <w:r w:rsidR="009441FF">
        <w:rPr>
          <w:rFonts w:ascii="Century Gothic" w:eastAsia="Times New Roman" w:hAnsi="Century Gothic" w:cs="Times New Roman"/>
          <w:color w:val="000000" w:themeColor="text1"/>
          <w:sz w:val="22"/>
          <w:lang w:eastAsia="en-AU"/>
        </w:rPr>
        <w:t>os</w:t>
      </w:r>
      <w:r w:rsidRPr="00693BBE">
        <w:rPr>
          <w:rFonts w:ascii="Century Gothic" w:eastAsia="Times New Roman" w:hAnsi="Century Gothic" w:cs="Times New Roman"/>
          <w:color w:val="000000" w:themeColor="text1"/>
          <w:sz w:val="22"/>
          <w:lang w:eastAsia="en-AU"/>
        </w:rPr>
        <w:t>e Aboriginal people with rights to maintain and protect sites of cultural significance</w:t>
      </w:r>
      <w:r w:rsidR="009441FF">
        <w:rPr>
          <w:rFonts w:ascii="Century Gothic" w:eastAsia="Times New Roman" w:hAnsi="Century Gothic" w:cs="Times New Roman"/>
          <w:color w:val="000000" w:themeColor="text1"/>
          <w:sz w:val="22"/>
          <w:lang w:eastAsia="en-AU"/>
        </w:rPr>
        <w:t xml:space="preserve"> in the area</w:t>
      </w:r>
      <w:r w:rsidRPr="00693BBE">
        <w:rPr>
          <w:rFonts w:ascii="Century Gothic" w:eastAsia="Times New Roman" w:hAnsi="Century Gothic" w:cs="Times New Roman"/>
          <w:color w:val="000000" w:themeColor="text1"/>
          <w:sz w:val="22"/>
          <w:lang w:eastAsia="en-AU"/>
        </w:rPr>
        <w:t>. There was no indication, from th</w:t>
      </w:r>
      <w:r w:rsidR="009441FF">
        <w:rPr>
          <w:rFonts w:ascii="Century Gothic" w:eastAsia="Times New Roman" w:hAnsi="Century Gothic" w:cs="Times New Roman"/>
          <w:color w:val="000000" w:themeColor="text1"/>
          <w:sz w:val="22"/>
          <w:lang w:eastAsia="en-AU"/>
        </w:rPr>
        <w:t>at</w:t>
      </w:r>
      <w:r w:rsidRPr="00693BBE">
        <w:rPr>
          <w:rFonts w:ascii="Century Gothic" w:eastAsia="Times New Roman" w:hAnsi="Century Gothic" w:cs="Times New Roman"/>
          <w:color w:val="000000" w:themeColor="text1"/>
          <w:sz w:val="22"/>
          <w:lang w:eastAsia="en-AU"/>
        </w:rPr>
        <w:t xml:space="preserve"> body, of concerns with the agreement nor ElectraNet’s actions. </w:t>
      </w:r>
      <w:r w:rsidR="00F153D6">
        <w:rPr>
          <w:rFonts w:ascii="Century Gothic" w:eastAsia="Times New Roman" w:hAnsi="Century Gothic" w:cs="Times New Roman"/>
          <w:color w:val="000000" w:themeColor="text1"/>
          <w:sz w:val="22"/>
          <w:lang w:eastAsia="en-AU"/>
        </w:rPr>
        <w:t>T</w:t>
      </w:r>
      <w:r w:rsidR="007C1AA5">
        <w:rPr>
          <w:rFonts w:ascii="Century Gothic" w:eastAsia="Times New Roman" w:hAnsi="Century Gothic" w:cs="Times New Roman"/>
          <w:color w:val="000000" w:themeColor="text1"/>
          <w:sz w:val="22"/>
          <w:lang w:eastAsia="en-AU"/>
        </w:rPr>
        <w:t xml:space="preserve">he </w:t>
      </w:r>
      <w:r w:rsidR="00DF6FFB">
        <w:rPr>
          <w:rFonts w:ascii="Century Gothic" w:eastAsia="Times New Roman" w:hAnsi="Century Gothic" w:cs="Times New Roman"/>
          <w:color w:val="000000" w:themeColor="text1"/>
          <w:sz w:val="22"/>
          <w:lang w:eastAsia="en-AU"/>
        </w:rPr>
        <w:t>C</w:t>
      </w:r>
      <w:r w:rsidR="007C1AA5">
        <w:rPr>
          <w:rFonts w:ascii="Century Gothic" w:eastAsia="Times New Roman" w:hAnsi="Century Gothic" w:cs="Times New Roman"/>
          <w:color w:val="000000" w:themeColor="text1"/>
          <w:sz w:val="22"/>
          <w:lang w:eastAsia="en-AU"/>
        </w:rPr>
        <w:t xml:space="preserve">omplaint </w:t>
      </w:r>
      <w:r w:rsidR="00DF6FFB">
        <w:rPr>
          <w:rFonts w:ascii="Century Gothic" w:eastAsia="Times New Roman" w:hAnsi="Century Gothic" w:cs="Times New Roman"/>
          <w:color w:val="000000" w:themeColor="text1"/>
          <w:sz w:val="22"/>
          <w:lang w:eastAsia="en-AU"/>
        </w:rPr>
        <w:t xml:space="preserve">was not accepted concerning </w:t>
      </w:r>
      <w:r w:rsidR="00B45583">
        <w:rPr>
          <w:rFonts w:ascii="Century Gothic" w:eastAsia="Times New Roman" w:hAnsi="Century Gothic" w:cs="Times New Roman"/>
          <w:color w:val="000000" w:themeColor="text1"/>
          <w:sz w:val="22"/>
          <w:lang w:eastAsia="en-AU"/>
        </w:rPr>
        <w:t>those sites.</w:t>
      </w:r>
    </w:p>
    <w:p w:rsidR="00693BBE" w:rsidRP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However one location (‘Davenport mythological site’) is outside that area</w:t>
      </w:r>
      <w:r w:rsidR="009441FF">
        <w:rPr>
          <w:rFonts w:ascii="Century Gothic" w:eastAsia="Times New Roman" w:hAnsi="Century Gothic" w:cs="Times New Roman"/>
          <w:color w:val="000000" w:themeColor="text1"/>
          <w:sz w:val="22"/>
          <w:lang w:eastAsia="en-AU"/>
        </w:rPr>
        <w:t xml:space="preserve">. </w:t>
      </w:r>
      <w:r w:rsidR="00F25E45">
        <w:rPr>
          <w:rFonts w:ascii="Century Gothic" w:eastAsia="Times New Roman" w:hAnsi="Century Gothic" w:cs="Times New Roman"/>
          <w:color w:val="000000" w:themeColor="text1"/>
          <w:sz w:val="22"/>
          <w:lang w:eastAsia="en-AU"/>
        </w:rPr>
        <w:t xml:space="preserve">Regarding the Davenport mythological site, it is not apparent whether </w:t>
      </w:r>
      <w:r w:rsidRPr="00693BBE">
        <w:rPr>
          <w:rFonts w:ascii="Century Gothic" w:eastAsia="Times New Roman" w:hAnsi="Century Gothic" w:cs="Times New Roman"/>
          <w:color w:val="000000" w:themeColor="text1"/>
          <w:sz w:val="22"/>
          <w:lang w:eastAsia="en-AU"/>
        </w:rPr>
        <w:t xml:space="preserve">the types of due-diligence expected by the OECD Guidelines </w:t>
      </w:r>
      <w:r w:rsidR="00F25E45">
        <w:rPr>
          <w:rFonts w:ascii="Century Gothic" w:eastAsia="Times New Roman" w:hAnsi="Century Gothic" w:cs="Times New Roman"/>
          <w:color w:val="000000" w:themeColor="text1"/>
          <w:sz w:val="22"/>
          <w:lang w:eastAsia="en-AU"/>
        </w:rPr>
        <w:t xml:space="preserve">occurred </w:t>
      </w:r>
      <w:r w:rsidRPr="00693BBE">
        <w:rPr>
          <w:rFonts w:ascii="Century Gothic" w:eastAsia="Times New Roman" w:hAnsi="Century Gothic" w:cs="Times New Roman"/>
          <w:color w:val="000000" w:themeColor="text1"/>
          <w:sz w:val="22"/>
          <w:lang w:eastAsia="en-AU"/>
        </w:rPr>
        <w:t xml:space="preserve">with </w:t>
      </w:r>
      <w:r w:rsidRPr="00B45583">
        <w:rPr>
          <w:rFonts w:ascii="Century Gothic" w:eastAsia="Times New Roman" w:hAnsi="Century Gothic" w:cs="Times New Roman"/>
          <w:i/>
          <w:iCs/>
          <w:color w:val="000000" w:themeColor="text1"/>
          <w:sz w:val="22"/>
          <w:lang w:eastAsia="en-AU"/>
        </w:rPr>
        <w:t>all</w:t>
      </w:r>
      <w:r w:rsidRPr="00693BBE">
        <w:rPr>
          <w:rFonts w:ascii="Century Gothic" w:eastAsia="Times New Roman" w:hAnsi="Century Gothic" w:cs="Times New Roman"/>
          <w:color w:val="000000" w:themeColor="text1"/>
          <w:sz w:val="22"/>
          <w:lang w:eastAsia="en-AU"/>
        </w:rPr>
        <w:t xml:space="preserve"> relevant Indigenous stakeholders for </w:t>
      </w:r>
      <w:r w:rsidR="009441FF">
        <w:rPr>
          <w:rFonts w:ascii="Century Gothic" w:eastAsia="Times New Roman" w:hAnsi="Century Gothic" w:cs="Times New Roman"/>
          <w:color w:val="000000" w:themeColor="text1"/>
          <w:sz w:val="22"/>
          <w:lang w:eastAsia="en-AU"/>
        </w:rPr>
        <w:t xml:space="preserve">that </w:t>
      </w:r>
      <w:r w:rsidRPr="00693BBE">
        <w:rPr>
          <w:rFonts w:ascii="Century Gothic" w:eastAsia="Times New Roman" w:hAnsi="Century Gothic" w:cs="Times New Roman"/>
          <w:color w:val="000000" w:themeColor="text1"/>
          <w:sz w:val="22"/>
          <w:lang w:eastAsia="en-AU"/>
        </w:rPr>
        <w:t>site.</w:t>
      </w:r>
    </w:p>
    <w:p w:rsidR="00693BBE" w:rsidRDefault="00693BBE" w:rsidP="00D76813">
      <w:pPr>
        <w:pStyle w:val="OutlineNumbered1"/>
        <w:numPr>
          <w:ilvl w:val="1"/>
          <w:numId w:val="10"/>
        </w:numPr>
        <w:spacing w:before="100" w:line="280" w:lineRule="exact"/>
        <w:ind w:left="1134" w:hanging="567"/>
        <w:rPr>
          <w:rFonts w:ascii="Century Gothic" w:eastAsia="Times New Roman" w:hAnsi="Century Gothic" w:cs="Times New Roman"/>
          <w:color w:val="000000" w:themeColor="text1"/>
          <w:sz w:val="22"/>
          <w:lang w:eastAsia="en-AU"/>
        </w:rPr>
      </w:pPr>
      <w:r w:rsidRPr="00693BBE">
        <w:rPr>
          <w:rFonts w:ascii="Century Gothic" w:eastAsia="Times New Roman" w:hAnsi="Century Gothic" w:cs="Times New Roman"/>
          <w:color w:val="000000" w:themeColor="text1"/>
          <w:sz w:val="22"/>
          <w:lang w:eastAsia="en-AU"/>
        </w:rPr>
        <w:t xml:space="preserve">The AusNCP </w:t>
      </w:r>
      <w:r w:rsidR="00D51844">
        <w:rPr>
          <w:rFonts w:ascii="Century Gothic" w:eastAsia="Times New Roman" w:hAnsi="Century Gothic" w:cs="Times New Roman"/>
          <w:color w:val="000000" w:themeColor="text1"/>
          <w:sz w:val="22"/>
          <w:lang w:eastAsia="en-AU"/>
        </w:rPr>
        <w:t xml:space="preserve">accepts this Complaint </w:t>
      </w:r>
      <w:r w:rsidR="00F25E45" w:rsidRPr="00F153D6">
        <w:rPr>
          <w:rFonts w:ascii="Century Gothic" w:eastAsia="Times New Roman" w:hAnsi="Century Gothic" w:cs="Times New Roman"/>
          <w:i/>
          <w:iCs/>
          <w:color w:val="000000" w:themeColor="text1"/>
          <w:sz w:val="22"/>
          <w:lang w:eastAsia="en-AU"/>
        </w:rPr>
        <w:t>in part</w:t>
      </w:r>
      <w:r w:rsidR="00F25E45">
        <w:rPr>
          <w:rFonts w:ascii="Century Gothic" w:eastAsia="Times New Roman" w:hAnsi="Century Gothic" w:cs="Times New Roman"/>
          <w:color w:val="000000" w:themeColor="text1"/>
          <w:sz w:val="22"/>
          <w:lang w:eastAsia="en-AU"/>
        </w:rPr>
        <w:t xml:space="preserve">, </w:t>
      </w:r>
      <w:r w:rsidR="00D51844">
        <w:rPr>
          <w:rFonts w:ascii="Century Gothic" w:eastAsia="Times New Roman" w:hAnsi="Century Gothic" w:cs="Times New Roman"/>
          <w:color w:val="000000" w:themeColor="text1"/>
          <w:sz w:val="22"/>
          <w:lang w:eastAsia="en-AU"/>
        </w:rPr>
        <w:t xml:space="preserve">and </w:t>
      </w:r>
      <w:r w:rsidRPr="00693BBE">
        <w:rPr>
          <w:rFonts w:ascii="Century Gothic" w:eastAsia="Times New Roman" w:hAnsi="Century Gothic" w:cs="Times New Roman"/>
          <w:color w:val="000000" w:themeColor="text1"/>
          <w:sz w:val="22"/>
          <w:lang w:eastAsia="en-AU"/>
        </w:rPr>
        <w:t xml:space="preserve">will offer its ‘good offices’ </w:t>
      </w:r>
      <w:r w:rsidR="00DF6FFB">
        <w:rPr>
          <w:rFonts w:ascii="Century Gothic" w:eastAsia="Times New Roman" w:hAnsi="Century Gothic" w:cs="Times New Roman"/>
          <w:color w:val="000000" w:themeColor="text1"/>
          <w:sz w:val="22"/>
          <w:lang w:eastAsia="en-AU"/>
        </w:rPr>
        <w:t xml:space="preserve">under </w:t>
      </w:r>
      <w:r w:rsidRPr="00693BBE">
        <w:rPr>
          <w:rFonts w:ascii="Century Gothic" w:eastAsia="Times New Roman" w:hAnsi="Century Gothic" w:cs="Times New Roman"/>
          <w:color w:val="000000" w:themeColor="text1"/>
          <w:sz w:val="22"/>
          <w:lang w:eastAsia="en-AU"/>
        </w:rPr>
        <w:t xml:space="preserve">the OECD Guidelines, focussing on the ‘Davenport mythological site’, the due-diligence requirements of the OECD Guidelines, </w:t>
      </w:r>
      <w:r w:rsidR="009441FF">
        <w:rPr>
          <w:rFonts w:ascii="Century Gothic" w:eastAsia="Times New Roman" w:hAnsi="Century Gothic" w:cs="Times New Roman"/>
          <w:color w:val="000000" w:themeColor="text1"/>
          <w:sz w:val="22"/>
          <w:lang w:eastAsia="en-AU"/>
        </w:rPr>
        <w:t xml:space="preserve">and </w:t>
      </w:r>
      <w:r w:rsidRPr="00693BBE">
        <w:rPr>
          <w:rFonts w:ascii="Century Gothic" w:eastAsia="Times New Roman" w:hAnsi="Century Gothic" w:cs="Times New Roman"/>
          <w:color w:val="000000" w:themeColor="text1"/>
          <w:sz w:val="22"/>
          <w:lang w:eastAsia="en-AU"/>
        </w:rPr>
        <w:t>ElectraNet’s governance</w:t>
      </w:r>
      <w:r w:rsidR="00D51844">
        <w:rPr>
          <w:rFonts w:ascii="Century Gothic" w:eastAsia="Times New Roman" w:hAnsi="Century Gothic" w:cs="Times New Roman"/>
          <w:color w:val="000000" w:themeColor="text1"/>
          <w:sz w:val="22"/>
          <w:lang w:eastAsia="en-AU"/>
        </w:rPr>
        <w:t xml:space="preserve"> </w:t>
      </w:r>
      <w:r w:rsidR="009F3C8C">
        <w:rPr>
          <w:rFonts w:ascii="Century Gothic" w:eastAsia="Times New Roman" w:hAnsi="Century Gothic" w:cs="Times New Roman"/>
          <w:color w:val="000000" w:themeColor="text1"/>
          <w:sz w:val="22"/>
          <w:lang w:eastAsia="en-AU"/>
        </w:rPr>
        <w:t>concerning</w:t>
      </w:r>
      <w:r w:rsidR="00D51844">
        <w:rPr>
          <w:rFonts w:ascii="Century Gothic" w:eastAsia="Times New Roman" w:hAnsi="Century Gothic" w:cs="Times New Roman"/>
          <w:color w:val="000000" w:themeColor="text1"/>
          <w:sz w:val="22"/>
          <w:lang w:eastAsia="en-AU"/>
        </w:rPr>
        <w:t xml:space="preserve"> that site</w:t>
      </w:r>
      <w:r w:rsidRPr="00693BBE">
        <w:rPr>
          <w:rFonts w:ascii="Century Gothic" w:eastAsia="Times New Roman" w:hAnsi="Century Gothic" w:cs="Times New Roman"/>
          <w:color w:val="000000" w:themeColor="text1"/>
          <w:sz w:val="22"/>
          <w:lang w:eastAsia="en-AU"/>
        </w:rPr>
        <w:t>.</w:t>
      </w:r>
    </w:p>
    <w:p w:rsidR="00FD6E77" w:rsidRPr="00631CDC" w:rsidRDefault="001B479C"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This</w:t>
      </w:r>
      <w:r w:rsidR="00FD6E77" w:rsidRPr="00631CDC">
        <w:rPr>
          <w:rFonts w:ascii="Century Gothic" w:eastAsia="Times New Roman" w:hAnsi="Century Gothic" w:cs="Times New Roman"/>
          <w:color w:val="000000" w:themeColor="text1"/>
          <w:sz w:val="22"/>
          <w:lang w:eastAsia="en-AU"/>
        </w:rPr>
        <w:t xml:space="preserve"> </w:t>
      </w:r>
      <w:r w:rsidR="001E37D1">
        <w:rPr>
          <w:rFonts w:ascii="Century Gothic" w:eastAsia="Times New Roman" w:hAnsi="Century Gothic" w:cs="Times New Roman"/>
          <w:color w:val="000000" w:themeColor="text1"/>
          <w:sz w:val="22"/>
          <w:lang w:eastAsia="en-AU"/>
        </w:rPr>
        <w:t>Initial Assessment</w:t>
      </w:r>
      <w:r w:rsidR="001E37D1" w:rsidRPr="00631CDC">
        <w:rPr>
          <w:rFonts w:ascii="Century Gothic" w:eastAsia="Times New Roman" w:hAnsi="Century Gothic" w:cs="Times New Roman"/>
          <w:color w:val="000000" w:themeColor="text1"/>
          <w:sz w:val="22"/>
          <w:lang w:eastAsia="en-AU"/>
        </w:rPr>
        <w:t xml:space="preserve"> </w:t>
      </w:r>
      <w:r w:rsidR="00FD6E77" w:rsidRPr="00631CDC">
        <w:rPr>
          <w:rFonts w:ascii="Century Gothic" w:eastAsia="Times New Roman" w:hAnsi="Century Gothic" w:cs="Times New Roman"/>
          <w:color w:val="000000" w:themeColor="text1"/>
          <w:sz w:val="22"/>
          <w:lang w:eastAsia="en-AU"/>
        </w:rPr>
        <w:t xml:space="preserve">is not a determination on the merits of the claims presented, nor is it an assessment of whether </w:t>
      </w:r>
      <w:r w:rsidR="0069447C" w:rsidRPr="00631CDC">
        <w:rPr>
          <w:rFonts w:ascii="Century Gothic" w:eastAsia="Times New Roman" w:hAnsi="Century Gothic" w:cs="Times New Roman"/>
          <w:color w:val="000000" w:themeColor="text1"/>
          <w:sz w:val="22"/>
          <w:lang w:eastAsia="en-AU"/>
        </w:rPr>
        <w:t>ElectraNet</w:t>
      </w:r>
      <w:r w:rsidR="00FD6E77" w:rsidRPr="00631CDC">
        <w:rPr>
          <w:rFonts w:ascii="Century Gothic" w:eastAsia="Times New Roman" w:hAnsi="Century Gothic" w:cs="Times New Roman"/>
          <w:color w:val="000000" w:themeColor="text1"/>
          <w:sz w:val="22"/>
          <w:lang w:eastAsia="en-AU"/>
        </w:rPr>
        <w:t>’s actions are consistent with the OECD Guidelines.</w:t>
      </w:r>
    </w:p>
    <w:p w:rsidR="008C4036" w:rsidRDefault="00FD6E77" w:rsidP="00093DD9">
      <w:pPr>
        <w:pStyle w:val="OutlineNumbered1"/>
        <w:numPr>
          <w:ilvl w:val="0"/>
          <w:numId w:val="10"/>
        </w:numPr>
        <w:spacing w:before="360"/>
        <w:ind w:left="567" w:hanging="567"/>
        <w:rPr>
          <w:rFonts w:ascii="Century Gothic" w:eastAsia="Times New Roman" w:hAnsi="Century Gothic" w:cs="Times New Roman"/>
          <w:color w:val="000000" w:themeColor="text1"/>
          <w:sz w:val="22"/>
          <w:lang w:eastAsia="en-AU"/>
        </w:rPr>
      </w:pPr>
      <w:r w:rsidRPr="00D76813">
        <w:rPr>
          <w:rFonts w:ascii="Century Gothic" w:eastAsia="Times New Roman" w:hAnsi="Century Gothic" w:cs="Times New Roman"/>
          <w:color w:val="000000" w:themeColor="text1"/>
          <w:sz w:val="22"/>
          <w:lang w:eastAsia="en-AU"/>
        </w:rPr>
        <w:t xml:space="preserve">This statement is available on the AusNCP website at </w:t>
      </w:r>
      <w:hyperlink r:id="rId15" w:history="1">
        <w:r w:rsidRPr="00D76813">
          <w:rPr>
            <w:rStyle w:val="Hyperlink"/>
            <w:rFonts w:ascii="Century Gothic" w:eastAsia="Times New Roman" w:hAnsi="Century Gothic" w:cs="Times New Roman"/>
            <w:sz w:val="22"/>
            <w:lang w:eastAsia="en-AU"/>
          </w:rPr>
          <w:t>www.ausncp.gov.au</w:t>
        </w:r>
      </w:hyperlink>
      <w:r w:rsidRPr="00D76813">
        <w:rPr>
          <w:rFonts w:ascii="Century Gothic" w:eastAsia="Times New Roman" w:hAnsi="Century Gothic" w:cs="Times New Roman"/>
          <w:color w:val="000000" w:themeColor="text1"/>
          <w:sz w:val="22"/>
          <w:lang w:eastAsia="en-AU"/>
        </w:rPr>
        <w:t>.</w:t>
      </w:r>
      <w:r w:rsidR="00093DD9">
        <w:rPr>
          <w:rFonts w:ascii="Century Gothic" w:eastAsia="Times New Roman" w:hAnsi="Century Gothic" w:cs="Times New Roman"/>
          <w:color w:val="000000" w:themeColor="text1"/>
          <w:sz w:val="22"/>
          <w:lang w:eastAsia="en-AU"/>
        </w:rPr>
        <w:br/>
      </w:r>
    </w:p>
    <w:p w:rsidR="00FD6E77" w:rsidRPr="00631CDC" w:rsidRDefault="00FD6E77" w:rsidP="0019588C">
      <w:pPr>
        <w:pStyle w:val="Heading1"/>
        <w:keepLines w:val="0"/>
        <w:pageBreakBefore/>
        <w:pBdr>
          <w:bottom w:val="single" w:sz="12" w:space="10" w:color="3A87C8"/>
        </w:pBdr>
        <w:spacing w:before="360" w:line="240" w:lineRule="auto"/>
        <w:rPr>
          <w:rFonts w:ascii="Calibri" w:eastAsia="Times New Roman" w:hAnsi="Calibri" w:cs="Arial"/>
          <w:bCs w:val="0"/>
          <w:caps/>
          <w:color w:val="3A87C8"/>
          <w:kern w:val="32"/>
          <w:sz w:val="44"/>
          <w:szCs w:val="36"/>
          <w:lang w:eastAsia="en-AU"/>
        </w:rPr>
      </w:pPr>
      <w:bookmarkStart w:id="4" w:name="_Toc64463315"/>
      <w:r w:rsidRPr="00631CDC">
        <w:rPr>
          <w:rFonts w:ascii="Calibri" w:eastAsia="Times New Roman" w:hAnsi="Calibri" w:cs="Arial"/>
          <w:bCs w:val="0"/>
          <w:caps/>
          <w:color w:val="3A87C8"/>
          <w:kern w:val="32"/>
          <w:sz w:val="44"/>
          <w:szCs w:val="36"/>
          <w:lang w:eastAsia="en-AU"/>
        </w:rPr>
        <w:lastRenderedPageBreak/>
        <w:t>INITIAL ASSESSMENT</w:t>
      </w:r>
      <w:bookmarkEnd w:id="4"/>
    </w:p>
    <w:p w:rsidR="00FD6E77" w:rsidRPr="00631CDC" w:rsidRDefault="00FD6E77" w:rsidP="0019588C">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5" w:name="_Toc64463316"/>
      <w:r w:rsidRPr="00631CDC">
        <w:rPr>
          <w:rFonts w:ascii="Calibri" w:eastAsia="Times New Roman" w:hAnsi="Calibri" w:cs="Arial"/>
          <w:b/>
          <w:iCs/>
          <w:color w:val="000000" w:themeColor="text1"/>
          <w:kern w:val="32"/>
          <w:sz w:val="36"/>
          <w:szCs w:val="36"/>
          <w:lang w:eastAsia="en-AU"/>
        </w:rPr>
        <w:t>Parties, complaint and outcomes sought</w:t>
      </w:r>
      <w:bookmarkEnd w:id="5"/>
    </w:p>
    <w:p w:rsidR="00EF324B" w:rsidRPr="00631CDC" w:rsidRDefault="00BA3533" w:rsidP="00BA353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On 28 October 2020, John Podgorelec submitted to the AusNCP a complaint under the OECD Guidelines</w:t>
      </w:r>
      <w:bookmarkStart w:id="6" w:name="_Ref60663295"/>
      <w:r w:rsidR="001A013A">
        <w:rPr>
          <w:rStyle w:val="FootnoteReference"/>
          <w:rFonts w:ascii="Century Gothic" w:eastAsia="Times New Roman" w:hAnsi="Century Gothic" w:cs="Times New Roman"/>
          <w:color w:val="000000" w:themeColor="text1"/>
          <w:sz w:val="22"/>
          <w:lang w:eastAsia="en-AU"/>
        </w:rPr>
        <w:footnoteReference w:id="2"/>
      </w:r>
      <w:bookmarkEnd w:id="6"/>
      <w:r w:rsidR="001A013A" w:rsidRPr="00631CDC">
        <w:rPr>
          <w:rFonts w:ascii="Century Gothic" w:eastAsia="Times New Roman" w:hAnsi="Century Gothic" w:cs="Times New Roman"/>
          <w:color w:val="000000" w:themeColor="text1"/>
          <w:sz w:val="22"/>
          <w:lang w:eastAsia="en-AU"/>
        </w:rPr>
        <w:t xml:space="preserve"> on behalf of the Starkeys.</w:t>
      </w:r>
      <w:r w:rsidR="00FD6E77" w:rsidRPr="00631CDC">
        <w:rPr>
          <w:rFonts w:ascii="Century Gothic" w:eastAsia="Times New Roman" w:hAnsi="Century Gothic" w:cs="Times New Roman"/>
          <w:color w:val="000000" w:themeColor="text1"/>
          <w:sz w:val="22"/>
          <w:lang w:eastAsia="en-AU"/>
        </w:rPr>
        <w:t xml:space="preserve"> The Complaint </w:t>
      </w:r>
      <w:r w:rsidR="00EF310B" w:rsidRPr="00631CDC">
        <w:rPr>
          <w:rFonts w:ascii="Century Gothic" w:eastAsia="Times New Roman" w:hAnsi="Century Gothic" w:cs="Times New Roman"/>
          <w:color w:val="000000" w:themeColor="text1"/>
          <w:sz w:val="22"/>
          <w:lang w:eastAsia="en-AU"/>
        </w:rPr>
        <w:t>is</w:t>
      </w:r>
      <w:r w:rsidRPr="00631CDC">
        <w:rPr>
          <w:rFonts w:ascii="Century Gothic" w:eastAsia="Times New Roman" w:hAnsi="Century Gothic" w:cs="Times New Roman"/>
          <w:color w:val="000000" w:themeColor="text1"/>
          <w:sz w:val="22"/>
          <w:lang w:eastAsia="en-AU"/>
        </w:rPr>
        <w:t xml:space="preserve"> against the company ElectraNet. </w:t>
      </w:r>
    </w:p>
    <w:p w:rsidR="001B58B9" w:rsidRPr="00631CDC" w:rsidRDefault="001B58B9" w:rsidP="00BA353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Much of the Complaint repeats material and statements the Starkeys had already made to a Commonwealth Parliamentary inquiry about impacts on Indigenous heritage. That inquiry has published the submission by the Starkeys and also a submission in response by ElectraNet. Those documents have also been considered by the Independent Examiner in assessing the Complaint.</w:t>
      </w:r>
    </w:p>
    <w:p w:rsidR="001A013A" w:rsidRPr="008C4036" w:rsidRDefault="00EF324B" w:rsidP="008C403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8C4036">
        <w:rPr>
          <w:rFonts w:ascii="Century Gothic" w:eastAsia="Times New Roman" w:hAnsi="Century Gothic" w:cs="Times New Roman"/>
          <w:color w:val="000000" w:themeColor="text1"/>
          <w:sz w:val="22"/>
          <w:lang w:eastAsia="en-AU"/>
        </w:rPr>
        <w:t xml:space="preserve">The Complaint </w:t>
      </w:r>
      <w:r w:rsidR="00BA3533" w:rsidRPr="008C4036">
        <w:rPr>
          <w:rFonts w:ascii="Century Gothic" w:eastAsia="Times New Roman" w:hAnsi="Century Gothic" w:cs="Times New Roman"/>
          <w:color w:val="000000" w:themeColor="text1"/>
          <w:sz w:val="22"/>
          <w:lang w:eastAsia="en-AU"/>
        </w:rPr>
        <w:t xml:space="preserve">alleges </w:t>
      </w:r>
      <w:r w:rsidRPr="008C4036">
        <w:rPr>
          <w:rFonts w:ascii="Century Gothic" w:eastAsia="Times New Roman" w:hAnsi="Century Gothic" w:cs="Times New Roman"/>
          <w:color w:val="000000" w:themeColor="text1"/>
          <w:sz w:val="22"/>
          <w:lang w:eastAsia="en-AU"/>
        </w:rPr>
        <w:t>that, in constructing an electricity transmission line for OZ Minerals, ElectraNet ‘destroyed or disturbed at least 20 Aboriginal heritage sites’ for which the Starkeys ‘have traditional custodial responsibilities’. The Complaint notes that Electra</w:t>
      </w:r>
      <w:r w:rsidR="00370A6E" w:rsidRPr="008C4036">
        <w:rPr>
          <w:rFonts w:ascii="Century Gothic" w:eastAsia="Times New Roman" w:hAnsi="Century Gothic" w:cs="Times New Roman"/>
          <w:color w:val="000000" w:themeColor="text1"/>
          <w:sz w:val="22"/>
          <w:lang w:eastAsia="en-AU"/>
        </w:rPr>
        <w:t>N</w:t>
      </w:r>
      <w:r w:rsidRPr="008C4036">
        <w:rPr>
          <w:rFonts w:ascii="Century Gothic" w:eastAsia="Times New Roman" w:hAnsi="Century Gothic" w:cs="Times New Roman"/>
          <w:color w:val="000000" w:themeColor="text1"/>
          <w:sz w:val="22"/>
          <w:lang w:eastAsia="en-AU"/>
        </w:rPr>
        <w:t xml:space="preserve">et did consult with a relevant Aboriginal group (Kokatha Aboriginal Corporation </w:t>
      </w:r>
      <w:r w:rsidR="00B6543E" w:rsidRPr="008C4036">
        <w:rPr>
          <w:rFonts w:ascii="Century Gothic" w:eastAsia="Times New Roman" w:hAnsi="Century Gothic" w:cs="Times New Roman"/>
          <w:color w:val="000000" w:themeColor="text1"/>
          <w:sz w:val="22"/>
          <w:lang w:eastAsia="en-AU"/>
        </w:rPr>
        <w:t xml:space="preserve">or </w:t>
      </w:r>
      <w:r w:rsidRPr="008C4036">
        <w:rPr>
          <w:rFonts w:ascii="Century Gothic" w:eastAsia="Times New Roman" w:hAnsi="Century Gothic" w:cs="Times New Roman"/>
          <w:b/>
          <w:bCs/>
          <w:color w:val="000000" w:themeColor="text1"/>
          <w:sz w:val="22"/>
          <w:lang w:eastAsia="en-AU"/>
        </w:rPr>
        <w:t>KAC</w:t>
      </w:r>
      <w:r w:rsidRPr="008C4036">
        <w:rPr>
          <w:rFonts w:ascii="Century Gothic" w:eastAsia="Times New Roman" w:hAnsi="Century Gothic" w:cs="Times New Roman"/>
          <w:color w:val="000000" w:themeColor="text1"/>
          <w:sz w:val="22"/>
          <w:lang w:eastAsia="en-AU"/>
        </w:rPr>
        <w:t>) regarding ‘the majority of sites’.</w:t>
      </w:r>
      <w:r w:rsidR="00D47698" w:rsidRPr="008C4036">
        <w:rPr>
          <w:rFonts w:ascii="Century Gothic" w:eastAsia="Times New Roman" w:hAnsi="Century Gothic" w:cs="Times New Roman"/>
          <w:color w:val="000000" w:themeColor="text1"/>
          <w:sz w:val="22"/>
          <w:lang w:eastAsia="en-AU"/>
        </w:rPr>
        <w:t xml:space="preserve"> However the Complaint asserts that ‘The failure of the Enterprise (or any of its project partners) to consult the registered holders of the confidential site information [the Starkeys], at any stage of construction, confirms that the required standard of due diligence </w:t>
      </w:r>
      <w:r w:rsidR="00F50F0B" w:rsidRPr="008C4036">
        <w:rPr>
          <w:rFonts w:ascii="Century Gothic" w:eastAsia="Times New Roman" w:hAnsi="Century Gothic" w:cs="Times New Roman"/>
          <w:color w:val="000000" w:themeColor="text1"/>
          <w:sz w:val="22"/>
          <w:lang w:eastAsia="en-AU"/>
        </w:rPr>
        <w:t xml:space="preserve">[in the OECD Guidelines] </w:t>
      </w:r>
      <w:r w:rsidR="00D47698" w:rsidRPr="008C4036">
        <w:rPr>
          <w:rFonts w:ascii="Century Gothic" w:eastAsia="Times New Roman" w:hAnsi="Century Gothic" w:cs="Times New Roman"/>
          <w:color w:val="000000" w:themeColor="text1"/>
          <w:sz w:val="22"/>
          <w:lang w:eastAsia="en-AU"/>
        </w:rPr>
        <w:t>was not met’.</w:t>
      </w:r>
      <w:r w:rsidR="001A013A" w:rsidRPr="008C4036">
        <w:rPr>
          <w:rFonts w:ascii="Century Gothic" w:eastAsia="Times New Roman" w:hAnsi="Century Gothic" w:cs="Times New Roman"/>
          <w:color w:val="000000" w:themeColor="text1"/>
          <w:sz w:val="22"/>
          <w:lang w:eastAsia="en-AU"/>
        </w:rPr>
        <w:t xml:space="preserve"> </w:t>
      </w:r>
      <w:r w:rsidR="002121C1" w:rsidRPr="008C4036">
        <w:rPr>
          <w:rFonts w:ascii="Century Gothic" w:eastAsia="Times New Roman" w:hAnsi="Century Gothic" w:cs="Times New Roman"/>
          <w:color w:val="000000" w:themeColor="text1"/>
          <w:sz w:val="22"/>
          <w:lang w:eastAsia="en-AU"/>
        </w:rPr>
        <w:t>In the Complaint, the Starkeys sought commitments from ElectraNet to fund a heritage and human rights impact assessment, contribute to a fund to assist long-term heritage site protection, and provide compensation for the loss and harm from the</w:t>
      </w:r>
      <w:r w:rsidR="002121C1" w:rsidRPr="008C4036">
        <w:rPr>
          <w:rFonts w:ascii="Century Gothic" w:eastAsia="Times New Roman" w:hAnsi="Century Gothic" w:cs="Times New Roman"/>
          <w:color w:val="000000" w:themeColor="text1"/>
          <w:sz w:val="23"/>
          <w:szCs w:val="23"/>
          <w:lang w:eastAsia="en-AU"/>
        </w:rPr>
        <w:t xml:space="preserve"> impacts.</w:t>
      </w:r>
    </w:p>
    <w:p w:rsidR="001A013A" w:rsidRPr="00631CDC" w:rsidRDefault="001A013A" w:rsidP="00EF310B">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bookmarkStart w:id="7" w:name="_Toc34208518"/>
      <w:bookmarkEnd w:id="7"/>
      <w:r w:rsidRPr="00631CDC">
        <w:rPr>
          <w:rFonts w:ascii="Century Gothic" w:eastAsia="Times New Roman" w:hAnsi="Century Gothic" w:cs="Times New Roman"/>
          <w:color w:val="000000" w:themeColor="text1"/>
          <w:sz w:val="22"/>
          <w:lang w:eastAsia="en-AU"/>
        </w:rPr>
        <w:t>The Complaint alleges that ElectraNet ‘failed to observe ... the following sections of the Guidelines:</w:t>
      </w:r>
    </w:p>
    <w:p w:rsidR="001A013A" w:rsidRPr="00631CDC" w:rsidRDefault="001A013A" w:rsidP="00EF310B">
      <w:pPr>
        <w:spacing w:before="120" w:after="0" w:line="280" w:lineRule="exact"/>
        <w:ind w:left="1134"/>
        <w:textAlignment w:val="baseline"/>
        <w:rPr>
          <w:rFonts w:ascii="Century Gothic" w:eastAsia="Arial" w:hAnsi="Century Gothic"/>
          <w:i/>
          <w:iCs/>
          <w:color w:val="000000"/>
          <w:u w:val="single"/>
        </w:rPr>
      </w:pPr>
      <w:r w:rsidRPr="00631CDC">
        <w:rPr>
          <w:rFonts w:ascii="Century Gothic" w:eastAsia="Arial" w:hAnsi="Century Gothic"/>
          <w:i/>
          <w:iCs/>
          <w:color w:val="000000"/>
          <w:u w:val="single"/>
          <w:lang w:val="en-US"/>
        </w:rPr>
        <w:t xml:space="preserve">Ch. II General Policies </w:t>
      </w:r>
    </w:p>
    <w:p w:rsidR="001A013A" w:rsidRPr="00631CDC" w:rsidRDefault="001A013A" w:rsidP="00D47698">
      <w:pPr>
        <w:spacing w:before="120" w:after="0" w:line="280" w:lineRule="exact"/>
        <w:ind w:left="1134" w:right="72"/>
        <w:textAlignment w:val="baseline"/>
        <w:rPr>
          <w:rFonts w:ascii="Century Gothic" w:eastAsia="Arial" w:hAnsi="Century Gothic"/>
          <w:i/>
          <w:iCs/>
          <w:color w:val="000000"/>
        </w:rPr>
      </w:pPr>
      <w:r w:rsidRPr="00631CDC">
        <w:rPr>
          <w:rFonts w:ascii="Century Gothic" w:eastAsia="Arial" w:hAnsi="Century Gothic"/>
          <w:i/>
          <w:iCs/>
          <w:color w:val="000000"/>
          <w:lang w:val="en-US"/>
        </w:rPr>
        <w:t>Paras 10 &amp; 14 - for failing to a) “carry out risk-based due diligence” and b) “engage with relevant stakeholders”</w:t>
      </w:r>
    </w:p>
    <w:p w:rsidR="001A013A" w:rsidRPr="00631CDC" w:rsidRDefault="001A013A" w:rsidP="00D47698">
      <w:pPr>
        <w:spacing w:before="120" w:after="0" w:line="280" w:lineRule="exact"/>
        <w:ind w:left="1134"/>
        <w:textAlignment w:val="baseline"/>
        <w:rPr>
          <w:rFonts w:ascii="Century Gothic" w:eastAsia="Arial" w:hAnsi="Century Gothic"/>
          <w:i/>
          <w:iCs/>
          <w:color w:val="000000"/>
        </w:rPr>
      </w:pPr>
      <w:r w:rsidRPr="00631CDC">
        <w:rPr>
          <w:rFonts w:ascii="Century Gothic" w:eastAsia="Arial" w:hAnsi="Century Gothic"/>
          <w:i/>
          <w:iCs/>
          <w:color w:val="000000"/>
          <w:lang w:val="en-US"/>
        </w:rPr>
        <w:t>Para 2 - for failing to “respect... internationally recognised human rights”</w:t>
      </w:r>
    </w:p>
    <w:p w:rsidR="001A013A" w:rsidRPr="00631CDC" w:rsidRDefault="001A013A" w:rsidP="00D47698">
      <w:pPr>
        <w:spacing w:before="120" w:after="0" w:line="280" w:lineRule="exact"/>
        <w:ind w:left="1134" w:right="72"/>
        <w:textAlignment w:val="baseline"/>
        <w:rPr>
          <w:rFonts w:ascii="Century Gothic" w:eastAsia="Arial" w:hAnsi="Century Gothic"/>
          <w:i/>
          <w:iCs/>
          <w:color w:val="000000"/>
        </w:rPr>
      </w:pPr>
      <w:r w:rsidRPr="00631CDC">
        <w:rPr>
          <w:rFonts w:ascii="Century Gothic" w:eastAsia="Arial" w:hAnsi="Century Gothic"/>
          <w:i/>
          <w:iCs/>
          <w:color w:val="000000"/>
          <w:lang w:val="en-US"/>
        </w:rPr>
        <w:t>Paras 11-13 - failing to avoid causing or contributing to adverse impacts and address such impacts</w:t>
      </w:r>
    </w:p>
    <w:p w:rsidR="001A013A" w:rsidRPr="00631CDC" w:rsidRDefault="001A013A" w:rsidP="00EF310B">
      <w:pPr>
        <w:spacing w:before="120" w:after="0" w:line="280" w:lineRule="exact"/>
        <w:ind w:left="1134"/>
        <w:textAlignment w:val="baseline"/>
        <w:rPr>
          <w:rFonts w:ascii="Century Gothic" w:eastAsia="Arial" w:hAnsi="Century Gothic"/>
          <w:i/>
          <w:iCs/>
          <w:color w:val="000000"/>
          <w:u w:val="single"/>
        </w:rPr>
      </w:pPr>
      <w:r w:rsidRPr="00631CDC">
        <w:rPr>
          <w:rFonts w:ascii="Century Gothic" w:eastAsia="Arial" w:hAnsi="Century Gothic"/>
          <w:i/>
          <w:iCs/>
          <w:color w:val="000000"/>
          <w:u w:val="single"/>
          <w:lang w:val="en-US"/>
        </w:rPr>
        <w:t xml:space="preserve">Ch. IV Human Rights </w:t>
      </w:r>
    </w:p>
    <w:p w:rsidR="001A013A" w:rsidRPr="00631CDC" w:rsidRDefault="001A013A" w:rsidP="00D47698">
      <w:pPr>
        <w:spacing w:before="120" w:after="0" w:line="280" w:lineRule="exact"/>
        <w:ind w:left="1134" w:right="72"/>
        <w:textAlignment w:val="baseline"/>
        <w:rPr>
          <w:rFonts w:ascii="Century Gothic" w:eastAsia="Arial" w:hAnsi="Century Gothic"/>
          <w:i/>
          <w:iCs/>
          <w:color w:val="000000"/>
          <w:lang w:val="en-US"/>
        </w:rPr>
      </w:pPr>
      <w:r w:rsidRPr="00631CDC">
        <w:rPr>
          <w:rFonts w:ascii="Century Gothic" w:eastAsia="Arial" w:hAnsi="Century Gothic"/>
          <w:i/>
          <w:iCs/>
          <w:color w:val="000000"/>
          <w:lang w:val="en-US"/>
        </w:rPr>
        <w:t>Paras 1-3 - for failing to respect, prevent and avoid infringing human rights and failing to address the same</w:t>
      </w:r>
    </w:p>
    <w:p w:rsidR="001A013A" w:rsidRPr="00631CDC" w:rsidRDefault="001A013A" w:rsidP="00D47698">
      <w:pPr>
        <w:spacing w:before="120" w:after="0" w:line="280" w:lineRule="exact"/>
        <w:ind w:left="1134" w:right="72"/>
        <w:textAlignment w:val="baseline"/>
        <w:rPr>
          <w:rFonts w:ascii="Century Gothic" w:eastAsia="Arial" w:hAnsi="Century Gothic"/>
          <w:i/>
          <w:iCs/>
          <w:color w:val="000000"/>
          <w:lang w:val="en-US"/>
        </w:rPr>
      </w:pPr>
      <w:r w:rsidRPr="00631CDC">
        <w:rPr>
          <w:rFonts w:ascii="Century Gothic" w:eastAsia="Arial" w:hAnsi="Century Gothic"/>
          <w:i/>
          <w:iCs/>
          <w:color w:val="000000"/>
          <w:lang w:val="en-US"/>
        </w:rPr>
        <w:t>Para 5 - for failing to “carry out human rights due diligence”</w:t>
      </w:r>
    </w:p>
    <w:p w:rsidR="001A013A" w:rsidRPr="00631CDC" w:rsidRDefault="001A013A" w:rsidP="00D47698">
      <w:pPr>
        <w:spacing w:before="120" w:after="0" w:line="280" w:lineRule="exact"/>
        <w:ind w:left="1134" w:right="72"/>
        <w:textAlignment w:val="baseline"/>
        <w:rPr>
          <w:rFonts w:ascii="Century Gothic" w:eastAsia="Arial" w:hAnsi="Century Gothic"/>
          <w:i/>
          <w:iCs/>
          <w:color w:val="000000"/>
          <w:lang w:val="en-US"/>
        </w:rPr>
      </w:pPr>
      <w:r w:rsidRPr="00631CDC">
        <w:rPr>
          <w:rFonts w:ascii="Century Gothic" w:eastAsia="Arial" w:hAnsi="Century Gothic"/>
          <w:i/>
          <w:iCs/>
          <w:color w:val="000000"/>
          <w:lang w:val="en-US"/>
        </w:rPr>
        <w:t>Para 6 - for failing to “[remediate]... adverse human rights impacts... that they have caused or contributed to... ” ’</w:t>
      </w:r>
    </w:p>
    <w:p w:rsidR="00432360" w:rsidRDefault="00432360" w:rsidP="00432360">
      <w:pPr>
        <w:pStyle w:val="OutlineNumbered1"/>
        <w:spacing w:before="240" w:line="280" w:lineRule="exact"/>
        <w:ind w:left="567"/>
        <w:jc w:val="both"/>
        <w:rPr>
          <w:rFonts w:ascii="Century Gothic" w:eastAsia="Times New Roman" w:hAnsi="Century Gothic" w:cs="Times New Roman"/>
          <w:color w:val="000000" w:themeColor="text1"/>
          <w:sz w:val="22"/>
          <w:lang w:eastAsia="en-AU"/>
        </w:rPr>
      </w:pPr>
    </w:p>
    <w:p w:rsidR="001A013A" w:rsidRPr="00631CDC" w:rsidRDefault="001A013A" w:rsidP="00BA353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lastRenderedPageBreak/>
        <w:t>Consistent with AusNCP Complaint Procedures 4.8 and 4.9, ElectraNet was notified that a complaint had been made</w:t>
      </w:r>
      <w:r>
        <w:rPr>
          <w:rFonts w:ascii="Century Gothic" w:eastAsia="Times New Roman" w:hAnsi="Century Gothic" w:cs="Times New Roman"/>
          <w:color w:val="000000" w:themeColor="text1"/>
          <w:sz w:val="22"/>
          <w:lang w:eastAsia="en-AU"/>
        </w:rPr>
        <w:t xml:space="preserve"> and provided with a copy of the Complaint</w:t>
      </w:r>
      <w:r w:rsidR="009F1AF3">
        <w:rPr>
          <w:rFonts w:ascii="Century Gothic" w:eastAsia="Times New Roman" w:hAnsi="Century Gothic" w:cs="Times New Roman"/>
          <w:color w:val="000000" w:themeColor="text1"/>
          <w:sz w:val="22"/>
          <w:lang w:eastAsia="en-AU"/>
        </w:rPr>
        <w:t>.</w:t>
      </w:r>
    </w:p>
    <w:p w:rsidR="001A013A" w:rsidRPr="00631CDC" w:rsidRDefault="001A013A" w:rsidP="00BA353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ElectraNet explained, in response to the Complaint and </w:t>
      </w:r>
      <w:r>
        <w:rPr>
          <w:rFonts w:ascii="Century Gothic" w:eastAsia="Times New Roman" w:hAnsi="Century Gothic" w:cs="Times New Roman"/>
          <w:color w:val="000000" w:themeColor="text1"/>
          <w:sz w:val="22"/>
          <w:lang w:eastAsia="en-AU"/>
        </w:rPr>
        <w:t xml:space="preserve">in </w:t>
      </w:r>
      <w:r w:rsidRPr="00631CDC">
        <w:rPr>
          <w:rFonts w:ascii="Century Gothic" w:eastAsia="Times New Roman" w:hAnsi="Century Gothic" w:cs="Times New Roman"/>
          <w:color w:val="000000" w:themeColor="text1"/>
          <w:sz w:val="22"/>
          <w:lang w:eastAsia="en-AU"/>
        </w:rPr>
        <w:t>its submission to the Parliamentary inquiry, that:</w:t>
      </w:r>
    </w:p>
    <w:p w:rsidR="001B479C" w:rsidRPr="00631CDC" w:rsidRDefault="001B479C" w:rsidP="001B479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Project traverses the native title determination land of three native title groups, namely KAC, Barngarla Determination Aboriginal Corporation (BDAC) and Nukunu Wapma Thura Aboriginal Corporation (Nukunu)'</w:t>
      </w:r>
    </w:p>
    <w:p w:rsidR="001B479C" w:rsidRPr="00631CDC" w:rsidRDefault="001B479C" w:rsidP="001B479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'An agreement between OZ Minerals and KAC is the relevant agreement for the period of construction'</w:t>
      </w:r>
    </w:p>
    <w:p w:rsidR="001B479C" w:rsidRPr="00631CDC" w:rsidRDefault="001B479C" w:rsidP="001B479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'Detailed Cultural Heritage Management Plans were developed in collaboration with the heritage teams nominated by KAC, BDAC and or Nukunu and implemented for the Project [which included] In-field flagging-off of all cultural heritage sites by traditional owner monitors prior to ground disturbing works to physically demarcate the sites; In-field cultural heritage monitoring in line with the recommendations in the cultural heritage survey report; [and] In the Kokatha Native Title Determination Area this included monitoring of all ground’.</w:t>
      </w:r>
    </w:p>
    <w:p w:rsidR="00FD6E77" w:rsidRPr="00631CDC" w:rsidRDefault="00FD6E77" w:rsidP="00CA1C3B">
      <w:pPr>
        <w:keepNext/>
        <w:spacing w:before="240" w:after="240" w:line="240" w:lineRule="auto"/>
        <w:outlineLvl w:val="1"/>
        <w:rPr>
          <w:rFonts w:ascii="Calibri" w:eastAsia="Times New Roman" w:hAnsi="Calibri" w:cs="Arial"/>
          <w:b/>
          <w:iCs/>
          <w:color w:val="000000" w:themeColor="text1"/>
          <w:kern w:val="32"/>
          <w:sz w:val="36"/>
          <w:szCs w:val="36"/>
          <w:lang w:eastAsia="en-AU"/>
        </w:rPr>
      </w:pPr>
      <w:bookmarkStart w:id="8" w:name="_Toc61348605"/>
      <w:bookmarkStart w:id="9" w:name="_Toc64463317"/>
      <w:r w:rsidRPr="00631CDC">
        <w:rPr>
          <w:rFonts w:ascii="Calibri" w:eastAsia="Times New Roman" w:hAnsi="Calibri" w:cs="Arial"/>
          <w:b/>
          <w:iCs/>
          <w:color w:val="000000" w:themeColor="text1"/>
          <w:kern w:val="32"/>
          <w:sz w:val="36"/>
          <w:szCs w:val="36"/>
          <w:lang w:eastAsia="en-AU"/>
        </w:rPr>
        <w:t>Assessment criteria</w:t>
      </w:r>
      <w:bookmarkEnd w:id="8"/>
      <w:bookmarkEnd w:id="9"/>
    </w:p>
    <w:p w:rsidR="006E4CCA" w:rsidRPr="00631CDC" w:rsidRDefault="006E4CCA" w:rsidP="006E4CCA">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The OECD Guidelines require an NCP, when it receives a complaint, to conduct an ‘initial assessment’. This is to determine whether the issues are ‘bona fide’ (in other words real or authentic) and relevant to the implementation of the OECD Guidelines (in other words within their scope of coverage). The AusNCP has procedures, mirroring the OECD Guidelines, which specify that in deciding whether to accept a complaint, six admissibility criteria are assessed: </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identity of the party concerned and its interest in the matter;</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whether the issue is material and substantiated;</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whether there seems to be a link between the enterprise’s activities and the issue raised in the complaint;</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relevance of applicable law and procedures, including court rulings;</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how similar issues have been, or are being, treated in other domestic or international proceedings; and</w:t>
      </w:r>
    </w:p>
    <w:p w:rsidR="006E4CCA" w:rsidRPr="00631CDC" w:rsidRDefault="006E4CCA" w:rsidP="006E4CCA">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whether the consideration of the complaint would contribute to the purposes and effectiveness of the OECD Guidelines.</w:t>
      </w:r>
    </w:p>
    <w:p w:rsidR="004E03D0" w:rsidRPr="00631CDC" w:rsidRDefault="004E03D0" w:rsidP="006E4CCA">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The Independent Examiner engaged with the Starkeys (through their representative) and ElectraNet, from October to December 2020, in </w:t>
      </w:r>
      <w:r w:rsidR="003509C5" w:rsidRPr="00631CDC">
        <w:rPr>
          <w:rFonts w:ascii="Century Gothic" w:eastAsia="Times New Roman" w:hAnsi="Century Gothic" w:cs="Times New Roman"/>
          <w:color w:val="000000" w:themeColor="text1"/>
          <w:sz w:val="22"/>
          <w:lang w:eastAsia="en-AU"/>
        </w:rPr>
        <w:t xml:space="preserve">gathering </w:t>
      </w:r>
      <w:r w:rsidRPr="00631CDC">
        <w:rPr>
          <w:rFonts w:ascii="Century Gothic" w:eastAsia="Times New Roman" w:hAnsi="Century Gothic" w:cs="Times New Roman"/>
          <w:color w:val="000000" w:themeColor="text1"/>
          <w:sz w:val="22"/>
          <w:lang w:eastAsia="en-AU"/>
        </w:rPr>
        <w:t xml:space="preserve">more information and </w:t>
      </w:r>
      <w:r w:rsidR="003509C5" w:rsidRPr="00631CDC">
        <w:rPr>
          <w:rFonts w:ascii="Century Gothic" w:eastAsia="Times New Roman" w:hAnsi="Century Gothic" w:cs="Times New Roman"/>
          <w:color w:val="000000" w:themeColor="text1"/>
          <w:sz w:val="22"/>
          <w:lang w:eastAsia="en-AU"/>
        </w:rPr>
        <w:t xml:space="preserve">inviting </w:t>
      </w:r>
      <w:r w:rsidRPr="00631CDC">
        <w:rPr>
          <w:rFonts w:ascii="Century Gothic" w:eastAsia="Times New Roman" w:hAnsi="Century Gothic" w:cs="Times New Roman"/>
          <w:color w:val="000000" w:themeColor="text1"/>
          <w:sz w:val="22"/>
          <w:lang w:eastAsia="en-AU"/>
        </w:rPr>
        <w:t>submissions on various aspects</w:t>
      </w:r>
      <w:r w:rsidR="00F50F0B" w:rsidRPr="00631CDC">
        <w:rPr>
          <w:rFonts w:ascii="Century Gothic" w:eastAsia="Times New Roman" w:hAnsi="Century Gothic" w:cs="Times New Roman"/>
          <w:color w:val="000000" w:themeColor="text1"/>
          <w:sz w:val="22"/>
          <w:lang w:eastAsia="en-AU"/>
        </w:rPr>
        <w:t>.</w:t>
      </w:r>
    </w:p>
    <w:p w:rsidR="001A013A" w:rsidRDefault="006E4CCA" w:rsidP="00283EA6">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Observations regarding each of the </w:t>
      </w:r>
      <w:r w:rsidR="003509C5" w:rsidRPr="00631CDC">
        <w:rPr>
          <w:rFonts w:ascii="Century Gothic" w:eastAsia="Times New Roman" w:hAnsi="Century Gothic" w:cs="Times New Roman"/>
          <w:color w:val="000000" w:themeColor="text1"/>
          <w:sz w:val="22"/>
          <w:lang w:eastAsia="en-AU"/>
        </w:rPr>
        <w:t xml:space="preserve">six admissibility </w:t>
      </w:r>
      <w:r w:rsidRPr="00631CDC">
        <w:rPr>
          <w:rFonts w:ascii="Century Gothic" w:eastAsia="Times New Roman" w:hAnsi="Century Gothic" w:cs="Times New Roman"/>
          <w:color w:val="000000" w:themeColor="text1"/>
          <w:sz w:val="22"/>
          <w:lang w:eastAsia="en-AU"/>
        </w:rPr>
        <w:t xml:space="preserve">criteria are contained in the Annexure to this Initial Assessment. </w:t>
      </w:r>
      <w:r w:rsidR="001A013A">
        <w:rPr>
          <w:rFonts w:ascii="Century Gothic" w:eastAsia="Times New Roman" w:hAnsi="Century Gothic" w:cs="Times New Roman"/>
          <w:color w:val="000000" w:themeColor="text1"/>
          <w:sz w:val="22"/>
          <w:lang w:eastAsia="en-AU"/>
        </w:rPr>
        <w:t xml:space="preserve">The Annexure </w:t>
      </w:r>
      <w:r w:rsidR="00F153D6">
        <w:rPr>
          <w:rFonts w:ascii="Century Gothic" w:eastAsia="Times New Roman" w:hAnsi="Century Gothic" w:cs="Times New Roman"/>
          <w:color w:val="000000" w:themeColor="text1"/>
          <w:sz w:val="22"/>
          <w:lang w:eastAsia="en-AU"/>
        </w:rPr>
        <w:t xml:space="preserve">is not published with this Initial Assessment but </w:t>
      </w:r>
      <w:r w:rsidR="001A013A">
        <w:rPr>
          <w:rFonts w:ascii="Century Gothic" w:eastAsia="Times New Roman" w:hAnsi="Century Gothic" w:cs="Times New Roman"/>
          <w:color w:val="000000" w:themeColor="text1"/>
          <w:sz w:val="22"/>
          <w:lang w:eastAsia="en-AU"/>
        </w:rPr>
        <w:t xml:space="preserve">has been </w:t>
      </w:r>
      <w:r w:rsidR="00F153D6">
        <w:rPr>
          <w:rFonts w:ascii="Century Gothic" w:eastAsia="Times New Roman" w:hAnsi="Century Gothic" w:cs="Times New Roman"/>
          <w:color w:val="000000" w:themeColor="text1"/>
          <w:sz w:val="22"/>
          <w:lang w:eastAsia="en-AU"/>
        </w:rPr>
        <w:t>provided t</w:t>
      </w:r>
      <w:r w:rsidR="001A013A">
        <w:rPr>
          <w:rFonts w:ascii="Century Gothic" w:eastAsia="Times New Roman" w:hAnsi="Century Gothic" w:cs="Times New Roman"/>
          <w:color w:val="000000" w:themeColor="text1"/>
          <w:sz w:val="22"/>
          <w:lang w:eastAsia="en-AU"/>
        </w:rPr>
        <w:t xml:space="preserve">o the parties, so that they </w:t>
      </w:r>
      <w:r w:rsidR="00B50DA7">
        <w:rPr>
          <w:rFonts w:ascii="Century Gothic" w:eastAsia="Times New Roman" w:hAnsi="Century Gothic" w:cs="Times New Roman"/>
          <w:color w:val="000000" w:themeColor="text1"/>
          <w:sz w:val="22"/>
          <w:lang w:eastAsia="en-AU"/>
        </w:rPr>
        <w:t>are aware of</w:t>
      </w:r>
      <w:r w:rsidR="001A013A">
        <w:rPr>
          <w:rFonts w:ascii="Century Gothic" w:eastAsia="Times New Roman" w:hAnsi="Century Gothic" w:cs="Times New Roman"/>
          <w:color w:val="000000" w:themeColor="text1"/>
          <w:sz w:val="22"/>
          <w:lang w:eastAsia="en-AU"/>
        </w:rPr>
        <w:t xml:space="preserve"> the reasoning and application in detail. If, after the completion of any ‘good offices stage’, any material in the Annexure remains relevant that will be incorporated into </w:t>
      </w:r>
      <w:r w:rsidR="00F153D6">
        <w:rPr>
          <w:rFonts w:ascii="Century Gothic" w:eastAsia="Times New Roman" w:hAnsi="Century Gothic" w:cs="Times New Roman"/>
          <w:color w:val="000000" w:themeColor="text1"/>
          <w:sz w:val="22"/>
          <w:lang w:eastAsia="en-AU"/>
        </w:rPr>
        <w:t>a</w:t>
      </w:r>
      <w:r w:rsidR="001A013A">
        <w:rPr>
          <w:rFonts w:ascii="Century Gothic" w:eastAsia="Times New Roman" w:hAnsi="Century Gothic" w:cs="Times New Roman"/>
          <w:color w:val="000000" w:themeColor="text1"/>
          <w:sz w:val="22"/>
          <w:lang w:eastAsia="en-AU"/>
        </w:rPr>
        <w:t xml:space="preserve"> Final Statement on completion of this matter. </w:t>
      </w:r>
      <w:r w:rsidR="001A013A" w:rsidRPr="00631CDC">
        <w:rPr>
          <w:rFonts w:ascii="Century Gothic" w:eastAsia="Times New Roman" w:hAnsi="Century Gothic" w:cs="Times New Roman"/>
          <w:color w:val="000000" w:themeColor="text1"/>
          <w:sz w:val="22"/>
          <w:lang w:eastAsia="en-AU"/>
        </w:rPr>
        <w:t xml:space="preserve">The main points </w:t>
      </w:r>
      <w:r w:rsidR="001A013A">
        <w:rPr>
          <w:rFonts w:ascii="Century Gothic" w:eastAsia="Times New Roman" w:hAnsi="Century Gothic" w:cs="Times New Roman"/>
          <w:color w:val="000000" w:themeColor="text1"/>
          <w:sz w:val="22"/>
          <w:lang w:eastAsia="en-AU"/>
        </w:rPr>
        <w:t xml:space="preserve">in the Annexure </w:t>
      </w:r>
      <w:r w:rsidR="001A013A" w:rsidRPr="00631CDC">
        <w:rPr>
          <w:rFonts w:ascii="Century Gothic" w:eastAsia="Times New Roman" w:hAnsi="Century Gothic" w:cs="Times New Roman"/>
          <w:color w:val="000000" w:themeColor="text1"/>
          <w:sz w:val="22"/>
          <w:lang w:eastAsia="en-AU"/>
        </w:rPr>
        <w:t>are summarised in the paragraphs below.</w:t>
      </w:r>
    </w:p>
    <w:p w:rsidR="00093DD9" w:rsidRDefault="00093DD9" w:rsidP="00093DD9">
      <w:pPr>
        <w:pStyle w:val="OutlineNumbered1"/>
        <w:spacing w:before="240" w:line="280" w:lineRule="exact"/>
        <w:ind w:left="567"/>
        <w:jc w:val="both"/>
        <w:rPr>
          <w:rFonts w:ascii="Century Gothic" w:eastAsia="Times New Roman" w:hAnsi="Century Gothic" w:cs="Times New Roman"/>
          <w:color w:val="000000" w:themeColor="text1"/>
          <w:sz w:val="22"/>
          <w:lang w:eastAsia="en-AU"/>
        </w:rPr>
      </w:pPr>
    </w:p>
    <w:p w:rsidR="002121C1" w:rsidRPr="002121C1" w:rsidRDefault="00C94821">
      <w:pPr>
        <w:pStyle w:val="OutlineNumbered1"/>
        <w:numPr>
          <w:ilvl w:val="0"/>
          <w:numId w:val="10"/>
        </w:numPr>
        <w:spacing w:before="360" w:line="280" w:lineRule="exact"/>
        <w:ind w:left="567" w:hanging="567"/>
        <w:jc w:val="both"/>
        <w:rPr>
          <w:rFonts w:ascii="Century Gothic" w:eastAsia="Times New Roman" w:hAnsi="Century Gothic" w:cs="Times New Roman"/>
          <w:color w:val="000000" w:themeColor="text1"/>
          <w:sz w:val="22"/>
          <w:lang w:eastAsia="en-AU"/>
        </w:rPr>
      </w:pPr>
      <w:r w:rsidRPr="00C94821">
        <w:rPr>
          <w:rFonts w:ascii="Century Gothic" w:eastAsia="Times New Roman" w:hAnsi="Century Gothic" w:cs="Times New Roman"/>
          <w:iCs/>
          <w:color w:val="000000" w:themeColor="text1"/>
          <w:sz w:val="22"/>
          <w:lang w:eastAsia="en-AU"/>
        </w:rPr>
        <w:t>Consistent with section II paragraph 26, a</w:t>
      </w:r>
      <w:r w:rsidR="002121C1" w:rsidRPr="00C94821">
        <w:rPr>
          <w:rFonts w:ascii="Century Gothic" w:eastAsia="Times New Roman" w:hAnsi="Century Gothic" w:cs="Times New Roman"/>
          <w:color w:val="000000" w:themeColor="text1"/>
          <w:sz w:val="22"/>
          <w:lang w:eastAsia="en-AU"/>
        </w:rPr>
        <w:t xml:space="preserve"> complaint</w:t>
      </w:r>
      <w:r w:rsidR="002121C1" w:rsidRPr="002121C1">
        <w:rPr>
          <w:rFonts w:ascii="Century Gothic" w:eastAsia="Times New Roman" w:hAnsi="Century Gothic" w:cs="Times New Roman"/>
          <w:color w:val="000000" w:themeColor="text1"/>
          <w:sz w:val="22"/>
          <w:lang w:eastAsia="en-AU"/>
        </w:rPr>
        <w:t xml:space="preserve"> under the OECD Guidelines is about the expectations of the Guidelines; it is not about compliance nor breach of Australian laws. Actions which parties take, in following Australian law, </w:t>
      </w:r>
      <w:r w:rsidR="002121C1" w:rsidRPr="00E7240A">
        <w:rPr>
          <w:rFonts w:ascii="Century Gothic" w:eastAsia="Times New Roman" w:hAnsi="Century Gothic" w:cs="Times New Roman"/>
          <w:i/>
          <w:iCs/>
          <w:color w:val="000000" w:themeColor="text1"/>
          <w:sz w:val="22"/>
          <w:lang w:eastAsia="en-AU"/>
        </w:rPr>
        <w:t>can</w:t>
      </w:r>
      <w:r w:rsidR="002121C1" w:rsidRPr="002121C1">
        <w:rPr>
          <w:rFonts w:ascii="Century Gothic" w:eastAsia="Times New Roman" w:hAnsi="Century Gothic" w:cs="Times New Roman"/>
          <w:color w:val="000000" w:themeColor="text1"/>
          <w:sz w:val="22"/>
          <w:lang w:eastAsia="en-AU"/>
        </w:rPr>
        <w:t xml:space="preserve"> also be relevant to meeting the Guidelines. Equally, factual findings by Australian courts and tribunals </w:t>
      </w:r>
      <w:r w:rsidR="002121C1" w:rsidRPr="00E7240A">
        <w:rPr>
          <w:rFonts w:ascii="Century Gothic" w:eastAsia="Times New Roman" w:hAnsi="Century Gothic" w:cs="Times New Roman"/>
          <w:i/>
          <w:iCs/>
          <w:color w:val="000000" w:themeColor="text1"/>
          <w:sz w:val="22"/>
          <w:lang w:eastAsia="en-AU"/>
        </w:rPr>
        <w:t>may</w:t>
      </w:r>
      <w:r w:rsidR="002121C1" w:rsidRPr="002121C1">
        <w:rPr>
          <w:rFonts w:ascii="Century Gothic" w:eastAsia="Times New Roman" w:hAnsi="Century Gothic" w:cs="Times New Roman"/>
          <w:color w:val="000000" w:themeColor="text1"/>
          <w:sz w:val="22"/>
          <w:lang w:eastAsia="en-AU"/>
        </w:rPr>
        <w:t xml:space="preserve"> identify matters relevant to meeting the Guidelines. However </w:t>
      </w:r>
      <w:r w:rsidR="002121C1">
        <w:rPr>
          <w:rFonts w:ascii="Century Gothic" w:eastAsia="Times New Roman" w:hAnsi="Century Gothic" w:cs="Times New Roman"/>
          <w:color w:val="000000" w:themeColor="text1"/>
          <w:sz w:val="22"/>
          <w:lang w:eastAsia="en-AU"/>
        </w:rPr>
        <w:t xml:space="preserve">parties’ </w:t>
      </w:r>
      <w:r w:rsidR="002121C1" w:rsidRPr="002121C1">
        <w:rPr>
          <w:rFonts w:ascii="Century Gothic" w:eastAsia="Times New Roman" w:hAnsi="Century Gothic" w:cs="Times New Roman"/>
          <w:color w:val="000000" w:themeColor="text1"/>
          <w:sz w:val="22"/>
          <w:lang w:eastAsia="en-AU"/>
        </w:rPr>
        <w:t>statements about compliance or breach of Australian law</w:t>
      </w:r>
      <w:r w:rsidR="002121C1">
        <w:rPr>
          <w:rFonts w:ascii="Century Gothic" w:eastAsia="Times New Roman" w:hAnsi="Century Gothic" w:cs="Times New Roman"/>
          <w:color w:val="000000" w:themeColor="text1"/>
          <w:sz w:val="22"/>
          <w:lang w:eastAsia="en-AU"/>
        </w:rPr>
        <w:t xml:space="preserve"> are not, of themselves, </w:t>
      </w:r>
      <w:r w:rsidR="002121C1" w:rsidRPr="002121C1">
        <w:rPr>
          <w:rFonts w:ascii="Century Gothic" w:eastAsia="Times New Roman" w:hAnsi="Century Gothic" w:cs="Times New Roman"/>
          <w:color w:val="000000" w:themeColor="text1"/>
          <w:sz w:val="22"/>
          <w:lang w:eastAsia="en-AU"/>
        </w:rPr>
        <w:t>relevant to assessing a complaint under the OECD Guidelines.</w:t>
      </w:r>
    </w:p>
    <w:p w:rsidR="001A013A" w:rsidRPr="00631CDC" w:rsidRDefault="001A013A" w:rsidP="00D76813">
      <w:pPr>
        <w:pStyle w:val="OutlineNumbered1"/>
        <w:numPr>
          <w:ilvl w:val="0"/>
          <w:numId w:val="10"/>
        </w:numPr>
        <w:spacing w:before="36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Most of the admissibility criteria are sufficiently evident for the purposes of Initial Assessment. This includes: the identity of the party making the Complaint and its interest in the matter; whether the issue is material and substantiated; and the link between the enterprise’s activities and the issues raised in the Complaint.</w:t>
      </w:r>
    </w:p>
    <w:p w:rsidR="001A013A" w:rsidRPr="00922593" w:rsidRDefault="001A013A" w:rsidP="00283EA6">
      <w:pPr>
        <w:pStyle w:val="OutlineNumbered1"/>
        <w:numPr>
          <w:ilvl w:val="0"/>
          <w:numId w:val="10"/>
        </w:numPr>
        <w:spacing w:before="360" w:line="280" w:lineRule="exact"/>
        <w:ind w:left="567" w:hanging="567"/>
        <w:jc w:val="both"/>
        <w:rPr>
          <w:rFonts w:ascii="Century Gothic" w:eastAsia="Times New Roman" w:hAnsi="Century Gothic" w:cs="Times New Roman"/>
          <w:color w:val="000000" w:themeColor="text1"/>
          <w:sz w:val="22"/>
          <w:lang w:eastAsia="en-AU"/>
        </w:rPr>
      </w:pPr>
      <w:r w:rsidRPr="00922593">
        <w:rPr>
          <w:rFonts w:ascii="Century Gothic" w:eastAsia="Times New Roman" w:hAnsi="Century Gothic" w:cs="Times New Roman"/>
          <w:color w:val="000000" w:themeColor="text1"/>
          <w:sz w:val="22"/>
          <w:lang w:eastAsia="en-AU"/>
        </w:rPr>
        <w:t xml:space="preserve">There is a preliminary issue of whether the OECD Guidelines apply given this is an Australian corporation and the events complained of occurred in Australia. </w:t>
      </w:r>
      <w:r w:rsidR="00922593" w:rsidRPr="00922593">
        <w:rPr>
          <w:rFonts w:ascii="Century Gothic" w:eastAsia="Times New Roman" w:hAnsi="Century Gothic" w:cs="Times New Roman"/>
          <w:color w:val="000000" w:themeColor="text1"/>
          <w:sz w:val="22"/>
          <w:lang w:eastAsia="en-AU"/>
        </w:rPr>
        <w:t xml:space="preserve">ElectraNet’s position is that </w:t>
      </w:r>
      <w:r w:rsidR="00922593">
        <w:rPr>
          <w:rFonts w:ascii="Century Gothic" w:eastAsia="Times New Roman" w:hAnsi="Century Gothic" w:cs="Times New Roman"/>
          <w:color w:val="000000" w:themeColor="text1"/>
          <w:sz w:val="22"/>
          <w:lang w:eastAsia="en-AU"/>
        </w:rPr>
        <w:t>‘</w:t>
      </w:r>
      <w:r w:rsidR="00922593" w:rsidRPr="00922593">
        <w:rPr>
          <w:rFonts w:ascii="Century Gothic" w:eastAsia="Times New Roman" w:hAnsi="Century Gothic" w:cs="Times New Roman"/>
          <w:color w:val="000000" w:themeColor="text1"/>
          <w:sz w:val="22"/>
          <w:lang w:eastAsia="en-AU"/>
        </w:rPr>
        <w:t>no multinational enterprise exists</w:t>
      </w:r>
      <w:r w:rsidR="00922593">
        <w:rPr>
          <w:rFonts w:ascii="Century Gothic" w:eastAsia="Times New Roman" w:hAnsi="Century Gothic" w:cs="Times New Roman"/>
          <w:color w:val="000000" w:themeColor="text1"/>
          <w:sz w:val="22"/>
          <w:lang w:eastAsia="en-AU"/>
        </w:rPr>
        <w:t>’</w:t>
      </w:r>
      <w:r w:rsidR="00922593" w:rsidRPr="00922593">
        <w:rPr>
          <w:rFonts w:ascii="Century Gothic" w:eastAsia="Times New Roman" w:hAnsi="Century Gothic" w:cs="Times New Roman"/>
          <w:color w:val="000000" w:themeColor="text1"/>
          <w:sz w:val="22"/>
          <w:lang w:eastAsia="en-AU"/>
        </w:rPr>
        <w:t xml:space="preserve">, describing itself as </w:t>
      </w:r>
      <w:r w:rsidR="00922593">
        <w:rPr>
          <w:rFonts w:ascii="Century Gothic" w:eastAsia="Times New Roman" w:hAnsi="Century Gothic" w:cs="Times New Roman"/>
          <w:color w:val="000000" w:themeColor="text1"/>
          <w:sz w:val="22"/>
          <w:lang w:eastAsia="en-AU"/>
        </w:rPr>
        <w:t>a ‘w</w:t>
      </w:r>
      <w:r w:rsidR="00922593" w:rsidRPr="00922593">
        <w:rPr>
          <w:rFonts w:ascii="Century Gothic" w:eastAsia="Times New Roman" w:hAnsi="Century Gothic" w:cs="Times New Roman"/>
          <w:color w:val="000000" w:themeColor="text1"/>
          <w:sz w:val="22"/>
          <w:lang w:eastAsia="en-AU"/>
        </w:rPr>
        <w:t>ho</w:t>
      </w:r>
      <w:r w:rsidR="00922593">
        <w:rPr>
          <w:rFonts w:ascii="Century Gothic" w:eastAsia="Times New Roman" w:hAnsi="Century Gothic" w:cs="Times New Roman"/>
          <w:color w:val="000000" w:themeColor="text1"/>
          <w:sz w:val="22"/>
          <w:lang w:eastAsia="en-AU"/>
        </w:rPr>
        <w:t>l</w:t>
      </w:r>
      <w:r w:rsidR="00922593" w:rsidRPr="00922593">
        <w:rPr>
          <w:rFonts w:ascii="Century Gothic" w:eastAsia="Times New Roman" w:hAnsi="Century Gothic" w:cs="Times New Roman"/>
          <w:color w:val="000000" w:themeColor="text1"/>
          <w:sz w:val="22"/>
          <w:lang w:eastAsia="en-AU"/>
        </w:rPr>
        <w:t>ly domestic Australian</w:t>
      </w:r>
      <w:r w:rsidR="00922593">
        <w:rPr>
          <w:rFonts w:ascii="Century Gothic" w:eastAsia="Times New Roman" w:hAnsi="Century Gothic" w:cs="Times New Roman"/>
          <w:color w:val="000000" w:themeColor="text1"/>
          <w:sz w:val="22"/>
          <w:lang w:eastAsia="en-AU"/>
        </w:rPr>
        <w:t xml:space="preserve"> </w:t>
      </w:r>
      <w:r w:rsidR="00922593" w:rsidRPr="00922593">
        <w:rPr>
          <w:rFonts w:ascii="Century Gothic" w:eastAsia="Times New Roman" w:hAnsi="Century Gothic" w:cs="Times New Roman"/>
          <w:color w:val="000000" w:themeColor="text1"/>
          <w:sz w:val="22"/>
          <w:lang w:eastAsia="en-AU"/>
        </w:rPr>
        <w:t>based and controlled enterprise</w:t>
      </w:r>
      <w:r w:rsidR="00922593">
        <w:rPr>
          <w:rFonts w:ascii="Century Gothic" w:eastAsia="Times New Roman" w:hAnsi="Century Gothic" w:cs="Times New Roman"/>
          <w:color w:val="000000" w:themeColor="text1"/>
          <w:sz w:val="22"/>
          <w:lang w:eastAsia="en-AU"/>
        </w:rPr>
        <w:t>’</w:t>
      </w:r>
      <w:r w:rsidR="00922593" w:rsidRPr="00922593">
        <w:rPr>
          <w:rFonts w:ascii="Century Gothic" w:eastAsia="Times New Roman" w:hAnsi="Century Gothic" w:cs="Times New Roman"/>
          <w:color w:val="000000" w:themeColor="text1"/>
          <w:sz w:val="22"/>
          <w:lang w:eastAsia="en-AU"/>
        </w:rPr>
        <w:t>.</w:t>
      </w:r>
      <w:r w:rsidR="00922593">
        <w:rPr>
          <w:rFonts w:ascii="Century Gothic" w:eastAsia="Times New Roman" w:hAnsi="Century Gothic" w:cs="Times New Roman"/>
          <w:color w:val="000000" w:themeColor="text1"/>
          <w:sz w:val="22"/>
          <w:lang w:eastAsia="en-AU"/>
        </w:rPr>
        <w:t xml:space="preserve"> </w:t>
      </w:r>
      <w:r w:rsidRPr="00922593">
        <w:rPr>
          <w:rFonts w:ascii="Century Gothic" w:eastAsia="Times New Roman" w:hAnsi="Century Gothic" w:cs="Times New Roman"/>
          <w:color w:val="000000" w:themeColor="text1"/>
          <w:sz w:val="22"/>
          <w:lang w:eastAsia="en-AU"/>
        </w:rPr>
        <w:t>There are, however, some multinational aspects to ElectraNet’s shareholding and management. T</w:t>
      </w:r>
      <w:r w:rsidRPr="00922593">
        <w:rPr>
          <w:rFonts w:ascii="Century Gothic" w:hAnsi="Century Gothic" w:cs="Times New Roman"/>
          <w:sz w:val="22"/>
        </w:rPr>
        <w:t>he majority of controlling interests in ElectraNet are international</w:t>
      </w:r>
      <w:r w:rsidR="00B50DA7" w:rsidRPr="00922593">
        <w:rPr>
          <w:rFonts w:ascii="Century Gothic" w:hAnsi="Century Gothic" w:cs="Times New Roman"/>
          <w:sz w:val="22"/>
        </w:rPr>
        <w:t xml:space="preserve">, </w:t>
      </w:r>
      <w:r w:rsidR="00021B0C" w:rsidRPr="00922593">
        <w:rPr>
          <w:rFonts w:ascii="Century Gothic" w:hAnsi="Century Gothic" w:cs="Times New Roman"/>
          <w:sz w:val="22"/>
        </w:rPr>
        <w:t>so</w:t>
      </w:r>
      <w:r w:rsidRPr="00922593">
        <w:rPr>
          <w:rFonts w:ascii="Century Gothic" w:hAnsi="Century Gothic" w:cs="Times New Roman"/>
          <w:sz w:val="22"/>
        </w:rPr>
        <w:t xml:space="preserve"> at some stage in its governance and activities, there should be consideration of the issues and expectations in </w:t>
      </w:r>
      <w:r w:rsidR="00F153D6" w:rsidRPr="00922593">
        <w:rPr>
          <w:rFonts w:ascii="Century Gothic" w:hAnsi="Century Gothic" w:cs="Times New Roman"/>
          <w:sz w:val="22"/>
        </w:rPr>
        <w:t xml:space="preserve">the </w:t>
      </w:r>
      <w:r w:rsidRPr="00922593">
        <w:rPr>
          <w:rFonts w:ascii="Century Gothic" w:hAnsi="Century Gothic" w:cs="Times New Roman"/>
          <w:sz w:val="22"/>
        </w:rPr>
        <w:t>OECD Guidelines</w:t>
      </w:r>
      <w:r w:rsidRPr="00922593">
        <w:rPr>
          <w:rFonts w:ascii="Century Gothic" w:eastAsia="Times New Roman" w:hAnsi="Century Gothic" w:cs="Times New Roman"/>
          <w:color w:val="000000" w:themeColor="text1"/>
          <w:sz w:val="22"/>
          <w:lang w:eastAsia="en-AU"/>
        </w:rPr>
        <w:t>. This makes it inappropriate to reject the Complaint on the basis of ‘no multinational’ at this Initial Assessment phase.</w:t>
      </w:r>
    </w:p>
    <w:p w:rsidR="001A013A" w:rsidRPr="00631CDC" w:rsidRDefault="001A013A" w:rsidP="00D76813">
      <w:pPr>
        <w:pStyle w:val="OutlineNumbered1"/>
        <w:numPr>
          <w:ilvl w:val="0"/>
          <w:numId w:val="10"/>
        </w:numPr>
        <w:spacing w:before="36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The OECD Guidelines contain expectations on enterprises where their actions impact Indigenous people; and these are detailed in relevant international and Australian standards and legal proceedings. </w:t>
      </w:r>
      <w:r>
        <w:rPr>
          <w:rFonts w:ascii="Century Gothic" w:eastAsia="Times New Roman" w:hAnsi="Century Gothic" w:cs="Times New Roman"/>
          <w:color w:val="000000" w:themeColor="text1"/>
          <w:sz w:val="22"/>
          <w:lang w:eastAsia="en-AU"/>
        </w:rPr>
        <w:t>Of</w:t>
      </w:r>
      <w:r w:rsidRPr="00631CDC">
        <w:rPr>
          <w:rFonts w:ascii="Century Gothic" w:eastAsia="Times New Roman" w:hAnsi="Century Gothic" w:cs="Times New Roman"/>
          <w:color w:val="000000" w:themeColor="text1"/>
          <w:sz w:val="22"/>
          <w:lang w:eastAsia="en-AU"/>
        </w:rPr>
        <w:t xml:space="preserve"> significan</w:t>
      </w:r>
      <w:r>
        <w:rPr>
          <w:rFonts w:ascii="Century Gothic" w:eastAsia="Times New Roman" w:hAnsi="Century Gothic" w:cs="Times New Roman"/>
          <w:color w:val="000000" w:themeColor="text1"/>
          <w:sz w:val="22"/>
          <w:lang w:eastAsia="en-AU"/>
        </w:rPr>
        <w:t>ce here</w:t>
      </w:r>
      <w:r w:rsidRPr="00631CDC">
        <w:rPr>
          <w:rFonts w:ascii="Century Gothic" w:eastAsia="Times New Roman" w:hAnsi="Century Gothic" w:cs="Times New Roman"/>
          <w:color w:val="000000" w:themeColor="text1"/>
          <w:sz w:val="22"/>
          <w:lang w:eastAsia="en-AU"/>
        </w:rPr>
        <w:t xml:space="preserve"> is the issue of free, prior, informed consent (</w:t>
      </w:r>
      <w:r w:rsidRPr="00631CDC">
        <w:rPr>
          <w:rFonts w:ascii="Century Gothic" w:eastAsia="Times New Roman" w:hAnsi="Century Gothic" w:cs="Times New Roman"/>
          <w:b/>
          <w:bCs/>
          <w:color w:val="000000" w:themeColor="text1"/>
          <w:sz w:val="22"/>
          <w:lang w:eastAsia="en-AU"/>
        </w:rPr>
        <w:t>FPIC</w:t>
      </w:r>
      <w:r w:rsidRPr="00631CDC">
        <w:rPr>
          <w:rFonts w:ascii="Century Gothic" w:eastAsia="Times New Roman" w:hAnsi="Century Gothic" w:cs="Times New Roman"/>
          <w:color w:val="000000" w:themeColor="text1"/>
          <w:sz w:val="22"/>
          <w:lang w:eastAsia="en-AU"/>
        </w:rPr>
        <w:t xml:space="preserve">) </w:t>
      </w:r>
      <w:r w:rsidR="00C4329F" w:rsidRPr="00C4329F">
        <w:rPr>
          <w:rFonts w:ascii="Century Gothic" w:eastAsia="Times New Roman" w:hAnsi="Century Gothic" w:cs="Times New Roman"/>
          <w:color w:val="000000" w:themeColor="text1"/>
          <w:sz w:val="22"/>
          <w:lang w:eastAsia="en-AU"/>
        </w:rPr>
        <w:t xml:space="preserve">of </w:t>
      </w:r>
      <w:r w:rsidR="00C4329F">
        <w:rPr>
          <w:rFonts w:ascii="Century Gothic" w:eastAsia="Times New Roman" w:hAnsi="Century Gothic" w:cs="Times New Roman"/>
          <w:color w:val="000000" w:themeColor="text1"/>
          <w:sz w:val="22"/>
          <w:lang w:eastAsia="en-AU"/>
        </w:rPr>
        <w:t>I</w:t>
      </w:r>
      <w:r w:rsidR="00C4329F" w:rsidRPr="00C4329F">
        <w:rPr>
          <w:rFonts w:ascii="Century Gothic" w:eastAsia="Times New Roman" w:hAnsi="Century Gothic" w:cs="Times New Roman"/>
          <w:color w:val="000000" w:themeColor="text1"/>
          <w:sz w:val="22"/>
          <w:lang w:eastAsia="en-AU"/>
        </w:rPr>
        <w:t xml:space="preserve">ndigenous peoples </w:t>
      </w:r>
      <w:r w:rsidR="00C4329F">
        <w:rPr>
          <w:rFonts w:ascii="Century Gothic" w:eastAsia="Times New Roman" w:hAnsi="Century Gothic" w:cs="Times New Roman"/>
          <w:color w:val="000000" w:themeColor="text1"/>
          <w:sz w:val="22"/>
          <w:lang w:eastAsia="en-AU"/>
        </w:rPr>
        <w:t>concerning</w:t>
      </w:r>
      <w:r w:rsidR="00C4329F" w:rsidRPr="00C4329F">
        <w:rPr>
          <w:rFonts w:ascii="Century Gothic" w:eastAsia="Times New Roman" w:hAnsi="Century Gothic" w:cs="Times New Roman"/>
          <w:color w:val="000000" w:themeColor="text1"/>
          <w:sz w:val="22"/>
          <w:lang w:eastAsia="en-AU"/>
        </w:rPr>
        <w:t xml:space="preserve"> project</w:t>
      </w:r>
      <w:r w:rsidR="00C4329F">
        <w:rPr>
          <w:rFonts w:ascii="Century Gothic" w:eastAsia="Times New Roman" w:hAnsi="Century Gothic" w:cs="Times New Roman"/>
          <w:color w:val="000000" w:themeColor="text1"/>
          <w:sz w:val="22"/>
          <w:lang w:eastAsia="en-AU"/>
        </w:rPr>
        <w:t>s</w:t>
      </w:r>
      <w:r w:rsidR="00C4329F" w:rsidRPr="00C4329F">
        <w:rPr>
          <w:rFonts w:ascii="Century Gothic" w:eastAsia="Times New Roman" w:hAnsi="Century Gothic" w:cs="Times New Roman"/>
          <w:color w:val="000000" w:themeColor="text1"/>
          <w:sz w:val="22"/>
          <w:lang w:eastAsia="en-AU"/>
        </w:rPr>
        <w:t xml:space="preserve"> affecting their lands or territories and other resources</w:t>
      </w:r>
      <w:r w:rsidRPr="00631CDC">
        <w:rPr>
          <w:rFonts w:ascii="Century Gothic" w:hAnsi="Century Gothic" w:cs="Times New Roman"/>
          <w:sz w:val="22"/>
        </w:rPr>
        <w:t>.</w:t>
      </w:r>
      <w:bookmarkStart w:id="10" w:name="_Ref62553078"/>
      <w:r w:rsidR="00C4329F">
        <w:rPr>
          <w:rStyle w:val="FootnoteReference"/>
          <w:rFonts w:ascii="Century Gothic" w:hAnsi="Century Gothic" w:cs="Times New Roman"/>
          <w:sz w:val="22"/>
        </w:rPr>
        <w:footnoteReference w:id="3"/>
      </w:r>
      <w:bookmarkEnd w:id="10"/>
      <w:r w:rsidRPr="00631CDC">
        <w:rPr>
          <w:rFonts w:ascii="Century Gothic" w:hAnsi="Century Gothic" w:cs="Times New Roman"/>
          <w:sz w:val="22"/>
        </w:rPr>
        <w:t xml:space="preserve"> FPIC is a group right and is not determined by the presence or absence of agreement with individual Indigenous persons.</w:t>
      </w:r>
      <w:bookmarkStart w:id="11" w:name="_Ref62553097"/>
      <w:r>
        <w:rPr>
          <w:rStyle w:val="FootnoteReference"/>
          <w:rFonts w:ascii="Century Gothic" w:hAnsi="Century Gothic" w:cs="Times New Roman"/>
          <w:sz w:val="22"/>
        </w:rPr>
        <w:footnoteReference w:id="4"/>
      </w:r>
      <w:bookmarkEnd w:id="11"/>
      <w:r w:rsidRPr="00631CDC">
        <w:rPr>
          <w:rFonts w:ascii="Century Gothic" w:hAnsi="Century Gothic" w:cs="Times New Roman"/>
          <w:sz w:val="22"/>
        </w:rPr>
        <w:t xml:space="preserve"> </w:t>
      </w:r>
    </w:p>
    <w:p w:rsidR="00021B0C" w:rsidRDefault="00283EA6" w:rsidP="0019588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noProof/>
          <w:color w:val="000000" w:themeColor="text1"/>
          <w:sz w:val="22"/>
          <w:lang w:eastAsia="en-AU"/>
        </w:rPr>
        <w:lastRenderedPageBreak/>
        <w:drawing>
          <wp:anchor distT="0" distB="0" distL="114300" distR="114300" simplePos="0" relativeHeight="251666432" behindDoc="1" locked="0" layoutInCell="1" allowOverlap="1" wp14:anchorId="76A2B2E0" wp14:editId="56ABBDAE">
            <wp:simplePos x="0" y="0"/>
            <wp:positionH relativeFrom="margin">
              <wp:posOffset>689610</wp:posOffset>
            </wp:positionH>
            <wp:positionV relativeFrom="paragraph">
              <wp:posOffset>758190</wp:posOffset>
            </wp:positionV>
            <wp:extent cx="5151120" cy="2868295"/>
            <wp:effectExtent l="0" t="0" r="0" b="8255"/>
            <wp:wrapTopAndBottom/>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1120" cy="2868295"/>
                    </a:xfrm>
                    <a:prstGeom prst="rect">
                      <a:avLst/>
                    </a:prstGeom>
                  </pic:spPr>
                </pic:pic>
              </a:graphicData>
            </a:graphic>
            <wp14:sizeRelH relativeFrom="margin">
              <wp14:pctWidth>0</wp14:pctWidth>
            </wp14:sizeRelH>
            <wp14:sizeRelV relativeFrom="margin">
              <wp14:pctHeight>0</wp14:pctHeight>
            </wp14:sizeRelV>
          </wp:anchor>
        </w:drawing>
      </w:r>
      <w:r w:rsidR="00021B0C">
        <w:rPr>
          <w:rFonts w:ascii="Century Gothic" w:eastAsia="Times New Roman" w:hAnsi="Century Gothic" w:cs="Times New Roman"/>
          <w:color w:val="000000" w:themeColor="text1"/>
          <w:sz w:val="22"/>
          <w:lang w:eastAsia="en-AU"/>
        </w:rPr>
        <w:t>All the</w:t>
      </w:r>
      <w:r w:rsidR="001A013A" w:rsidRPr="00631CDC">
        <w:rPr>
          <w:rFonts w:ascii="Century Gothic" w:eastAsia="Times New Roman" w:hAnsi="Century Gothic" w:cs="Times New Roman"/>
          <w:color w:val="000000" w:themeColor="text1"/>
          <w:sz w:val="22"/>
          <w:lang w:eastAsia="en-AU"/>
        </w:rPr>
        <w:t xml:space="preserve"> sites </w:t>
      </w:r>
      <w:r w:rsidR="00021B0C">
        <w:rPr>
          <w:rFonts w:ascii="Century Gothic" w:eastAsia="Times New Roman" w:hAnsi="Century Gothic" w:cs="Times New Roman"/>
          <w:color w:val="000000" w:themeColor="text1"/>
          <w:sz w:val="22"/>
          <w:lang w:eastAsia="en-AU"/>
        </w:rPr>
        <w:t xml:space="preserve">(except one) identified in the </w:t>
      </w:r>
      <w:r w:rsidR="000628B5">
        <w:rPr>
          <w:rFonts w:ascii="Century Gothic" w:eastAsia="Times New Roman" w:hAnsi="Century Gothic" w:cs="Times New Roman"/>
          <w:color w:val="000000" w:themeColor="text1"/>
          <w:sz w:val="22"/>
          <w:lang w:eastAsia="en-AU"/>
        </w:rPr>
        <w:t>C</w:t>
      </w:r>
      <w:r w:rsidR="00021B0C">
        <w:rPr>
          <w:rFonts w:ascii="Century Gothic" w:eastAsia="Times New Roman" w:hAnsi="Century Gothic" w:cs="Times New Roman"/>
          <w:color w:val="000000" w:themeColor="text1"/>
          <w:sz w:val="22"/>
          <w:lang w:eastAsia="en-AU"/>
        </w:rPr>
        <w:t>omplaint are in the ‘</w:t>
      </w:r>
      <w:r w:rsidR="00021B0C" w:rsidRPr="00631CDC">
        <w:rPr>
          <w:rFonts w:ascii="Century Gothic" w:eastAsia="Times New Roman" w:hAnsi="Century Gothic" w:cs="Times New Roman"/>
          <w:color w:val="000000" w:themeColor="text1"/>
          <w:sz w:val="22"/>
          <w:lang w:eastAsia="en-AU"/>
        </w:rPr>
        <w:t>Kokatha determination area</w:t>
      </w:r>
      <w:r w:rsidR="00021B0C">
        <w:rPr>
          <w:rFonts w:ascii="Century Gothic" w:eastAsia="Times New Roman" w:hAnsi="Century Gothic" w:cs="Times New Roman"/>
          <w:color w:val="000000" w:themeColor="text1"/>
          <w:sz w:val="22"/>
          <w:lang w:eastAsia="en-AU"/>
        </w:rPr>
        <w:t>’</w:t>
      </w:r>
      <w:r w:rsidR="000628B5">
        <w:rPr>
          <w:rFonts w:ascii="Century Gothic" w:eastAsia="Times New Roman" w:hAnsi="Century Gothic" w:cs="Times New Roman"/>
          <w:color w:val="000000" w:themeColor="text1"/>
          <w:sz w:val="22"/>
          <w:lang w:eastAsia="en-AU"/>
        </w:rPr>
        <w:t>,</w:t>
      </w:r>
      <w:r w:rsidR="00021B0C">
        <w:rPr>
          <w:rFonts w:ascii="Century Gothic" w:eastAsia="Times New Roman" w:hAnsi="Century Gothic" w:cs="Times New Roman"/>
          <w:color w:val="000000" w:themeColor="text1"/>
          <w:sz w:val="22"/>
          <w:lang w:eastAsia="en-AU"/>
        </w:rPr>
        <w:t xml:space="preserve"> which is indicated in the following image (extracted from the Complaint)</w:t>
      </w:r>
      <w:r w:rsidR="00021B0C" w:rsidRPr="00631CDC">
        <w:rPr>
          <w:rFonts w:ascii="Century Gothic" w:eastAsia="Times New Roman" w:hAnsi="Century Gothic" w:cs="Times New Roman"/>
          <w:color w:val="000000" w:themeColor="text1"/>
          <w:sz w:val="22"/>
          <w:lang w:eastAsia="en-AU"/>
        </w:rPr>
        <w:t xml:space="preserve"> </w:t>
      </w:r>
      <w:r w:rsidR="00021B0C">
        <w:rPr>
          <w:rFonts w:ascii="Century Gothic" w:eastAsia="Times New Roman" w:hAnsi="Century Gothic" w:cs="Times New Roman"/>
          <w:color w:val="000000" w:themeColor="text1"/>
          <w:sz w:val="22"/>
          <w:lang w:eastAsia="en-AU"/>
        </w:rPr>
        <w:t xml:space="preserve">as the green-bounded area labelled </w:t>
      </w:r>
      <w:r w:rsidR="00021B0C" w:rsidRPr="00631CDC">
        <w:rPr>
          <w:rFonts w:ascii="Century Gothic" w:eastAsia="Times New Roman" w:hAnsi="Century Gothic" w:cs="Times New Roman"/>
          <w:color w:val="000000" w:themeColor="text1"/>
          <w:sz w:val="22"/>
          <w:lang w:eastAsia="en-AU"/>
        </w:rPr>
        <w:t>‘Kokatha native title boundary’</w:t>
      </w:r>
      <w:r w:rsidR="00021B0C">
        <w:rPr>
          <w:rFonts w:ascii="Century Gothic" w:eastAsia="Times New Roman" w:hAnsi="Century Gothic" w:cs="Times New Roman"/>
          <w:color w:val="000000" w:themeColor="text1"/>
          <w:sz w:val="22"/>
          <w:lang w:eastAsia="en-AU"/>
        </w:rPr>
        <w:t xml:space="preserve">. </w:t>
      </w:r>
    </w:p>
    <w:p w:rsidR="001A013A" w:rsidRPr="00E7651C" w:rsidRDefault="00021B0C" w:rsidP="00E7651C">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Pr>
          <w:rFonts w:ascii="Century Gothic" w:eastAsia="Times New Roman" w:hAnsi="Century Gothic" w:cs="Times New Roman"/>
          <w:color w:val="000000" w:themeColor="text1"/>
          <w:sz w:val="22"/>
          <w:lang w:eastAsia="en-AU"/>
        </w:rPr>
        <w:t>For</w:t>
      </w:r>
      <w:r w:rsidRPr="00C922C3">
        <w:rPr>
          <w:rFonts w:ascii="Century Gothic" w:eastAsia="Times New Roman" w:hAnsi="Century Gothic" w:cs="Times New Roman"/>
          <w:color w:val="000000" w:themeColor="text1"/>
          <w:sz w:val="22"/>
          <w:lang w:eastAsia="en-AU"/>
        </w:rPr>
        <w:t xml:space="preserve"> the Kokatha determination area, t</w:t>
      </w:r>
      <w:r w:rsidR="001A013A" w:rsidRPr="00C922C3">
        <w:rPr>
          <w:rFonts w:ascii="Century Gothic" w:eastAsia="Times New Roman" w:hAnsi="Century Gothic" w:cs="Times New Roman"/>
          <w:color w:val="000000" w:themeColor="text1"/>
          <w:sz w:val="22"/>
          <w:lang w:eastAsia="en-AU"/>
        </w:rPr>
        <w:t>he KAC has been recognised, through extensive court proceedings</w:t>
      </w:r>
      <w:r w:rsidR="000628B5">
        <w:rPr>
          <w:rFonts w:ascii="Century Gothic" w:eastAsia="Times New Roman" w:hAnsi="Century Gothic" w:cs="Times New Roman"/>
          <w:color w:val="000000" w:themeColor="text1"/>
          <w:sz w:val="22"/>
          <w:lang w:eastAsia="en-AU"/>
        </w:rPr>
        <w:t xml:space="preserve"> involving the Starkeys</w:t>
      </w:r>
      <w:r w:rsidR="001A013A" w:rsidRPr="00C922C3">
        <w:rPr>
          <w:rFonts w:ascii="Century Gothic" w:eastAsia="Times New Roman" w:hAnsi="Century Gothic" w:cs="Times New Roman"/>
          <w:color w:val="000000" w:themeColor="text1"/>
          <w:sz w:val="22"/>
          <w:lang w:eastAsia="en-AU"/>
        </w:rPr>
        <w:t>, as having authority to represent the Aboriginal people with rights to maintain and protect sites of cultural significance</w:t>
      </w:r>
      <w:r>
        <w:rPr>
          <w:rFonts w:ascii="Century Gothic" w:eastAsia="Times New Roman" w:hAnsi="Century Gothic" w:cs="Times New Roman"/>
          <w:color w:val="000000" w:themeColor="text1"/>
          <w:sz w:val="22"/>
          <w:lang w:eastAsia="en-AU"/>
        </w:rPr>
        <w:t>.</w:t>
      </w:r>
      <w:bookmarkStart w:id="12" w:name="_Ref62553006"/>
      <w:r w:rsidR="000628B5">
        <w:rPr>
          <w:rStyle w:val="FootnoteReference"/>
          <w:rFonts w:ascii="Century Gothic" w:eastAsia="Times New Roman" w:hAnsi="Century Gothic" w:cs="Times New Roman"/>
          <w:color w:val="000000" w:themeColor="text1"/>
          <w:sz w:val="22"/>
          <w:lang w:eastAsia="en-AU"/>
        </w:rPr>
        <w:footnoteReference w:id="5"/>
      </w:r>
      <w:bookmarkEnd w:id="12"/>
      <w:r>
        <w:rPr>
          <w:rFonts w:ascii="Century Gothic" w:eastAsia="Times New Roman" w:hAnsi="Century Gothic" w:cs="Times New Roman"/>
          <w:color w:val="000000" w:themeColor="text1"/>
          <w:sz w:val="22"/>
          <w:lang w:eastAsia="en-AU"/>
        </w:rPr>
        <w:t xml:space="preserve"> The construction</w:t>
      </w:r>
      <w:r w:rsidR="00C4329F">
        <w:rPr>
          <w:rFonts w:ascii="Century Gothic" w:eastAsia="Times New Roman" w:hAnsi="Century Gothic" w:cs="Times New Roman"/>
          <w:color w:val="000000" w:themeColor="text1"/>
          <w:sz w:val="22"/>
          <w:lang w:eastAsia="en-AU"/>
        </w:rPr>
        <w:t xml:space="preserve"> relevant to </w:t>
      </w:r>
      <w:r w:rsidR="000628B5">
        <w:rPr>
          <w:rFonts w:ascii="Century Gothic" w:eastAsia="Times New Roman" w:hAnsi="Century Gothic" w:cs="Times New Roman"/>
          <w:color w:val="000000" w:themeColor="text1"/>
          <w:sz w:val="22"/>
          <w:lang w:eastAsia="en-AU"/>
        </w:rPr>
        <w:t xml:space="preserve">the sites in </w:t>
      </w:r>
      <w:r w:rsidR="000628B5" w:rsidRPr="00A617D3">
        <w:rPr>
          <w:rFonts w:ascii="Century Gothic" w:eastAsia="Times New Roman" w:hAnsi="Century Gothic" w:cs="Times New Roman"/>
          <w:color w:val="000000" w:themeColor="text1"/>
          <w:sz w:val="22"/>
          <w:lang w:eastAsia="en-AU"/>
        </w:rPr>
        <w:t>Kokatha determination area</w:t>
      </w:r>
      <w:r w:rsidR="000628B5">
        <w:rPr>
          <w:rFonts w:ascii="Century Gothic" w:eastAsia="Times New Roman" w:hAnsi="Century Gothic" w:cs="Times New Roman"/>
          <w:color w:val="000000" w:themeColor="text1"/>
          <w:sz w:val="22"/>
          <w:lang w:eastAsia="en-AU"/>
        </w:rPr>
        <w:t xml:space="preserve"> </w:t>
      </w:r>
      <w:r w:rsidR="00C4329F">
        <w:rPr>
          <w:rFonts w:ascii="Century Gothic" w:eastAsia="Times New Roman" w:hAnsi="Century Gothic" w:cs="Times New Roman"/>
          <w:color w:val="000000" w:themeColor="text1"/>
          <w:sz w:val="22"/>
          <w:lang w:eastAsia="en-AU"/>
        </w:rPr>
        <w:t xml:space="preserve">occurred </w:t>
      </w:r>
      <w:r w:rsidR="000628B5">
        <w:rPr>
          <w:rFonts w:ascii="Century Gothic" w:eastAsia="Times New Roman" w:hAnsi="Century Gothic" w:cs="Times New Roman"/>
          <w:color w:val="000000" w:themeColor="text1"/>
          <w:sz w:val="22"/>
          <w:lang w:eastAsia="en-AU"/>
        </w:rPr>
        <w:t xml:space="preserve">after an agreement with the KAC. </w:t>
      </w:r>
      <w:r w:rsidR="001A013A" w:rsidRPr="00E7651C">
        <w:rPr>
          <w:rFonts w:ascii="Century Gothic" w:eastAsia="Times New Roman" w:hAnsi="Century Gothic" w:cs="Times New Roman"/>
          <w:color w:val="000000" w:themeColor="text1"/>
          <w:sz w:val="22"/>
          <w:lang w:eastAsia="en-AU"/>
        </w:rPr>
        <w:t xml:space="preserve">ElectraNet indicated that its activities at those sites were in accordance with that agreement. There was no indication from the KAC of concerns with the agreement nor ElectraNet’s actions. Accordingly, the Complaint is </w:t>
      </w:r>
      <w:r w:rsidR="00AE1AD9">
        <w:rPr>
          <w:rFonts w:ascii="Century Gothic" w:eastAsia="Times New Roman" w:hAnsi="Century Gothic" w:cs="Times New Roman"/>
          <w:color w:val="000000" w:themeColor="text1"/>
          <w:sz w:val="22"/>
          <w:lang w:eastAsia="en-AU"/>
        </w:rPr>
        <w:t>not accepted</w:t>
      </w:r>
      <w:r w:rsidR="001A013A" w:rsidRPr="00E7651C">
        <w:rPr>
          <w:rFonts w:ascii="Century Gothic" w:eastAsia="Times New Roman" w:hAnsi="Century Gothic" w:cs="Times New Roman"/>
          <w:color w:val="000000" w:themeColor="text1"/>
          <w:sz w:val="22"/>
          <w:lang w:eastAsia="en-AU"/>
        </w:rPr>
        <w:t xml:space="preserve"> in relation to those sites.</w:t>
      </w:r>
    </w:p>
    <w:p w:rsidR="00922593" w:rsidRPr="00631CDC" w:rsidRDefault="001A013A" w:rsidP="00CA04E1">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However one location (‘Davenport mythological site’) is outside the Kokatha determination area. Andrew Starkey has been recognised by other domestic court proceedings as having traditional Indigenous interests around this location.</w:t>
      </w:r>
      <w:bookmarkStart w:id="13" w:name="_Ref62553021"/>
      <w:r w:rsidR="00AE1AD9">
        <w:rPr>
          <w:rStyle w:val="FootnoteReference"/>
          <w:rFonts w:ascii="Century Gothic" w:eastAsia="Times New Roman" w:hAnsi="Century Gothic" w:cs="Times New Roman"/>
          <w:color w:val="000000" w:themeColor="text1"/>
          <w:sz w:val="22"/>
          <w:lang w:eastAsia="en-AU"/>
        </w:rPr>
        <w:footnoteReference w:id="6"/>
      </w:r>
      <w:bookmarkEnd w:id="13"/>
      <w:r w:rsidRPr="00631CDC">
        <w:rPr>
          <w:rFonts w:ascii="Century Gothic" w:eastAsia="Times New Roman" w:hAnsi="Century Gothic" w:cs="Times New Roman"/>
          <w:color w:val="000000" w:themeColor="text1"/>
          <w:sz w:val="22"/>
          <w:lang w:eastAsia="en-AU"/>
        </w:rPr>
        <w:t xml:space="preserve"> Unlike the other areas, there was no basis identified by ElectraNet which could indicate it had undertaken the types of due-diligence action expected by the OECD Guidelines with </w:t>
      </w:r>
      <w:r w:rsidRPr="00D76813">
        <w:rPr>
          <w:rFonts w:ascii="Century Gothic" w:hAnsi="Century Gothic"/>
          <w:i/>
          <w:color w:val="000000" w:themeColor="text1"/>
          <w:sz w:val="22"/>
        </w:rPr>
        <w:t>all</w:t>
      </w:r>
      <w:r w:rsidRPr="00631CDC">
        <w:rPr>
          <w:rFonts w:ascii="Century Gothic" w:eastAsia="Times New Roman" w:hAnsi="Century Gothic" w:cs="Times New Roman"/>
          <w:color w:val="000000" w:themeColor="text1"/>
          <w:sz w:val="22"/>
          <w:lang w:eastAsia="en-AU"/>
        </w:rPr>
        <w:t xml:space="preserve"> relevant Indigenous stakeholders for the Davenport mythological site. Accordingly, ‘good offices’ will be offered on this aspect.</w:t>
      </w:r>
    </w:p>
    <w:p w:rsidR="00432360" w:rsidRDefault="00432360">
      <w:pPr>
        <w:spacing w:after="160" w:line="259" w:lineRule="auto"/>
        <w:rPr>
          <w:rFonts w:ascii="Calibri" w:eastAsia="Times New Roman" w:hAnsi="Calibri" w:cs="Arial"/>
          <w:b/>
          <w:iCs/>
          <w:color w:val="000000" w:themeColor="text1"/>
          <w:kern w:val="32"/>
          <w:sz w:val="36"/>
          <w:szCs w:val="36"/>
          <w:lang w:eastAsia="en-AU"/>
        </w:rPr>
      </w:pPr>
      <w:bookmarkStart w:id="14" w:name="_Toc61348606"/>
      <w:bookmarkStart w:id="15" w:name="_Toc64463318"/>
      <w:r>
        <w:rPr>
          <w:rFonts w:ascii="Calibri" w:eastAsia="Times New Roman" w:hAnsi="Calibri" w:cs="Arial"/>
          <w:b/>
          <w:iCs/>
          <w:color w:val="000000" w:themeColor="text1"/>
          <w:kern w:val="32"/>
          <w:sz w:val="36"/>
          <w:szCs w:val="36"/>
          <w:lang w:eastAsia="en-AU"/>
        </w:rPr>
        <w:br w:type="page"/>
      </w:r>
    </w:p>
    <w:p w:rsidR="001A013A" w:rsidRPr="00631CDC" w:rsidRDefault="001A013A" w:rsidP="006E4CCA">
      <w:pPr>
        <w:keepNext/>
        <w:spacing w:before="240" w:after="240" w:line="240" w:lineRule="auto"/>
        <w:outlineLvl w:val="1"/>
        <w:rPr>
          <w:rFonts w:ascii="Calibri" w:eastAsia="Times New Roman" w:hAnsi="Calibri" w:cs="Arial"/>
          <w:b/>
          <w:iCs/>
          <w:color w:val="000000" w:themeColor="text1"/>
          <w:kern w:val="32"/>
          <w:sz w:val="36"/>
          <w:szCs w:val="36"/>
          <w:lang w:eastAsia="en-AU"/>
        </w:rPr>
      </w:pPr>
      <w:r w:rsidRPr="00631CDC">
        <w:rPr>
          <w:rFonts w:ascii="Calibri" w:eastAsia="Times New Roman" w:hAnsi="Calibri" w:cs="Arial"/>
          <w:b/>
          <w:iCs/>
          <w:color w:val="000000" w:themeColor="text1"/>
          <w:kern w:val="32"/>
          <w:sz w:val="36"/>
          <w:szCs w:val="36"/>
          <w:lang w:eastAsia="en-AU"/>
        </w:rPr>
        <w:lastRenderedPageBreak/>
        <w:t>Conclusion</w:t>
      </w:r>
      <w:bookmarkEnd w:id="14"/>
      <w:bookmarkEnd w:id="15"/>
    </w:p>
    <w:p w:rsidR="001A013A" w:rsidRPr="00631CDC" w:rsidRDefault="001A013A" w:rsidP="00566773">
      <w:pPr>
        <w:pStyle w:val="OutlineNumbered1"/>
        <w:numPr>
          <w:ilvl w:val="0"/>
          <w:numId w:val="10"/>
        </w:numPr>
        <w:spacing w:before="12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In the circumstances, the Independent Examiner considers this Complaint merits further consideration. The AusNCP will offer its ‘good offices’, within the OECD Guidelines, to facilitate the exchange of information between the parties (which can include conciliation, formal mediation or facilitated discussions) with the aim of arriving at a mutually agreed resolution. </w:t>
      </w:r>
    </w:p>
    <w:p w:rsidR="001A013A" w:rsidRDefault="001A013A" w:rsidP="009F3C8C">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Any engagement would be facilitated by the Independent Examiner, and focus only on the ‘Davenport mythological site’</w:t>
      </w:r>
      <w:r w:rsidRPr="00693BBE">
        <w:rPr>
          <w:rFonts w:ascii="Century Gothic" w:eastAsia="Times New Roman" w:hAnsi="Century Gothic" w:cs="Times New Roman"/>
          <w:color w:val="000000" w:themeColor="text1"/>
          <w:sz w:val="22"/>
          <w:lang w:eastAsia="en-AU"/>
        </w:rPr>
        <w:t xml:space="preserve">, the due-diligence requirements of the OECD Guidelines, </w:t>
      </w:r>
      <w:r>
        <w:rPr>
          <w:rFonts w:ascii="Century Gothic" w:eastAsia="Times New Roman" w:hAnsi="Century Gothic" w:cs="Times New Roman"/>
          <w:color w:val="000000" w:themeColor="text1"/>
          <w:sz w:val="22"/>
          <w:lang w:eastAsia="en-AU"/>
        </w:rPr>
        <w:t xml:space="preserve">and </w:t>
      </w:r>
      <w:r w:rsidRPr="00693BBE">
        <w:rPr>
          <w:rFonts w:ascii="Century Gothic" w:eastAsia="Times New Roman" w:hAnsi="Century Gothic" w:cs="Times New Roman"/>
          <w:color w:val="000000" w:themeColor="text1"/>
          <w:sz w:val="22"/>
          <w:lang w:eastAsia="en-AU"/>
        </w:rPr>
        <w:t>ElectraNet’s governance</w:t>
      </w:r>
      <w:r>
        <w:rPr>
          <w:rFonts w:ascii="Century Gothic" w:eastAsia="Times New Roman" w:hAnsi="Century Gothic" w:cs="Times New Roman"/>
          <w:color w:val="000000" w:themeColor="text1"/>
          <w:sz w:val="22"/>
          <w:lang w:eastAsia="en-AU"/>
        </w:rPr>
        <w:t xml:space="preserve"> concerning that site</w:t>
      </w:r>
      <w:r w:rsidRPr="00693BBE">
        <w:rPr>
          <w:rFonts w:ascii="Century Gothic" w:eastAsia="Times New Roman" w:hAnsi="Century Gothic" w:cs="Times New Roman"/>
          <w:color w:val="000000" w:themeColor="text1"/>
          <w:sz w:val="22"/>
          <w:lang w:eastAsia="en-AU"/>
        </w:rPr>
        <w:t>.</w:t>
      </w:r>
    </w:p>
    <w:p w:rsidR="001A013A" w:rsidRPr="00631CDC" w:rsidRDefault="001A013A" w:rsidP="004E03D0">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The aim of the ’good offices’ process would be to help the parties’ exchange and determine whether they can reach any agreement consistent with the OECD Guidelines.</w:t>
      </w:r>
    </w:p>
    <w:p w:rsidR="001A013A" w:rsidRPr="00631CDC" w:rsidRDefault="001A013A" w:rsidP="004E03D0">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The AusNCP will formally ask the parties whether they are willing to engage in the ‘good offices’ process. This would involve the Independent Examiner providing information to the parties on the process and preparing a framework for handling any conciliation, mediation or facilitated discussions. Subject to their response, the Independent Examiner will liaise with the parties to arrange how the ‘good offices’ stage will proceed. </w:t>
      </w:r>
    </w:p>
    <w:p w:rsidR="001A013A" w:rsidRPr="00631CDC" w:rsidRDefault="001A013A" w:rsidP="004E03D0">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 xml:space="preserve">If, through the good offices, the parties reach an agreement the AusNCP will then publish a final statement with the results of the proceedings. Information regarding the </w:t>
      </w:r>
      <w:r w:rsidRPr="00631CDC">
        <w:rPr>
          <w:rFonts w:ascii="Century Gothic" w:eastAsia="Times New Roman" w:hAnsi="Century Gothic" w:cs="Times New Roman"/>
          <w:i/>
          <w:color w:val="000000" w:themeColor="text1"/>
          <w:sz w:val="22"/>
          <w:lang w:eastAsia="en-AU"/>
        </w:rPr>
        <w:t>contents</w:t>
      </w:r>
      <w:r w:rsidRPr="00631CDC">
        <w:rPr>
          <w:rFonts w:ascii="Century Gothic" w:eastAsia="Times New Roman" w:hAnsi="Century Gothic" w:cs="Times New Roman"/>
          <w:color w:val="000000" w:themeColor="text1"/>
          <w:sz w:val="22"/>
          <w:lang w:eastAsia="en-AU"/>
        </w:rPr>
        <w:t xml:space="preserve"> of the discussions and the agreement would only be published with the consent of the parties.</w:t>
      </w:r>
    </w:p>
    <w:p w:rsidR="001A013A" w:rsidRPr="00631CDC" w:rsidRDefault="001A013A" w:rsidP="004E03D0">
      <w:pPr>
        <w:pStyle w:val="OutlineNumbered1"/>
        <w:numPr>
          <w:ilvl w:val="1"/>
          <w:numId w:val="10"/>
        </w:numPr>
        <w:spacing w:before="120" w:line="280" w:lineRule="exact"/>
        <w:ind w:left="1134" w:hanging="567"/>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If no agreement is reached, or one of the parties is not willing to take part in the proceedings, the AusNCP’s procedures require that to be identified in a published final statement. The final statement, by the Independent Examiner, would include analysis of the issue and state whether ElectraNet’s actions were consistent with the OECD Guidelines. It may also include recommendations to ElectraNet or other relevant bodies where appropriate.</w:t>
      </w:r>
    </w:p>
    <w:p w:rsidR="001A013A" w:rsidRPr="00631CDC" w:rsidRDefault="001A013A" w:rsidP="00566773">
      <w:pPr>
        <w:pStyle w:val="OutlineNumbered1"/>
        <w:numPr>
          <w:ilvl w:val="0"/>
          <w:numId w:val="10"/>
        </w:numPr>
        <w:spacing w:before="240" w:line="280" w:lineRule="exact"/>
        <w:ind w:left="567" w:hanging="567"/>
        <w:jc w:val="both"/>
        <w:rPr>
          <w:rFonts w:ascii="Century Gothic" w:eastAsia="Times New Roman" w:hAnsi="Century Gothic" w:cs="Times New Roman"/>
          <w:color w:val="000000" w:themeColor="text1"/>
          <w:sz w:val="22"/>
          <w:lang w:eastAsia="en-AU"/>
        </w:rPr>
      </w:pPr>
      <w:r w:rsidRPr="00631CDC">
        <w:rPr>
          <w:rFonts w:ascii="Century Gothic" w:eastAsia="Times New Roman" w:hAnsi="Century Gothic" w:cs="Times New Roman"/>
          <w:color w:val="000000" w:themeColor="text1"/>
          <w:sz w:val="22"/>
          <w:lang w:eastAsia="en-AU"/>
        </w:rPr>
        <w:t>A draft of this Initial Assessment was provided, for comment, to the AusNCP’s Governance and Advisory Board, and then to the parties.</w:t>
      </w:r>
      <w:r w:rsidR="00AE1AD9">
        <w:rPr>
          <w:rFonts w:ascii="Century Gothic" w:eastAsia="Times New Roman" w:hAnsi="Century Gothic" w:cs="Times New Roman"/>
          <w:color w:val="000000" w:themeColor="text1"/>
          <w:sz w:val="22"/>
          <w:lang w:eastAsia="en-AU"/>
        </w:rPr>
        <w:t xml:space="preserve"> All comments were considered by the Independent Examiner, in finalising this Initial Assessment, </w:t>
      </w:r>
      <w:r w:rsidR="00C4329F">
        <w:rPr>
          <w:rFonts w:ascii="Century Gothic" w:eastAsia="Times New Roman" w:hAnsi="Century Gothic" w:cs="Times New Roman"/>
          <w:color w:val="000000" w:themeColor="text1"/>
          <w:sz w:val="22"/>
          <w:lang w:eastAsia="en-AU"/>
        </w:rPr>
        <w:t>with</w:t>
      </w:r>
      <w:r w:rsidR="00AE1AD9">
        <w:rPr>
          <w:rFonts w:ascii="Century Gothic" w:eastAsia="Times New Roman" w:hAnsi="Century Gothic" w:cs="Times New Roman"/>
          <w:color w:val="000000" w:themeColor="text1"/>
          <w:sz w:val="22"/>
          <w:lang w:eastAsia="en-AU"/>
        </w:rPr>
        <w:t xml:space="preserve"> the decision remain</w:t>
      </w:r>
      <w:r w:rsidR="00C4329F">
        <w:rPr>
          <w:rFonts w:ascii="Century Gothic" w:eastAsia="Times New Roman" w:hAnsi="Century Gothic" w:cs="Times New Roman"/>
          <w:color w:val="000000" w:themeColor="text1"/>
          <w:sz w:val="22"/>
          <w:lang w:eastAsia="en-AU"/>
        </w:rPr>
        <w:t>ing</w:t>
      </w:r>
      <w:r w:rsidR="00AE1AD9">
        <w:rPr>
          <w:rFonts w:ascii="Century Gothic" w:eastAsia="Times New Roman" w:hAnsi="Century Gothic" w:cs="Times New Roman"/>
          <w:color w:val="000000" w:themeColor="text1"/>
          <w:sz w:val="22"/>
          <w:lang w:eastAsia="en-AU"/>
        </w:rPr>
        <w:t xml:space="preserve"> the responsibility (and discretion) of the Independent Examiner.</w:t>
      </w:r>
    </w:p>
    <w:p w:rsidR="001A013A" w:rsidRDefault="001A013A" w:rsidP="0009498D">
      <w:pPr>
        <w:pStyle w:val="OutlineNumbered1"/>
        <w:numPr>
          <w:ilvl w:val="0"/>
          <w:numId w:val="10"/>
        </w:numPr>
        <w:spacing w:before="240" w:after="240" w:line="280" w:lineRule="exact"/>
        <w:ind w:left="567" w:hanging="567"/>
        <w:jc w:val="both"/>
        <w:rPr>
          <w:rFonts w:ascii="Century Gothic" w:eastAsia="Times New Roman" w:hAnsi="Century Gothic" w:cs="Times New Roman"/>
          <w:color w:val="000000" w:themeColor="text1"/>
          <w:sz w:val="22"/>
          <w:lang w:eastAsia="en-AU"/>
        </w:rPr>
      </w:pPr>
      <w:r w:rsidRPr="004E2F8B">
        <w:rPr>
          <w:rFonts w:ascii="Century Gothic" w:eastAsia="Times New Roman" w:hAnsi="Century Gothic" w:cs="Times New Roman"/>
          <w:color w:val="000000" w:themeColor="text1"/>
          <w:sz w:val="22"/>
          <w:lang w:eastAsia="en-AU"/>
        </w:rPr>
        <w:t>The AusNCP Procedures specify that ‘acceptance or rejection of a complaint is not an assessment of whether the enterprise’s actions are consistent with the OECD Guidelines’.</w:t>
      </w:r>
      <w:r w:rsidR="009A6760">
        <w:rPr>
          <w:rStyle w:val="FootnoteReference"/>
          <w:rFonts w:ascii="Century Gothic" w:eastAsia="Times New Roman" w:hAnsi="Century Gothic" w:cs="Times New Roman"/>
          <w:color w:val="000000" w:themeColor="text1"/>
          <w:sz w:val="22"/>
          <w:lang w:eastAsia="en-AU"/>
        </w:rPr>
        <w:footnoteReference w:id="7"/>
      </w:r>
    </w:p>
    <w:p w:rsidR="00432360" w:rsidRDefault="00432360" w:rsidP="00432360">
      <w:pPr>
        <w:pStyle w:val="ListParagraph"/>
        <w:spacing w:after="0" w:line="280" w:lineRule="exact"/>
        <w:ind w:left="0"/>
        <w:rPr>
          <w:rFonts w:ascii="Century Gothic" w:eastAsia="Times New Roman" w:hAnsi="Century Gothic" w:cs="Times New Roman"/>
          <w:color w:val="000000" w:themeColor="text1"/>
          <w:lang w:eastAsia="en-AU"/>
        </w:rPr>
      </w:pPr>
    </w:p>
    <w:p w:rsidR="00432360" w:rsidRDefault="00432360" w:rsidP="00432360">
      <w:pPr>
        <w:pStyle w:val="ListParagraph"/>
        <w:spacing w:after="0" w:line="280" w:lineRule="exact"/>
        <w:ind w:left="0"/>
        <w:rPr>
          <w:rFonts w:ascii="Century Gothic" w:eastAsia="Times New Roman" w:hAnsi="Century Gothic" w:cs="Times New Roman"/>
          <w:color w:val="000000" w:themeColor="text1"/>
          <w:lang w:eastAsia="en-AU"/>
        </w:rPr>
      </w:pPr>
    </w:p>
    <w:p w:rsidR="00432360" w:rsidRPr="00631CDC" w:rsidRDefault="00432360" w:rsidP="00432360">
      <w:pPr>
        <w:pStyle w:val="ListParagraph"/>
        <w:spacing w:after="0" w:line="280" w:lineRule="exact"/>
        <w:ind w:left="0"/>
        <w:rPr>
          <w:rFonts w:ascii="Century Gothic" w:eastAsia="Times New Roman" w:hAnsi="Century Gothic" w:cs="Times New Roman"/>
          <w:color w:val="000000" w:themeColor="text1"/>
          <w:lang w:eastAsia="en-AU"/>
        </w:rPr>
      </w:pPr>
      <w:r w:rsidRPr="00432360">
        <w:rPr>
          <w:rFonts w:ascii="Century Gothic" w:eastAsia="Times New Roman" w:hAnsi="Century Gothic" w:cs="Times New Roman"/>
          <w:color w:val="000000" w:themeColor="text1"/>
          <w:lang w:eastAsia="en-AU"/>
        </w:rPr>
        <w:t>John Southalan</w:t>
      </w:r>
      <w:r w:rsidRPr="00432360">
        <w:rPr>
          <w:rFonts w:ascii="Century Gothic" w:eastAsia="Times New Roman" w:hAnsi="Century Gothic" w:cs="Times New Roman"/>
          <w:color w:val="000000" w:themeColor="text1"/>
          <w:lang w:eastAsia="en-AU"/>
        </w:rPr>
        <w:br/>
      </w:r>
      <w:r w:rsidRPr="00432360">
        <w:rPr>
          <w:rFonts w:ascii="Century Gothic" w:eastAsia="Times New Roman" w:hAnsi="Century Gothic" w:cs="Times New Roman"/>
          <w:b/>
          <w:color w:val="000000" w:themeColor="text1"/>
          <w:lang w:eastAsia="en-AU"/>
        </w:rPr>
        <w:t>Independent Examiner</w:t>
      </w:r>
      <w:r w:rsidRPr="00432360">
        <w:rPr>
          <w:rFonts w:ascii="Century Gothic" w:eastAsia="Times New Roman" w:hAnsi="Century Gothic" w:cs="Times New Roman"/>
          <w:b/>
          <w:color w:val="000000" w:themeColor="text1"/>
          <w:lang w:eastAsia="en-AU"/>
        </w:rPr>
        <w:br/>
      </w:r>
      <w:r w:rsidRPr="00432360">
        <w:rPr>
          <w:rFonts w:ascii="Century Gothic" w:eastAsia="Times New Roman" w:hAnsi="Century Gothic" w:cs="Times New Roman"/>
          <w:color w:val="000000" w:themeColor="text1"/>
          <w:lang w:eastAsia="en-AU"/>
        </w:rPr>
        <w:t>Australian National Contact Point</w:t>
      </w:r>
      <w:r w:rsidRPr="00432360">
        <w:rPr>
          <w:rFonts w:ascii="Century Gothic" w:eastAsia="Times New Roman" w:hAnsi="Century Gothic" w:cs="Times New Roman"/>
          <w:color w:val="000000" w:themeColor="text1"/>
          <w:lang w:eastAsia="en-AU"/>
        </w:rPr>
        <w:br/>
        <w:t>OECD Guidelines for Multinational Enterprises</w:t>
      </w:r>
      <w:r w:rsidRPr="00432360">
        <w:rPr>
          <w:rFonts w:ascii="Century Gothic" w:eastAsia="Times New Roman" w:hAnsi="Century Gothic" w:cs="Times New Roman"/>
          <w:color w:val="FF0000"/>
          <w:lang w:eastAsia="en-AU"/>
        </w:rPr>
        <w:br/>
      </w:r>
      <w:r w:rsidRPr="00432360">
        <w:rPr>
          <w:rFonts w:ascii="Century Gothic" w:eastAsia="Times New Roman" w:hAnsi="Century Gothic" w:cs="Times New Roman"/>
          <w:color w:val="000000" w:themeColor="text1"/>
          <w:lang w:eastAsia="en-AU"/>
        </w:rPr>
        <w:t xml:space="preserve">Email: </w:t>
      </w:r>
      <w:hyperlink r:id="rId17" w:history="1">
        <w:r w:rsidRPr="00432360">
          <w:rPr>
            <w:rFonts w:ascii="Century Gothic" w:eastAsia="Times New Roman" w:hAnsi="Century Gothic" w:cs="Times New Roman"/>
            <w:color w:val="3A87C8"/>
            <w:lang w:eastAsia="en-AU"/>
          </w:rPr>
          <w:t>IndependentExaminer@AusNCP.gov.au</w:t>
        </w:r>
      </w:hyperlink>
    </w:p>
    <w:sectPr w:rsidR="00432360" w:rsidRPr="00631CDC" w:rsidSect="00D76813">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numStart w:val="12"/>
      </w:endnotePr>
      <w:type w:val="continuous"/>
      <w:pgSz w:w="11906" w:h="16838" w:code="9"/>
      <w:pgMar w:top="1134" w:right="1134" w:bottom="1134" w:left="1134"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26766" w16cid:durableId="23D0FA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ED" w:rsidRDefault="008B2CED" w:rsidP="00FD6E77">
      <w:pPr>
        <w:spacing w:after="0" w:line="240" w:lineRule="auto"/>
      </w:pPr>
      <w:r>
        <w:separator/>
      </w:r>
    </w:p>
  </w:endnote>
  <w:endnote w:type="continuationSeparator" w:id="0">
    <w:p w:rsidR="008B2CED" w:rsidRDefault="008B2CED" w:rsidP="00FD6E77">
      <w:pPr>
        <w:spacing w:after="0" w:line="240" w:lineRule="auto"/>
      </w:pPr>
      <w:r>
        <w:continuationSeparator/>
      </w:r>
    </w:p>
  </w:endnote>
  <w:endnote w:type="continuationNotice" w:id="1">
    <w:p w:rsidR="008B2CED" w:rsidRDefault="008B2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6F" w:rsidRDefault="001A4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13" w:rsidRPr="004E2F8B" w:rsidRDefault="00D76813" w:rsidP="004E2F8B">
    <w:pPr>
      <w:pStyle w:val="Footer"/>
      <w:spacing w:before="120"/>
      <w:jc w:val="right"/>
      <w:rPr>
        <w:rFonts w:ascii="Century Gothic" w:hAnsi="Century Gothic"/>
        <w:sz w:val="20"/>
        <w:szCs w:val="20"/>
      </w:rPr>
    </w:pPr>
    <w:r w:rsidRPr="00F668D3">
      <w:rPr>
        <w:rFonts w:ascii="Century Gothic" w:hAnsi="Century Gothic"/>
        <w:caps/>
        <w:color w:val="4472C4" w:themeColor="accent1"/>
        <w:sz w:val="20"/>
        <w:szCs w:val="20"/>
      </w:rPr>
      <w:t>P</w:t>
    </w:r>
    <w:r w:rsidRPr="00F668D3">
      <w:rPr>
        <w:rFonts w:ascii="Century Gothic" w:hAnsi="Century Gothic"/>
        <w:color w:val="4472C4" w:themeColor="accent1"/>
        <w:sz w:val="20"/>
        <w:szCs w:val="20"/>
      </w:rPr>
      <w:t>age</w:t>
    </w:r>
    <w:r w:rsidRPr="00F668D3">
      <w:rPr>
        <w:rFonts w:ascii="Century Gothic" w:hAnsi="Century Gothic"/>
        <w:caps/>
        <w:color w:val="4472C4" w:themeColor="accent1"/>
        <w:sz w:val="20"/>
        <w:szCs w:val="20"/>
      </w:rPr>
      <w:t xml:space="preserve"> </w:t>
    </w:r>
    <w:r w:rsidRPr="00F668D3">
      <w:rPr>
        <w:rFonts w:ascii="Century Gothic" w:hAnsi="Century Gothic"/>
        <w:caps/>
        <w:color w:val="4472C4" w:themeColor="accent1"/>
        <w:sz w:val="20"/>
        <w:szCs w:val="20"/>
      </w:rPr>
      <w:fldChar w:fldCharType="begin"/>
    </w:r>
    <w:r w:rsidRPr="00F668D3">
      <w:rPr>
        <w:rFonts w:ascii="Century Gothic" w:hAnsi="Century Gothic"/>
        <w:caps/>
        <w:color w:val="4472C4" w:themeColor="accent1"/>
        <w:sz w:val="20"/>
        <w:szCs w:val="20"/>
      </w:rPr>
      <w:instrText xml:space="preserve"> PAGE   \* MERGEFORMAT </w:instrText>
    </w:r>
    <w:r w:rsidRPr="00F668D3">
      <w:rPr>
        <w:rFonts w:ascii="Century Gothic" w:hAnsi="Century Gothic"/>
        <w:caps/>
        <w:color w:val="4472C4" w:themeColor="accent1"/>
        <w:sz w:val="20"/>
        <w:szCs w:val="20"/>
      </w:rPr>
      <w:fldChar w:fldCharType="separate"/>
    </w:r>
    <w:r w:rsidR="00026FC7">
      <w:rPr>
        <w:rFonts w:ascii="Century Gothic" w:hAnsi="Century Gothic"/>
        <w:caps/>
        <w:noProof/>
        <w:color w:val="4472C4" w:themeColor="accent1"/>
        <w:sz w:val="20"/>
        <w:szCs w:val="20"/>
      </w:rPr>
      <w:t>8</w:t>
    </w:r>
    <w:r w:rsidRPr="00F668D3">
      <w:rPr>
        <w:rFonts w:ascii="Century Gothic" w:hAnsi="Century Gothic"/>
        <w:caps/>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13" w:rsidRPr="00AF4526" w:rsidRDefault="00D76813" w:rsidP="0019588C">
    <w:pPr>
      <w:pStyle w:val="Disclaimer"/>
      <w:rPr>
        <w:lang w:val="en-US"/>
      </w:rPr>
    </w:pPr>
    <w:r w:rsidRPr="00AF4526">
      <w:rPr>
        <w:lang w:val="en-US"/>
      </w:rPr>
      <w:t>Disclaimer</w:t>
    </w:r>
  </w:p>
  <w:p w:rsidR="00D76813" w:rsidRDefault="00D76813" w:rsidP="0019588C">
    <w:pPr>
      <w:pStyle w:val="Disclaimer"/>
    </w:pPr>
    <w:r>
      <w:rPr>
        <w:lang w:val="en-US"/>
      </w:rPr>
      <w:t>The</w:t>
    </w:r>
    <w:r w:rsidRPr="00AF4526">
      <w:rPr>
        <w:lang w:val="en-US"/>
      </w:rPr>
      <w:t xml:space="preserve"> information contained within this document is intended to inform the reader of the general processes and undertakings arising from a specific instance complaint raised with the Australian National Contact Point for the OECD Guidelines for Multinational Enterprises. It is made available on the understanding that the Australian Treasury, as a result of providing this information, is not engaged in providing professional or legal advice</w:t>
    </w:r>
    <w:r>
      <w:rPr>
        <w:lang w:val="en-US"/>
      </w:rPr>
      <w:t xml:space="preserve">, nor does it </w:t>
    </w:r>
    <w:r w:rsidRPr="001772B9">
      <w:rPr>
        <w:lang w:val="en-US"/>
      </w:rPr>
      <w:t xml:space="preserve">accept </w:t>
    </w:r>
    <w:r>
      <w:rPr>
        <w:lang w:val="en-US"/>
      </w:rPr>
      <w:t>any</w:t>
    </w:r>
    <w:r w:rsidRPr="001772B9">
      <w:rPr>
        <w:lang w:val="en-US"/>
      </w:rPr>
      <w:t xml:space="preserve"> responsibility for the accuracy or completeness of any material contained </w:t>
    </w:r>
    <w:r w:rsidRPr="00AF4526">
      <w:rPr>
        <w:lang w:val="en-US"/>
      </w:rPr>
      <w:t>herein</w:t>
    </w:r>
    <w:r>
      <w:rPr>
        <w:lang w:val="en-US"/>
      </w:rPr>
      <w:t xml:space="preserve">. Readers should </w:t>
    </w:r>
    <w:r w:rsidRPr="001772B9">
      <w:rPr>
        <w:lang w:val="en-US"/>
      </w:rPr>
      <w:t xml:space="preserve">exercise their own </w:t>
    </w:r>
    <w:r w:rsidRPr="00AF4526">
      <w:rPr>
        <w:lang w:val="en-US"/>
      </w:rPr>
      <w:t xml:space="preserve">judgement </w:t>
    </w:r>
    <w:r w:rsidRPr="001772B9">
      <w:rPr>
        <w:lang w:val="en-US"/>
      </w:rPr>
      <w:t xml:space="preserve">with respect to </w:t>
    </w:r>
    <w:r w:rsidRPr="00AF4526">
      <w:rPr>
        <w:lang w:val="en-US"/>
      </w:rPr>
      <w:t>interpretation</w:t>
    </w:r>
    <w:r w:rsidRPr="001772B9">
      <w:rPr>
        <w:lang w:val="en-US"/>
      </w:rPr>
      <w:t>.</w:t>
    </w:r>
    <w:r w:rsidRPr="00AF4526">
      <w:rPr>
        <w:lang w:val="en-US"/>
      </w:rPr>
      <w:t xml:space="preserve"> This </w:t>
    </w:r>
    <w:r w:rsidRPr="001772B9">
      <w:rPr>
        <w:lang w:val="en-US"/>
      </w:rPr>
      <w:t>material include</w:t>
    </w:r>
    <w:r w:rsidRPr="00AF4526">
      <w:rPr>
        <w:lang w:val="en-US"/>
      </w:rPr>
      <w:t>s the</w:t>
    </w:r>
    <w:r w:rsidRPr="001772B9">
      <w:rPr>
        <w:lang w:val="en-US"/>
      </w:rPr>
      <w:t xml:space="preserve"> views of third parties, which do not necessarily reflect the views of the Commonwealth, or indicate its commitment to a particular course of action.</w:t>
    </w:r>
    <w:r w:rsidRPr="00AF4526">
      <w:rPr>
        <w:lang w:val="en-US"/>
      </w:rPr>
      <w:t xml:space="preserve"> </w:t>
    </w:r>
    <w:r w:rsidRPr="001772B9">
      <w:rPr>
        <w:lang w:val="en-US"/>
      </w:rPr>
      <w:t xml:space="preserve">Links to other websites </w:t>
    </w:r>
    <w:r>
      <w:rPr>
        <w:lang w:val="en-US"/>
      </w:rPr>
      <w:t xml:space="preserve">and listings of other people or </w:t>
    </w:r>
    <w:r w:rsidRPr="00F829AB">
      <w:t>organisations</w:t>
    </w:r>
    <w:r>
      <w:rPr>
        <w:lang w:val="en-US"/>
      </w:rPr>
      <w:t xml:space="preserve"> </w:t>
    </w:r>
    <w:r w:rsidRPr="001772B9">
      <w:rPr>
        <w:lang w:val="en-US"/>
      </w:rPr>
      <w:t xml:space="preserve">are </w:t>
    </w:r>
    <w:r>
      <w:rPr>
        <w:lang w:val="en-US"/>
      </w:rPr>
      <w:t xml:space="preserve">included </w:t>
    </w:r>
    <w:r w:rsidRPr="001772B9">
      <w:rPr>
        <w:lang w:val="en-US"/>
      </w:rPr>
      <w:t>for convenience and do not constitute endorsement of those sites, product</w:t>
    </w:r>
    <w:r>
      <w:rPr>
        <w:lang w:val="en-US"/>
      </w:rPr>
      <w:t>s</w:t>
    </w:r>
    <w:r w:rsidRPr="001772B9">
      <w:rPr>
        <w:lang w:val="en-US"/>
      </w:rPr>
      <w:t xml:space="preserve"> or service</w:t>
    </w:r>
    <w:r>
      <w:rPr>
        <w:lang w:val="en-US"/>
      </w:rPr>
      <w:t>s</w:t>
    </w:r>
    <w:r w:rsidRPr="001772B9">
      <w:rPr>
        <w:lang w:val="en-US"/>
      </w:rPr>
      <w:t>.</w:t>
    </w:r>
    <w:r>
      <w:rPr>
        <w:lang w:val="en-US"/>
      </w:rPr>
      <w:t xml:space="preserve"> </w:t>
    </w:r>
    <w:r w:rsidRPr="0094629C">
      <w:rPr>
        <w:lang w:val="en-US"/>
      </w:rPr>
      <w:t xml:space="preserve">The Commonwealth Government respects the privacy of personal </w:t>
    </w:r>
    <w:r>
      <w:rPr>
        <w:lang w:val="en-US"/>
      </w:rPr>
      <w:t xml:space="preserve">and commercially sensitive </w:t>
    </w:r>
    <w:r w:rsidRPr="0094629C">
      <w:rPr>
        <w:lang w:val="en-US"/>
      </w:rPr>
      <w:t xml:space="preserve">information provided by </w:t>
    </w:r>
    <w:r>
      <w:rPr>
        <w:lang w:val="en-US"/>
      </w:rPr>
      <w:t>parties</w:t>
    </w:r>
    <w:r w:rsidRPr="0094629C">
      <w:rPr>
        <w:lang w:val="en-US"/>
      </w:rPr>
      <w:t>, as per the requirements of the Privacy Act 1988 and the Freedom of Information Act 1982.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ED" w:rsidRDefault="008B2CED" w:rsidP="00FD6E77">
      <w:pPr>
        <w:spacing w:after="0" w:line="240" w:lineRule="auto"/>
      </w:pPr>
      <w:r>
        <w:separator/>
      </w:r>
    </w:p>
  </w:footnote>
  <w:footnote w:type="continuationSeparator" w:id="0">
    <w:p w:rsidR="008B2CED" w:rsidRDefault="008B2CED" w:rsidP="00FD6E77">
      <w:pPr>
        <w:spacing w:after="0" w:line="240" w:lineRule="auto"/>
      </w:pPr>
      <w:r>
        <w:continuationSeparator/>
      </w:r>
    </w:p>
  </w:footnote>
  <w:footnote w:type="continuationNotice" w:id="1">
    <w:p w:rsidR="008B2CED" w:rsidRDefault="008B2CED">
      <w:pPr>
        <w:spacing w:after="0" w:line="240" w:lineRule="auto"/>
      </w:pPr>
    </w:p>
  </w:footnote>
  <w:footnote w:id="2">
    <w:p w:rsidR="00D76813" w:rsidRPr="00C4329F" w:rsidRDefault="00D76813" w:rsidP="009A6760">
      <w:pPr>
        <w:pStyle w:val="FootnoteText"/>
        <w:ind w:left="142" w:hanging="142"/>
        <w:rPr>
          <w:rFonts w:ascii="Century Gothic" w:hAnsi="Century Gothic"/>
          <w:sz w:val="18"/>
          <w:szCs w:val="18"/>
          <w:lang w:val="en-US"/>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w:t>
      </w:r>
      <w:r w:rsidRPr="00C4329F">
        <w:rPr>
          <w:rFonts w:ascii="Century Gothic" w:hAnsi="Century Gothic"/>
          <w:sz w:val="18"/>
          <w:szCs w:val="18"/>
        </w:rPr>
        <w:fldChar w:fldCharType="begin"/>
      </w:r>
      <w:r w:rsidRPr="00C4329F">
        <w:rPr>
          <w:rFonts w:ascii="Century Gothic" w:hAnsi="Century Gothic"/>
          <w:sz w:val="18"/>
          <w:szCs w:val="18"/>
        </w:rPr>
        <w:instrText xml:space="preserve"> ADDIN EN.CITE &lt;EndNote&gt;&lt;Cite&gt;&lt;Author&gt;OECD&lt;/Author&gt;&lt;Year&gt;2011&lt;/Year&gt;&lt;RecNum&gt;3689&lt;/RecNum&gt;&lt;DisplayText&gt;OECD, &lt;style face="italic"&gt;OECD Guidelines for Multinational Enterprises&lt;/style&gt; (2011, OECD Publishing)&lt;/DisplayText&gt;&lt;record&gt;&lt;rec-number&gt;3689&lt;/rec-number&gt;&lt;foreign-keys&gt;&lt;key app="EN" db-id="wa2vv20d1aaa9jexxslpvsadd5vax9svx2v9" timestamp="1588386674"&gt;3689&lt;/key&gt;&lt;/foreign-keys&gt;&lt;ref-type name="JS Generic"&gt;42&lt;/ref-type&gt;&lt;contributors&gt;&lt;authors&gt;&lt;author&gt;OECD&lt;/author&gt;&lt;/authors&gt;&lt;secondary-authors&gt;&lt;author&gt;Adhering Governments,&lt;/author&gt;&lt;/secondary-authors&gt;&lt;/contributors&gt;&lt;titles&gt;&lt;title&gt;OECD Guidelines for Multinational Enterprises&lt;/title&gt;&lt;secondary-title&gt;2011 Edition&lt;/secondary-title&gt;&lt;short-title&gt;OECD Guidelines&lt;/short-title&gt;&lt;/titles&gt;&lt;dates&gt;&lt;year&gt;2011&lt;/year&gt;&lt;pub-dates&gt;&lt;date&gt;25 May 2011&lt;/date&gt;&lt;/pub-dates&gt;&lt;/dates&gt;&lt;pub-location&gt;Paris&lt;/pub-location&gt;&lt;publisher&gt;OECD Publishing&lt;/publisher&gt;&lt;urls&gt;&lt;related-urls&gt;&lt;url&gt;http://dx.doi.org/10.1787/9789264115415-en&lt;/url&gt;&lt;/related-urls&gt;&lt;/urls&gt;&lt;access-date&gt;22 Oct 2012&lt;/access-date&gt;&lt;/record&gt;&lt;/Cite&gt;&lt;/EndNote&gt;</w:instrText>
      </w:r>
      <w:r w:rsidRPr="00C4329F">
        <w:rPr>
          <w:rFonts w:ascii="Century Gothic" w:hAnsi="Century Gothic"/>
          <w:sz w:val="18"/>
          <w:szCs w:val="18"/>
        </w:rPr>
        <w:fldChar w:fldCharType="separate"/>
      </w:r>
      <w:r w:rsidRPr="00C4329F">
        <w:rPr>
          <w:rFonts w:ascii="Century Gothic" w:hAnsi="Century Gothic"/>
          <w:noProof/>
          <w:sz w:val="18"/>
          <w:szCs w:val="18"/>
        </w:rPr>
        <w:t xml:space="preserve">OECD, </w:t>
      </w:r>
      <w:r w:rsidRPr="00C4329F">
        <w:rPr>
          <w:rFonts w:ascii="Century Gothic" w:hAnsi="Century Gothic"/>
          <w:i/>
          <w:noProof/>
          <w:sz w:val="18"/>
          <w:szCs w:val="18"/>
        </w:rPr>
        <w:t>OECD Guidelines for Multinational Enterprises</w:t>
      </w:r>
      <w:r w:rsidRPr="00C4329F">
        <w:rPr>
          <w:rFonts w:ascii="Century Gothic" w:hAnsi="Century Gothic"/>
          <w:noProof/>
          <w:sz w:val="18"/>
          <w:szCs w:val="18"/>
        </w:rPr>
        <w:t xml:space="preserve"> (2011, OECD Publishing)</w:t>
      </w:r>
      <w:r w:rsidRPr="00C4329F">
        <w:rPr>
          <w:rFonts w:ascii="Century Gothic" w:hAnsi="Century Gothic"/>
          <w:sz w:val="18"/>
          <w:szCs w:val="18"/>
        </w:rPr>
        <w:fldChar w:fldCharType="end"/>
      </w:r>
      <w:r w:rsidRPr="00C4329F">
        <w:rPr>
          <w:rFonts w:ascii="Century Gothic" w:hAnsi="Century Gothic"/>
          <w:sz w:val="18"/>
          <w:szCs w:val="18"/>
        </w:rPr>
        <w:t>.</w:t>
      </w:r>
    </w:p>
  </w:footnote>
  <w:footnote w:id="3">
    <w:p w:rsidR="00D76813" w:rsidRPr="00C4329F" w:rsidRDefault="00D76813" w:rsidP="00C4329F">
      <w:pPr>
        <w:pStyle w:val="FootnoteText"/>
        <w:ind w:left="142" w:hanging="142"/>
        <w:rPr>
          <w:rFonts w:ascii="Century Gothic" w:hAnsi="Century Gothic"/>
          <w:sz w:val="18"/>
          <w:szCs w:val="18"/>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For example, see ‘</w:t>
      </w:r>
      <w:r w:rsidRPr="00C4329F">
        <w:rPr>
          <w:rFonts w:ascii="Century Gothic" w:hAnsi="Century Gothic" w:cs="Segoe UI"/>
          <w:sz w:val="18"/>
          <w:szCs w:val="18"/>
        </w:rPr>
        <w:t xml:space="preserve">Engaging with indigenous peoples’ Annexure B to </w:t>
      </w:r>
      <w:r w:rsidRPr="00C4329F">
        <w:rPr>
          <w:rFonts w:ascii="Century Gothic" w:hAnsi="Century Gothic" w:cs="Segoe UI"/>
          <w:sz w:val="18"/>
          <w:szCs w:val="18"/>
        </w:rPr>
        <w:fldChar w:fldCharType="begin"/>
      </w:r>
      <w:r w:rsidRPr="00C4329F">
        <w:rPr>
          <w:rFonts w:ascii="Century Gothic" w:hAnsi="Century Gothic" w:cs="Segoe UI"/>
          <w:sz w:val="18"/>
          <w:szCs w:val="18"/>
        </w:rPr>
        <w:instrText xml:space="preserve"> ADDIN EN.CITE &lt;EndNote&gt;&lt;Cite&gt;&lt;Author&gt;OECD&lt;/Author&gt;&lt;Year&gt;2017&lt;/Year&gt;&lt;RecNum&gt;5308&lt;/RecNum&gt;&lt;DisplayText&gt;OECD, &lt;style face="italic"&gt;Due Diligence Guidance for Meaningful Stakeholder Engagement in the Extractives Sector&lt;/style&gt; (2017, Organisation for Economic Co-Operation and Development)&lt;/DisplayText&gt;&lt;record&gt;&lt;rec-number&gt;5308&lt;/rec-number&gt;&lt;foreign-keys&gt;&lt;key app="EN" db-id="wa2vv20d1aaa9jexxslpvsadd5vax9svx2v9" timestamp="1588386816"&gt;5308&lt;/key&gt;&lt;/foreign-keys&gt;&lt;ref-type name="JS Generic"&gt;42&lt;/ref-type&gt;&lt;contributors&gt;&lt;authors&gt;&lt;author&gt;OECD&lt;/author&gt;&lt;/authors&gt;&lt;secondary-authors&gt;&lt;author&gt;OECD Secretariat,&lt;/author&gt;&lt;/secondary-authors&gt;&lt;/contributors&gt;&lt;titles&gt;&lt;title&gt;Due Diligence Guidance for Meaningful Stakeholder Engagement in the Extractives Sector&lt;/title&gt;&lt;short-title&gt;Guidance for the Extractives Sector&lt;/short-title&gt;&lt;/titles&gt;&lt;dates&gt;&lt;year&gt;2017&lt;/year&gt;&lt;pub-dates&gt;&lt;date&gt;2 February 2017&lt;/date&gt;&lt;/pub-dates&gt;&lt;/dates&gt;&lt;pub-location&gt;Paris&lt;/pub-location&gt;&lt;publisher&gt;Organisation for Economic Co-Operation and Development&lt;/publisher&gt;&lt;urls&gt;&lt;related-urls&gt;&lt;url&gt;http://mneguidelines.oecd.org/stakeholder-engagement-extractive-industries.htm&lt;/url&gt;&lt;/related-urls&gt;&lt;/urls&gt;&lt;access-date&gt;18 Jul 2017&lt;/access-date&gt;&lt;/record&gt;&lt;/Cite&gt;&lt;/EndNote&gt;</w:instrText>
      </w:r>
      <w:r w:rsidRPr="00C4329F">
        <w:rPr>
          <w:rFonts w:ascii="Century Gothic" w:hAnsi="Century Gothic" w:cs="Segoe UI"/>
          <w:sz w:val="18"/>
          <w:szCs w:val="18"/>
        </w:rPr>
        <w:fldChar w:fldCharType="separate"/>
      </w:r>
      <w:r w:rsidRPr="00C4329F">
        <w:rPr>
          <w:rFonts w:ascii="Century Gothic" w:hAnsi="Century Gothic" w:cs="Segoe UI"/>
          <w:noProof/>
          <w:sz w:val="18"/>
          <w:szCs w:val="18"/>
        </w:rPr>
        <w:t xml:space="preserve">OECD, </w:t>
      </w:r>
      <w:r w:rsidRPr="00C4329F">
        <w:rPr>
          <w:rFonts w:ascii="Century Gothic" w:hAnsi="Century Gothic" w:cs="Segoe UI"/>
          <w:i/>
          <w:noProof/>
          <w:sz w:val="18"/>
          <w:szCs w:val="18"/>
        </w:rPr>
        <w:t>Due Diligence Guidance for Meaningful Stakeholder Engagement in the Extractives Sector</w:t>
      </w:r>
      <w:r w:rsidRPr="00C4329F">
        <w:rPr>
          <w:rFonts w:ascii="Century Gothic" w:hAnsi="Century Gothic" w:cs="Segoe UI"/>
          <w:noProof/>
          <w:sz w:val="18"/>
          <w:szCs w:val="18"/>
        </w:rPr>
        <w:t xml:space="preserve"> (2017, Organisation for Economic Co-Operation and Development)</w:t>
      </w:r>
      <w:r w:rsidRPr="00C4329F">
        <w:rPr>
          <w:rFonts w:ascii="Century Gothic" w:hAnsi="Century Gothic" w:cs="Segoe UI"/>
          <w:sz w:val="18"/>
          <w:szCs w:val="18"/>
        </w:rPr>
        <w:fldChar w:fldCharType="end"/>
      </w:r>
      <w:r w:rsidRPr="00C4329F">
        <w:rPr>
          <w:rFonts w:ascii="Century Gothic" w:hAnsi="Century Gothic" w:cs="Segoe UI"/>
          <w:sz w:val="18"/>
          <w:szCs w:val="18"/>
        </w:rPr>
        <w:t>.</w:t>
      </w:r>
    </w:p>
  </w:footnote>
  <w:footnote w:id="4">
    <w:p w:rsidR="00D76813" w:rsidRPr="00C4329F" w:rsidRDefault="00D76813" w:rsidP="009A6760">
      <w:pPr>
        <w:pStyle w:val="FootnoteText"/>
        <w:ind w:left="142" w:hanging="142"/>
        <w:rPr>
          <w:rFonts w:ascii="Century Gothic" w:hAnsi="Century Gothic"/>
          <w:sz w:val="18"/>
          <w:szCs w:val="18"/>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For example, in </w:t>
      </w:r>
      <w:r w:rsidRPr="00C4329F">
        <w:rPr>
          <w:rFonts w:ascii="Century Gothic" w:hAnsi="Century Gothic"/>
          <w:sz w:val="18"/>
          <w:szCs w:val="18"/>
        </w:rPr>
        <w:fldChar w:fldCharType="begin"/>
      </w:r>
      <w:r w:rsidRPr="00C4329F">
        <w:rPr>
          <w:rFonts w:ascii="Century Gothic" w:hAnsi="Century Gothic"/>
          <w:sz w:val="18"/>
          <w:szCs w:val="18"/>
        </w:rPr>
        <w:instrText xml:space="preserve"> ADDIN EN.CITE &lt;EndNote&gt;&lt;Cite&gt;&lt;Author&gt;UNDRIP&lt;/Author&gt;&lt;Year&gt;2007&lt;/Year&gt;&lt;RecNum&gt;1241&lt;/RecNum&gt;&lt;DisplayText&gt;&lt;style face="italic"&gt;United Nations Declaration on the Rights of Indigenous Peoples&lt;/style&gt; (UN General Assembly, 13 Sep 2007, UN doc A/RES/61/295)&lt;/DisplayText&gt;&lt;record&gt;&lt;rec-number&gt;1241&lt;/rec-number&gt;&lt;foreign-keys&gt;&lt;key app="EN" db-id="wa2vv20d1aaa9jexxslpvsadd5vax9svx2v9" timestamp="1588386493"&gt;1241&lt;/key&gt;&lt;/foreign-keys&gt;&lt;ref-type name="Legal Rule or Regulation"&gt;50&lt;/ref-type&gt;&lt;contributors&gt;&lt;authors&gt;&lt;author&gt;UNDRIP&lt;/author&gt;&lt;/authors&gt;&lt;secondary-authors&gt;&lt;author&gt;UN General Assembly&lt;/author&gt;&lt;/secondary-authors&gt;&lt;/contributors&gt;&lt;titles&gt;&lt;title&gt;United Nations Declaration on the Rights of Indigenous Peoples&lt;/title&gt;&lt;secondary-title&gt;UN doc A/RES/61/295&lt;/secondary-title&gt;&lt;alt-title&gt;UNDRIP&lt;/alt-title&gt;&lt;short-title&gt;UNDRIP&lt;/short-title&gt;&lt;/titles&gt;&lt;num-vols&gt;UN doc A/RES/61/295&lt;/num-vols&gt;&lt;dates&gt;&lt;year&gt;2007&lt;/year&gt;&lt;pub-dates&gt;&lt;date&gt;13 Sep 2007&lt;/date&gt;&lt;/pub-dates&gt;&lt;/dates&gt;&lt;pub-location&gt;New York&lt;/pub-location&gt;&lt;urls&gt;&lt;related-urls&gt;&lt;url&gt;www.un-documents.net/a61r295.htm&lt;/url&gt;&lt;/related-urls&gt;&lt;/urls&gt;&lt;access-date&gt;27 Jul 2009&lt;/access-date&gt;&lt;/record&gt;&lt;/Cite&gt;&lt;/EndNote&gt;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United Nations Declaration on the Rights of Indigenous Peoples</w:t>
      </w:r>
      <w:r w:rsidRPr="00C4329F">
        <w:rPr>
          <w:rFonts w:ascii="Century Gothic" w:hAnsi="Century Gothic"/>
          <w:noProof/>
          <w:sz w:val="18"/>
          <w:szCs w:val="18"/>
        </w:rPr>
        <w:t xml:space="preserve"> (UN General Assembly, 13 Sep 2007, UN doc A/RES/61/295)</w:t>
      </w:r>
      <w:r w:rsidRPr="00C4329F">
        <w:rPr>
          <w:rFonts w:ascii="Century Gothic" w:hAnsi="Century Gothic"/>
          <w:sz w:val="18"/>
          <w:szCs w:val="18"/>
        </w:rPr>
        <w:fldChar w:fldCharType="end"/>
      </w:r>
      <w:r w:rsidRPr="00C4329F">
        <w:rPr>
          <w:rFonts w:ascii="Century Gothic" w:hAnsi="Century Gothic"/>
          <w:sz w:val="18"/>
          <w:szCs w:val="18"/>
        </w:rPr>
        <w:t xml:space="preserve">, all FPIC rights (arts 10, 11, 19, 28, 29 &amp; 32) are expressed of ‘peoples’ not of ‘individuals’. Various cases have determined consistency with international standards by examining </w:t>
      </w:r>
      <w:r w:rsidRPr="00C4329F">
        <w:rPr>
          <w:rFonts w:ascii="Century Gothic" w:hAnsi="Century Gothic"/>
          <w:i/>
          <w:iCs/>
          <w:sz w:val="18"/>
          <w:szCs w:val="18"/>
        </w:rPr>
        <w:t>the whole context of Indigenous engagement</w:t>
      </w:r>
      <w:r w:rsidRPr="00C4329F">
        <w:rPr>
          <w:rFonts w:ascii="Century Gothic" w:hAnsi="Century Gothic"/>
          <w:sz w:val="18"/>
          <w:szCs w:val="18"/>
        </w:rPr>
        <w:t xml:space="preserve"> and not whether some individuals agree or oppose the development: eg.:</w:t>
      </w:r>
    </w:p>
    <w:p w:rsidR="00D76813" w:rsidRPr="00C4329F" w:rsidRDefault="00D76813" w:rsidP="00C4329F">
      <w:pPr>
        <w:pStyle w:val="FootnoteText"/>
        <w:numPr>
          <w:ilvl w:val="0"/>
          <w:numId w:val="48"/>
        </w:numPr>
        <w:ind w:left="426" w:hanging="284"/>
        <w:rPr>
          <w:rFonts w:ascii="Century Gothic" w:hAnsi="Century Gothic"/>
          <w:sz w:val="18"/>
          <w:szCs w:val="18"/>
        </w:rPr>
      </w:pPr>
      <w:r w:rsidRPr="00C4329F">
        <w:rPr>
          <w:rFonts w:ascii="Century Gothic" w:hAnsi="Century Gothic"/>
          <w:sz w:val="18"/>
          <w:szCs w:val="18"/>
        </w:rPr>
        <w:fldChar w:fldCharType="begin"/>
      </w:r>
      <w:r>
        <w:rPr>
          <w:rFonts w:ascii="Century Gothic" w:hAnsi="Century Gothic"/>
          <w:sz w:val="18"/>
          <w:szCs w:val="18"/>
        </w:rPr>
        <w:instrText xml:space="preserve"> ADDIN EN.CITE &lt;EndNote&gt;&lt;Cite&gt;&lt;Author&gt;Mahuika -v- NZL&lt;/Author&gt;&lt;Year&gt;2000&lt;/Year&gt;&lt;RecNum&gt;5223&lt;/RecNum&gt;&lt;DisplayText&gt;&lt;style face="italic"&gt;Mahuika -v- NZL&lt;/style&gt; (Human Rights Committee, UN doc CCPR/C/70/D/547/1993, 16 Nov 2000)&lt;/DisplayText&gt;&lt;record&gt;&lt;rec-number&gt;5223&lt;/rec-number&gt;&lt;foreign-keys&gt;&lt;key app="EN" db-id="wa2vv20d1aaa9jexxslpvsadd5vax9svx2v9" timestamp="1588386808"&gt;5223&lt;/key&gt;&lt;/foreign-keys&gt;&lt;ref-type name="Case"&gt;7&lt;/ref-type&gt;&lt;contributors&gt;&lt;authors&gt;&lt;author&gt;&lt;style face="italic" font="default" size="100%"&gt;Mahuika -v- NZL,&lt;/style&gt;&lt;/author&gt;&lt;/authors&gt;&lt;/contributors&gt;&lt;titles&gt;&lt;title&gt;Views on Communication 547/1993: Apirana Mahuika et al and New Zealand&lt;/title&gt;&lt;secondary-title&gt;UN doc CCPR/C/70/D/547/1993&lt;/secondary-title&gt;&lt;short-title&gt;Mahuika -v- NZL&lt;/short-title&gt;&lt;/titles&gt;&lt;volume&gt;Communication No. 547/1993&lt;/volume&gt;&lt;num-vols&gt;(Human Rights Committee, UN doc CCPR/C/70/D/547/1993, 16 Nov 2000)&lt;/num-vols&gt;&lt;dates&gt;&lt;year&gt;2000&lt;/year&gt;&lt;pub-dates&gt;&lt;date&gt;16 November 2000&lt;/date&gt;&lt;/pub-dates&gt;&lt;/dates&gt;&lt;pub-location&gt;ICCPR&lt;/pub-location&gt;&lt;publisher&gt;Human Rights Committee&lt;/publisher&gt;&lt;urls&gt;&lt;related-urls&gt;&lt;url&gt;http://juris.ohchr.org/Search/Details/897&lt;/url&gt;&lt;/related-urls&gt;&lt;/urls&gt;&lt;access-date&gt;24 Apr 2015&lt;/access-date&gt;&lt;/record&gt;&lt;/Cite&gt;&lt;/EndNote&gt;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Mahuika -v- NZL</w:t>
      </w:r>
      <w:r w:rsidRPr="00C4329F">
        <w:rPr>
          <w:rFonts w:ascii="Century Gothic" w:hAnsi="Century Gothic"/>
          <w:noProof/>
          <w:sz w:val="18"/>
          <w:szCs w:val="18"/>
        </w:rPr>
        <w:t xml:space="preserve"> (Human Rights Committee, UN doc CCPR/C/70/D/547/1993, 16 Nov 2000)</w:t>
      </w:r>
      <w:r w:rsidRPr="00C4329F">
        <w:rPr>
          <w:rFonts w:ascii="Century Gothic" w:hAnsi="Century Gothic"/>
          <w:sz w:val="18"/>
          <w:szCs w:val="18"/>
        </w:rPr>
        <w:fldChar w:fldCharType="end"/>
      </w:r>
      <w:r w:rsidRPr="00C4329F">
        <w:rPr>
          <w:rFonts w:ascii="Century Gothic" w:hAnsi="Century Gothic"/>
          <w:sz w:val="18"/>
          <w:szCs w:val="18"/>
        </w:rPr>
        <w:t>, [9.6]-[9.8];</w:t>
      </w:r>
    </w:p>
    <w:p w:rsidR="00D76813" w:rsidRPr="00C4329F" w:rsidRDefault="00D76813" w:rsidP="00C4329F">
      <w:pPr>
        <w:pStyle w:val="FootnoteText"/>
        <w:numPr>
          <w:ilvl w:val="0"/>
          <w:numId w:val="48"/>
        </w:numPr>
        <w:ind w:left="426" w:hanging="284"/>
        <w:rPr>
          <w:rFonts w:ascii="Century Gothic" w:hAnsi="Century Gothic"/>
          <w:sz w:val="18"/>
          <w:szCs w:val="18"/>
        </w:rPr>
      </w:pPr>
      <w:r w:rsidRPr="00C4329F">
        <w:rPr>
          <w:rFonts w:ascii="Century Gothic" w:hAnsi="Century Gothic"/>
          <w:sz w:val="18"/>
          <w:szCs w:val="18"/>
        </w:rPr>
        <w:fldChar w:fldCharType="begin"/>
      </w:r>
      <w:r w:rsidRPr="00C4329F">
        <w:rPr>
          <w:rFonts w:ascii="Century Gothic" w:hAnsi="Century Gothic"/>
          <w:sz w:val="18"/>
          <w:szCs w:val="18"/>
        </w:rPr>
        <w:instrText xml:space="preserve"> ADDIN EN.CITE &lt;EndNote&gt;&lt;Cite&gt;&lt;Author&gt;NOR NCP&lt;/Author&gt;&lt;Year&gt;2011&lt;/Year&gt;&lt;RecNum&gt;6401&lt;/RecNum&gt;&lt;DisplayText&gt;NOR NCP, &lt;style face="italic"&gt;Complaint from The Future In Our Hands (FIOH) against Intex Resources Asa and the Mindoro Nickel Project&lt;/style&gt; (2011, Norwegian National Contact Point for the OECD Guidelines for Multinational Enterprises)&lt;/DisplayText&gt;&lt;record&gt;&lt;rec-number&gt;6401&lt;/rec-number&gt;&lt;foreign-keys&gt;&lt;key app="EN" db-id="wa2vv20d1aaa9jexxslpvsadd5vax9svx2v9" timestamp="1588386913"&gt;6401&lt;/key&gt;&lt;/foreign-keys&gt;&lt;ref-type name="JS Generic"&gt;42&lt;/ref-type&gt;&lt;contributors&gt;&lt;authors&gt;&lt;author&gt;NOR NCP,&lt;/author&gt;&lt;/authors&gt;&lt;secondary-authors&gt;&lt;author&gt;Norges OECD-kontaktpunkt,&lt;/author&gt;&lt;/secondary-authors&gt;&lt;/contributors&gt;&lt;titles&gt;&lt;title&gt;Complaint from The Future In Our Hands (FIOH) against Intex Resources Asa and the Mindoro Nickel Project&lt;/title&gt;&lt;secondary-title&gt;Final Statement&lt;/secondary-title&gt;&lt;short-title&gt;Intex Resources Final Statement&lt;/short-title&gt;&lt;/titles&gt;&lt;dates&gt;&lt;year&gt;2011&lt;/year&gt;&lt;pub-dates&gt;&lt;date&gt;30 November 2011&lt;/date&gt;&lt;/pub-dates&gt;&lt;/dates&gt;&lt;pub-location&gt;Oslo&lt;/pub-location&gt;&lt;publisher&gt;Norwegian National Contact Point for the OECD Guidelines for Multinational Enterprises&lt;/publisher&gt;&lt;urls&gt;&lt;related-urls&gt;&lt;url&gt;http://nettsteder.regjeringen.no/ansvarlignaringsliv-en/files/2013/12/intex_fivh_final.pdf&lt;/url&gt;&lt;/related-urls&gt;&lt;/urls&gt;&lt;access-date&gt;23 May 2017&lt;/access-date&gt;&lt;/record&gt;&lt;/Cite&gt;&lt;/EndNote&gt;</w:instrText>
      </w:r>
      <w:r w:rsidRPr="00C4329F">
        <w:rPr>
          <w:rFonts w:ascii="Century Gothic" w:hAnsi="Century Gothic"/>
          <w:sz w:val="18"/>
          <w:szCs w:val="18"/>
        </w:rPr>
        <w:fldChar w:fldCharType="separate"/>
      </w:r>
      <w:r w:rsidRPr="00C4329F">
        <w:rPr>
          <w:rFonts w:ascii="Century Gothic" w:hAnsi="Century Gothic"/>
          <w:noProof/>
          <w:sz w:val="18"/>
          <w:szCs w:val="18"/>
        </w:rPr>
        <w:t xml:space="preserve">NOR NCP, </w:t>
      </w:r>
      <w:r w:rsidRPr="00C4329F">
        <w:rPr>
          <w:rFonts w:ascii="Century Gothic" w:hAnsi="Century Gothic"/>
          <w:i/>
          <w:noProof/>
          <w:sz w:val="18"/>
          <w:szCs w:val="18"/>
        </w:rPr>
        <w:t>Complaint from The Future In Our Hands (FIOH) against Intex Resources Asa and the Mindoro Nickel Project</w:t>
      </w:r>
      <w:r w:rsidRPr="00C4329F">
        <w:rPr>
          <w:rFonts w:ascii="Century Gothic" w:hAnsi="Century Gothic"/>
          <w:noProof/>
          <w:sz w:val="18"/>
          <w:szCs w:val="18"/>
        </w:rPr>
        <w:t xml:space="preserve"> (2011, Norwegian National Contact Point for the OECD Guidelines for Multinational Enterprises)</w:t>
      </w:r>
      <w:r w:rsidRPr="00C4329F">
        <w:rPr>
          <w:rFonts w:ascii="Century Gothic" w:hAnsi="Century Gothic"/>
          <w:sz w:val="18"/>
          <w:szCs w:val="18"/>
        </w:rPr>
        <w:fldChar w:fldCharType="end"/>
      </w:r>
      <w:r w:rsidRPr="00C4329F">
        <w:rPr>
          <w:rFonts w:ascii="Century Gothic" w:hAnsi="Century Gothic"/>
          <w:sz w:val="18"/>
          <w:szCs w:val="18"/>
        </w:rPr>
        <w:t>, 23 &amp; 25;</w:t>
      </w:r>
    </w:p>
    <w:p w:rsidR="00D76813" w:rsidRPr="00C4329F" w:rsidRDefault="00D76813" w:rsidP="00C4329F">
      <w:pPr>
        <w:pStyle w:val="FootnoteText"/>
        <w:numPr>
          <w:ilvl w:val="0"/>
          <w:numId w:val="48"/>
        </w:numPr>
        <w:ind w:left="426" w:hanging="284"/>
        <w:rPr>
          <w:rFonts w:ascii="Century Gothic" w:hAnsi="Century Gothic"/>
          <w:sz w:val="18"/>
          <w:szCs w:val="18"/>
        </w:rPr>
      </w:pPr>
      <w:r w:rsidRPr="00C4329F">
        <w:rPr>
          <w:rFonts w:ascii="Century Gothic" w:hAnsi="Century Gothic"/>
          <w:sz w:val="18"/>
          <w:szCs w:val="18"/>
        </w:rPr>
        <w:fldChar w:fldCharType="begin"/>
      </w:r>
      <w:r>
        <w:rPr>
          <w:rFonts w:ascii="Century Gothic" w:hAnsi="Century Gothic"/>
          <w:sz w:val="18"/>
          <w:szCs w:val="18"/>
        </w:rPr>
        <w:instrText xml:space="preserve"> ADDIN EN.CITE &lt;EndNote&gt;&lt;Cite&gt;&lt;Author&gt;Kitok -v- SWE&lt;/Author&gt;&lt;Year&gt;1988&lt;/Year&gt;&lt;RecNum&gt;5395&lt;/RecNum&gt;&lt;DisplayText&gt;&lt;style face="italic"&gt;Kitok -v- SWE&lt;/style&gt; (Human Rights Committee, UN doc CCPR/C/33/D/197/1985, 27 Jul 1988)&lt;/DisplayText&gt;&lt;record&gt;&lt;rec-number&gt;5395&lt;/rec-number&gt;&lt;foreign-keys&gt;&lt;key app="EN" db-id="wa2vv20d1aaa9jexxslpvsadd5vax9svx2v9" timestamp="1588386823"&gt;5395&lt;/key&gt;&lt;/foreign-keys&gt;&lt;ref-type name="Case"&gt;7&lt;/ref-type&gt;&lt;contributors&gt;&lt;authors&gt;&lt;author&gt;&lt;style face="italic" font="default" size="100%"&gt;Kitok -v- SWE,&lt;/style&gt;&lt;/author&gt;&lt;/authors&gt;&lt;/contributors&gt;&lt;titles&gt;&lt;title&gt;Views on Communication 197/1985: Ivan Kitok and Sweden&lt;/title&gt;&lt;secondary-title&gt;UN doc CCPR/C/33/D/197/1985&lt;/secondary-title&gt;&lt;short-title&gt;Kitok -v- SWE&lt;/short-title&gt;&lt;/titles&gt;&lt;volume&gt;Communication No. 197/1985&lt;/volume&gt;&lt;num-vols&gt;(Human Rights Committee, UN doc CCPR/C/33/D/197/1985, 27 Jul 1988)&lt;/num-vols&gt;&lt;dates&gt;&lt;year&gt;1988&lt;/year&gt;&lt;pub-dates&gt;&lt;date&gt;27 July 1988&lt;/date&gt;&lt;/pub-dates&gt;&lt;/dates&gt;&lt;pub-location&gt;ICCPR&lt;/pub-location&gt;&lt;publisher&gt;Human Rights Committee&lt;/publisher&gt;&lt;urls&gt;&lt;related-urls&gt;&lt;url&gt;http://tbinternet.ohchr.org/_layouts/treatybodyexternal/Download.aspx?symbolno=CCPR%2fC%2f33%2fD%2f197%2f1985&amp;amp;Lang=en&lt;/url&gt;&lt;/related-urls&gt;&lt;/urls&gt;&lt;access-date&gt;2 May 2018&lt;/access-date&gt;&lt;/record&gt;&lt;/Cite&gt;&lt;/EndNote&gt;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Kitok -v- SWE</w:t>
      </w:r>
      <w:r w:rsidRPr="00C4329F">
        <w:rPr>
          <w:rFonts w:ascii="Century Gothic" w:hAnsi="Century Gothic"/>
          <w:noProof/>
          <w:sz w:val="18"/>
          <w:szCs w:val="18"/>
        </w:rPr>
        <w:t xml:space="preserve"> (Human Rights Committee, UN doc CCPR/C/33/D/197/1985, 27 Jul 1988)</w:t>
      </w:r>
      <w:r w:rsidRPr="00C4329F">
        <w:rPr>
          <w:rFonts w:ascii="Century Gothic" w:hAnsi="Century Gothic"/>
          <w:sz w:val="18"/>
          <w:szCs w:val="18"/>
        </w:rPr>
        <w:fldChar w:fldCharType="end"/>
      </w:r>
      <w:r w:rsidRPr="00C4329F">
        <w:rPr>
          <w:rFonts w:ascii="Century Gothic" w:hAnsi="Century Gothic"/>
          <w:sz w:val="18"/>
          <w:szCs w:val="18"/>
        </w:rPr>
        <w:t>, [9.8];</w:t>
      </w:r>
    </w:p>
    <w:p w:rsidR="00D76813" w:rsidRPr="00C4329F" w:rsidRDefault="00D76813" w:rsidP="00C4329F">
      <w:pPr>
        <w:pStyle w:val="FootnoteText"/>
        <w:numPr>
          <w:ilvl w:val="0"/>
          <w:numId w:val="48"/>
        </w:numPr>
        <w:ind w:left="426" w:hanging="284"/>
        <w:rPr>
          <w:rFonts w:ascii="Century Gothic" w:hAnsi="Century Gothic"/>
          <w:sz w:val="18"/>
          <w:szCs w:val="18"/>
        </w:rPr>
      </w:pPr>
      <w:r w:rsidRPr="00C4329F">
        <w:rPr>
          <w:rFonts w:ascii="Century Gothic" w:hAnsi="Century Gothic"/>
          <w:sz w:val="18"/>
          <w:szCs w:val="18"/>
        </w:rPr>
        <w:fldChar w:fldCharType="begin"/>
      </w:r>
      <w:r>
        <w:rPr>
          <w:rFonts w:ascii="Century Gothic" w:hAnsi="Century Gothic"/>
          <w:sz w:val="18"/>
          <w:szCs w:val="18"/>
        </w:rPr>
        <w:instrText xml:space="preserve"> ADDIN EN.CITE &lt;EndNote&gt;&lt;Cite&gt;&lt;Author&gt;Ågren -v- SWE&lt;/Author&gt;&lt;Year&gt;2020&lt;/Year&gt;&lt;RecNum&gt;11026&lt;/RecNum&gt;&lt;DisplayText&gt;&lt;style face="italic"&gt;Ågren -v- SWE&lt;/style&gt; (Committee on the Elimination of Racial Discrimination, UN doc CERD/C/102/D/54/2013, 18 Dec 2020)&lt;/DisplayText&gt;&lt;record&gt;&lt;rec-number&gt;11026&lt;/rec-number&gt;&lt;foreign-keys&gt;&lt;key app="EN" db-id="wa2vv20d1aaa9jexxslpvsadd5vax9svx2v9" timestamp="1608966178"&gt;11026&lt;/key&gt;&lt;/foreign-keys&gt;&lt;ref-type name="Case"&gt;7&lt;/ref-type&gt;&lt;contributors&gt;&lt;authors&gt;&lt;author&gt;&lt;style face="italic" font="default" size="100%"&gt;Ågren -v- SWE,&lt;/style&gt;&lt;/author&gt;&lt;/authors&gt;&lt;/contributors&gt;&lt;titles&gt;&lt;title&gt;Opinion on Communication 54/2013: Lars-Anders Ågren et al and Sweden&lt;/title&gt;&lt;secondary-title&gt;UN doc CERD/C/102/D/54/2013&lt;/secondary-title&gt;&lt;short-title&gt;Ågren -v- SWE&lt;/short-title&gt;&lt;/titles&gt;&lt;num-vols&gt;(Committee on the Elimination of Racial Discrimination, UN doc CERD/C/102/D/54/2013, 18 Dec 2020)&lt;/num-vols&gt;&lt;dates&gt;&lt;year&gt;2020&lt;/year&gt;&lt;pub-dates&gt;&lt;date&gt;18 December 2020&lt;/date&gt;&lt;/pub-dates&gt;&lt;/dates&gt;&lt;pub-location&gt;ICERD&lt;/pub-location&gt;&lt;publisher&gt;Committee on the Elimination of Racial Discrimination&lt;/publisher&gt;&lt;urls&gt;&lt;related-urls&gt;&lt;url&gt;http://docstore.ohchr.org/SelfServices/FilesHandler.ashx?enc=6QkG1d%2fPPRiCAqhKb7yhsk1o%2fr406%2f%2boXC1TjkRWZNEwKlDstKc0d4XnfgAvHd8w%2feAvsKsSUEqr0cVWzL59UzDIGZpr9GHJ53e%2bwFa%2fAtbohasM4YKM7xa8dGN%2fosgm%2bB1m%2bbAHVxMdvpDG%2bHR7FQ%3d%3d&lt;/url&gt;&lt;/related-urls&gt;&lt;/urls&gt;&lt;access-date&gt;26 Dec 2020&lt;/access-date&gt;&lt;/record&gt;&lt;/Cite&gt;&lt;/EndNote&gt;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Ågren -v- SWE</w:t>
      </w:r>
      <w:r w:rsidRPr="00C4329F">
        <w:rPr>
          <w:rFonts w:ascii="Century Gothic" w:hAnsi="Century Gothic"/>
          <w:noProof/>
          <w:sz w:val="18"/>
          <w:szCs w:val="18"/>
        </w:rPr>
        <w:t xml:space="preserve"> (Committee on the Elimination of Racial Discrimination, UN doc CERD/C/102/D/54/2013, 18 Dec 2020)</w:t>
      </w:r>
      <w:r w:rsidRPr="00C4329F">
        <w:rPr>
          <w:rFonts w:ascii="Century Gothic" w:hAnsi="Century Gothic"/>
          <w:sz w:val="18"/>
          <w:szCs w:val="18"/>
        </w:rPr>
        <w:fldChar w:fldCharType="end"/>
      </w:r>
      <w:r w:rsidRPr="00C4329F">
        <w:rPr>
          <w:rFonts w:ascii="Century Gothic" w:hAnsi="Century Gothic"/>
          <w:sz w:val="18"/>
          <w:szCs w:val="18"/>
        </w:rPr>
        <w:t>, [6.18]-[6.20];</w:t>
      </w:r>
    </w:p>
    <w:p w:rsidR="00D76813" w:rsidRPr="00C4329F" w:rsidRDefault="00D76813" w:rsidP="00C4329F">
      <w:pPr>
        <w:pStyle w:val="FootnoteText"/>
        <w:numPr>
          <w:ilvl w:val="0"/>
          <w:numId w:val="48"/>
        </w:numPr>
        <w:ind w:left="426" w:hanging="284"/>
        <w:rPr>
          <w:rFonts w:ascii="Century Gothic" w:hAnsi="Century Gothic"/>
          <w:sz w:val="18"/>
          <w:szCs w:val="18"/>
          <w:lang w:val="en-US"/>
        </w:rPr>
      </w:pPr>
      <w:r w:rsidRPr="00C4329F">
        <w:rPr>
          <w:rFonts w:ascii="Century Gothic" w:hAnsi="Century Gothic"/>
          <w:sz w:val="18"/>
          <w:szCs w:val="18"/>
        </w:rPr>
        <w:fldChar w:fldCharType="begin"/>
      </w:r>
      <w:r>
        <w:rPr>
          <w:rFonts w:ascii="Century Gothic" w:hAnsi="Century Gothic"/>
          <w:sz w:val="18"/>
          <w:szCs w:val="18"/>
        </w:rPr>
        <w:instrText xml:space="preserve"> ADDIN EN.CITE &lt;EndNote&gt;&lt;Cite&gt;&lt;Author&gt;Poma Poma -v- PER&lt;/Author&gt;&lt;Year&gt;2009&lt;/Year&gt;&lt;RecNum&gt;5226&lt;/RecNum&gt;&lt;DisplayText&gt;&lt;style face="italic"&gt;Poma Poma -v- PER&lt;/style&gt; (Human Rights Committee, UN doc CCPR/C/95/D/1457/2006, 24 April 2009)&lt;/DisplayText&gt;&lt;record&gt;&lt;rec-number&gt;5226&lt;/rec-number&gt;&lt;foreign-keys&gt;&lt;key app="EN" db-id="wa2vv20d1aaa9jexxslpvsadd5vax9svx2v9" timestamp="1588386808"&gt;5226&lt;/key&gt;&lt;/foreign-keys&gt;&lt;ref-type name="Case"&gt;7&lt;/ref-type&gt;&lt;contributors&gt;&lt;authors&gt;&lt;author&gt;&lt;style face="italic" font="default" size="100%"&gt;Poma Poma -v- PER,&lt;/style&gt;&lt;/author&gt;&lt;/authors&gt;&lt;/contributors&gt;&lt;titles&gt;&lt;title&gt;Views on Communication 1457/2006: Ángela Poma Poma and Peru&lt;/title&gt;&lt;secondary-title&gt;UN doc CCPR/C/95/D/1457/2006&lt;/secondary-title&gt;&lt;short-title&gt;Poma Poma -v- PER&lt;/short-title&gt;&lt;/titles&gt;&lt;volume&gt;Communication No. 1457/2006&lt;/volume&gt;&lt;num-vols&gt;(Human Rights Committee, UN doc CCPR/C/95/D/1457/2006, 24 April 2009)&lt;/num-vols&gt;&lt;dates&gt;&lt;year&gt;2009&lt;/year&gt;&lt;pub-dates&gt;&lt;date&gt;24 April 2009&lt;/date&gt;&lt;/pub-dates&gt;&lt;/dates&gt;&lt;pub-location&gt;ICCPR&lt;/pub-location&gt;&lt;publisher&gt;Human Rights Committee&lt;/publisher&gt;&lt;urls&gt;&lt;related-urls&gt;&lt;url&gt;http://docstore.ohchr.org/SelfServices/FilesHandler.ashx?enc=6QkG1d%2fPPRiCAqhKb7yhsvpiiwkDHeBnDsduiOrYcq03rq%2b3gbkjkqja8MknBksJ4VVTgA8KEfXE4aHxPw0IWZ2dOm1KsPhwoywjeVjMMAlwMJW5T%2fdzI4GyMxEGLv%2fgstS%2bYGTUE%2b1DLHe9hr9ZdQ%3d%3d&lt;/url&gt;&lt;/related-urls&gt;&lt;/urls&gt;&lt;access-date&gt;23 Mar 2015&lt;/access-date&gt;&lt;/record&gt;&lt;/Cite&gt;&lt;/EndNote&gt;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Poma Poma -v- PER</w:t>
      </w:r>
      <w:r w:rsidRPr="00C4329F">
        <w:rPr>
          <w:rFonts w:ascii="Century Gothic" w:hAnsi="Century Gothic"/>
          <w:noProof/>
          <w:sz w:val="18"/>
          <w:szCs w:val="18"/>
        </w:rPr>
        <w:t xml:space="preserve"> (Human Rights Committee, UN doc CCPR/C/95/D/1457/2006, 24 April 2009)</w:t>
      </w:r>
      <w:r w:rsidRPr="00C4329F">
        <w:rPr>
          <w:rFonts w:ascii="Century Gothic" w:hAnsi="Century Gothic"/>
          <w:sz w:val="18"/>
          <w:szCs w:val="18"/>
        </w:rPr>
        <w:fldChar w:fldCharType="end"/>
      </w:r>
      <w:r w:rsidRPr="00C4329F">
        <w:rPr>
          <w:rFonts w:ascii="Century Gothic" w:hAnsi="Century Gothic"/>
          <w:sz w:val="18"/>
          <w:szCs w:val="18"/>
        </w:rPr>
        <w:t>, [7.6]-[7.7].</w:t>
      </w:r>
    </w:p>
  </w:footnote>
  <w:footnote w:id="5">
    <w:p w:rsidR="00D76813" w:rsidRPr="00C4329F" w:rsidRDefault="00D76813">
      <w:pPr>
        <w:pStyle w:val="FootnoteText"/>
        <w:rPr>
          <w:rFonts w:ascii="Century Gothic" w:hAnsi="Century Gothic"/>
          <w:sz w:val="18"/>
          <w:szCs w:val="18"/>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w:t>
      </w:r>
      <w:r w:rsidRPr="00C4329F">
        <w:rPr>
          <w:rFonts w:ascii="Century Gothic" w:hAnsi="Century Gothic" w:cstheme="minorHAnsi"/>
          <w:sz w:val="18"/>
          <w:szCs w:val="18"/>
        </w:rPr>
        <w:fldChar w:fldCharType="begin"/>
      </w:r>
      <w:r w:rsidRPr="00C4329F">
        <w:rPr>
          <w:rFonts w:ascii="Century Gothic" w:hAnsi="Century Gothic" w:cstheme="minorHAnsi"/>
          <w:sz w:val="18"/>
          <w:szCs w:val="18"/>
        </w:rPr>
        <w:instrText xml:space="preserve"> ADDIN EN.CITE &lt;EndNote&gt;&lt;Cite&gt;&lt;Author&gt;Starkey -v- South Australia&lt;/Author&gt;&lt;Year&gt;2014&lt;/Year&gt;&lt;RecNum&gt;11027&lt;/RecNum&gt;&lt;DisplayText&gt;&lt;style face="italic"&gt;Starkey -v- South Australia&lt;/style&gt; [2014] FCA 924&lt;/DisplayText&gt;&lt;record&gt;&lt;rec-number&gt;11027&lt;/rec-number&gt;&lt;foreign-keys&gt;&lt;key app="EN" db-id="wa2vv20d1aaa9jexxslpvsadd5vax9svx2v9" timestamp="1609480184"&gt;11027&lt;/key&gt;&lt;/foreign-keys&gt;&lt;ref-type name="Case"&gt;7&lt;/ref-type&gt;&lt;contributors&gt;&lt;authors&gt;&lt;author&gt;Starkey -v- South Australia,&lt;/author&gt;&lt;/authors&gt;&lt;/contributors&gt;&lt;titles&gt;&lt;title&gt;Andrew Starkey and Another v State of South Australia and Others&lt;/title&gt;&lt;secondary-title&gt;[2014] FCA 924&lt;/secondary-title&gt;&lt;short-title&gt;Starkey -v- South Australia,&lt;/short-title&gt;&lt;/titles&gt;&lt;num-vols&gt;[2014] FCA 924&lt;/num-vols&gt;&lt;dates&gt;&lt;year&gt;2014&lt;/year&gt;&lt;pub-dates&gt;&lt;date&gt;1 September 2014&lt;/date&gt;&lt;/pub-dates&gt;&lt;/dates&gt;&lt;pub-location&gt;AUS&lt;/pub-location&gt;&lt;publisher&gt;Federal Court of Australia&lt;/publisher&gt;&lt;urls&gt;&lt;related-urls&gt;&lt;url&gt;http://classic.austlii.edu.au/au/cases/cth/FCA/2014/924.html&lt;/url&gt;&lt;/related-urls&gt;&lt;/urls&gt;&lt;access-date&gt;1 Jan 2021&lt;/access-date&gt;&lt;/record&gt;&lt;/Cite&gt;&lt;/EndNote&gt;</w:instrText>
      </w:r>
      <w:r w:rsidRPr="00C4329F">
        <w:rPr>
          <w:rFonts w:ascii="Century Gothic" w:hAnsi="Century Gothic" w:cstheme="minorHAnsi"/>
          <w:sz w:val="18"/>
          <w:szCs w:val="18"/>
        </w:rPr>
        <w:fldChar w:fldCharType="separate"/>
      </w:r>
      <w:r w:rsidRPr="00C4329F">
        <w:rPr>
          <w:rFonts w:ascii="Century Gothic" w:hAnsi="Century Gothic" w:cstheme="minorHAnsi"/>
          <w:i/>
          <w:noProof/>
          <w:sz w:val="18"/>
          <w:szCs w:val="18"/>
        </w:rPr>
        <w:t>Starkey -v- South Australia</w:t>
      </w:r>
      <w:r w:rsidRPr="00C4329F">
        <w:rPr>
          <w:rFonts w:ascii="Century Gothic" w:hAnsi="Century Gothic" w:cstheme="minorHAnsi"/>
          <w:noProof/>
          <w:sz w:val="18"/>
          <w:szCs w:val="18"/>
        </w:rPr>
        <w:t xml:space="preserve"> [2014] FCA 924</w:t>
      </w:r>
      <w:r w:rsidRPr="00C4329F">
        <w:rPr>
          <w:rFonts w:ascii="Century Gothic" w:hAnsi="Century Gothic" w:cstheme="minorHAnsi"/>
          <w:sz w:val="18"/>
          <w:szCs w:val="18"/>
        </w:rPr>
        <w:fldChar w:fldCharType="end"/>
      </w:r>
      <w:r w:rsidRPr="00C4329F">
        <w:rPr>
          <w:rFonts w:ascii="Century Gothic" w:hAnsi="Century Gothic" w:cstheme="minorHAnsi"/>
          <w:sz w:val="18"/>
          <w:szCs w:val="18"/>
        </w:rPr>
        <w:t>, order 15.</w:t>
      </w:r>
    </w:p>
  </w:footnote>
  <w:footnote w:id="6">
    <w:p w:rsidR="00D76813" w:rsidRPr="00C4329F" w:rsidRDefault="00D76813">
      <w:pPr>
        <w:pStyle w:val="FootnoteText"/>
        <w:rPr>
          <w:rFonts w:ascii="Century Gothic" w:hAnsi="Century Gothic"/>
          <w:sz w:val="18"/>
          <w:szCs w:val="18"/>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w:t>
      </w:r>
      <w:r w:rsidRPr="00C4329F">
        <w:rPr>
          <w:rFonts w:ascii="Century Gothic" w:hAnsi="Century Gothic"/>
          <w:sz w:val="18"/>
          <w:szCs w:val="18"/>
        </w:rPr>
        <w:fldChar w:fldCharType="begin"/>
      </w:r>
      <w:r w:rsidRPr="00C4329F">
        <w:rPr>
          <w:rFonts w:ascii="Century Gothic" w:hAnsi="Century Gothic"/>
          <w:sz w:val="18"/>
          <w:szCs w:val="18"/>
        </w:rPr>
        <w:instrText xml:space="preserve"> ADDIN EN.CITE &lt;EndNote&gt;&lt;Cite&gt;&lt;Author&gt;Croft (Barngarla Group) -v- South Australia&lt;/Author&gt;&lt;Year&gt;2020&lt;/Year&gt;&lt;RecNum&gt;11035&lt;/RecNum&gt;&lt;DisplayText&gt;&lt;style face="italic"&gt;Croft (Barngarla Group) -v- South Australia&lt;/style&gt; [2020] FCA 888&lt;/DisplayText&gt;&lt;record&gt;&lt;rec-number&gt;11035&lt;/rec-number&gt;&lt;foreign-keys&gt;&lt;key app="EN" db-id="wa2vv20d1aaa9jexxslpvsadd5vax9svx2v9" timestamp="1609737904"&gt;11035&lt;/key&gt;&lt;/foreign-keys&gt;&lt;ref-type name="Case"&gt;7&lt;/ref-type&gt;&lt;contributors&gt;&lt;authors&gt;&lt;author&gt;Croft (Barngarla Group) -v- South Australia,&lt;/author&gt;&lt;/authors&gt;&lt;/contributors&gt;&lt;titles&gt;&lt;title&gt;Croft on behalf of the Barngarla Native Title Claim Group v State of South Australia (Port Augusta Proceeding)&lt;/title&gt;&lt;secondary-title&gt;[2020] FCA 888&lt;/secondary-title&gt;&lt;short-title&gt;Croft (Barngarla Group) -v- South Australia&lt;/short-title&gt;&lt;/titles&gt;&lt;num-vols&gt;[2020] FCA 888&lt;/num-vols&gt;&lt;dates&gt;&lt;year&gt;2020&lt;/year&gt;&lt;pub-dates&gt;&lt;date&gt;25 June 2020&lt;/date&gt;&lt;/pub-dates&gt;&lt;/dates&gt;&lt;pub-location&gt;AUS&lt;/pub-location&gt;&lt;publisher&gt;Federal Court&lt;/publisher&gt;&lt;urls&gt;&lt;related-urls&gt;&lt;url&gt;http://classic.austlii.edu.au/cgi-bin/sinodisp/au/cases/cth/FCA/2020/888.html&lt;/url&gt;&lt;/related-urls&gt;&lt;/urls&gt;&lt;access-date&gt;3 Jan 2021&lt;/access-date&gt;&lt;/record&gt;&lt;/Cite&gt;&lt;/EndNote&gt;</w:instrText>
      </w:r>
      <w:r w:rsidRPr="00C4329F">
        <w:rPr>
          <w:rFonts w:ascii="Century Gothic" w:hAnsi="Century Gothic"/>
          <w:sz w:val="18"/>
          <w:szCs w:val="18"/>
        </w:rPr>
        <w:fldChar w:fldCharType="separate"/>
      </w:r>
      <w:r w:rsidRPr="00C4329F">
        <w:rPr>
          <w:rFonts w:ascii="Century Gothic" w:hAnsi="Century Gothic"/>
          <w:i/>
          <w:noProof/>
          <w:sz w:val="18"/>
          <w:szCs w:val="18"/>
        </w:rPr>
        <w:t>Croft (Barngarla Group) -v- South Australia</w:t>
      </w:r>
      <w:r w:rsidRPr="00C4329F">
        <w:rPr>
          <w:rFonts w:ascii="Century Gothic" w:hAnsi="Century Gothic"/>
          <w:noProof/>
          <w:sz w:val="18"/>
          <w:szCs w:val="18"/>
        </w:rPr>
        <w:t xml:space="preserve"> [2020] FCA 888</w:t>
      </w:r>
      <w:r w:rsidRPr="00C4329F">
        <w:rPr>
          <w:rFonts w:ascii="Century Gothic" w:hAnsi="Century Gothic"/>
          <w:sz w:val="18"/>
          <w:szCs w:val="18"/>
        </w:rPr>
        <w:fldChar w:fldCharType="end"/>
      </w:r>
      <w:r w:rsidRPr="00C4329F">
        <w:rPr>
          <w:rFonts w:ascii="Century Gothic" w:hAnsi="Century Gothic"/>
          <w:sz w:val="18"/>
          <w:szCs w:val="18"/>
        </w:rPr>
        <w:t xml:space="preserve">, </w:t>
      </w:r>
      <w:r w:rsidRPr="00C4329F">
        <w:rPr>
          <w:rFonts w:ascii="Century Gothic" w:hAnsi="Century Gothic" w:cstheme="minorHAnsi"/>
          <w:sz w:val="18"/>
          <w:szCs w:val="18"/>
        </w:rPr>
        <w:t>[65]-[73] &amp; [77].</w:t>
      </w:r>
    </w:p>
  </w:footnote>
  <w:footnote w:id="7">
    <w:p w:rsidR="00D76813" w:rsidRPr="00C4329F" w:rsidRDefault="00D76813" w:rsidP="009A6760">
      <w:pPr>
        <w:pStyle w:val="FootnoteText"/>
        <w:ind w:left="142" w:hanging="142"/>
        <w:rPr>
          <w:rFonts w:ascii="Century Gothic" w:hAnsi="Century Gothic"/>
          <w:sz w:val="18"/>
          <w:szCs w:val="18"/>
          <w:lang w:val="en-US"/>
        </w:rPr>
      </w:pPr>
      <w:r w:rsidRPr="00C4329F">
        <w:rPr>
          <w:rStyle w:val="FootnoteReference"/>
          <w:rFonts w:ascii="Century Gothic" w:hAnsi="Century Gothic"/>
          <w:sz w:val="18"/>
          <w:szCs w:val="18"/>
        </w:rPr>
        <w:footnoteRef/>
      </w:r>
      <w:r w:rsidRPr="00C4329F">
        <w:rPr>
          <w:rFonts w:ascii="Century Gothic" w:hAnsi="Century Gothic"/>
          <w:sz w:val="18"/>
          <w:szCs w:val="18"/>
        </w:rPr>
        <w:t xml:space="preserve"> AusNCP Complaint Procedures (above n5), 4.16.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13" w:rsidRDefault="00D76813">
    <w:pPr>
      <w:pStyle w:val="Header"/>
    </w:pPr>
  </w:p>
  <w:p w:rsidR="00D76813" w:rsidRDefault="00D76813" w:rsidP="00D768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66F" w:rsidRDefault="001A4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13" w:rsidRDefault="00D76813" w:rsidP="0019588C">
    <w:pPr>
      <w:pStyle w:val="Header"/>
      <w:spacing w:after="840"/>
      <w:jc w:val="center"/>
    </w:pPr>
    <w:r>
      <w:rPr>
        <w:noProof/>
        <w:lang w:eastAsia="en-AU"/>
      </w:rPr>
      <w:drawing>
        <wp:inline distT="0" distB="0" distL="0" distR="0" wp14:anchorId="50AF7B9E" wp14:editId="7726320A">
          <wp:extent cx="2009554" cy="17780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usNCP logo - dark background (high res).JPG"/>
                  <pic:cNvPicPr/>
                </pic:nvPicPr>
                <pic:blipFill>
                  <a:blip r:embed="rId1">
                    <a:extLst>
                      <a:ext uri="{28A0092B-C50C-407E-A947-70E740481C1C}">
                        <a14:useLocalDpi xmlns:a14="http://schemas.microsoft.com/office/drawing/2010/main" val="0"/>
                      </a:ext>
                    </a:extLst>
                  </a:blip>
                  <a:stretch>
                    <a:fillRect/>
                  </a:stretch>
                </pic:blipFill>
                <pic:spPr>
                  <a:xfrm>
                    <a:off x="0" y="0"/>
                    <a:ext cx="2030108" cy="1796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926"/>
    <w:multiLevelType w:val="multilevel"/>
    <w:tmpl w:val="65669AA4"/>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B60C6"/>
    <w:multiLevelType w:val="hybridMultilevel"/>
    <w:tmpl w:val="CA84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6627E"/>
    <w:multiLevelType w:val="multilevel"/>
    <w:tmpl w:val="A8B49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111866D0"/>
    <w:multiLevelType w:val="multilevel"/>
    <w:tmpl w:val="FC2CB0F0"/>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FE675D"/>
    <w:multiLevelType w:val="hybridMultilevel"/>
    <w:tmpl w:val="5ECAC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25D2E2F"/>
    <w:multiLevelType w:val="hybridMultilevel"/>
    <w:tmpl w:val="FCC2280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8" w15:restartNumberingAfterBreak="0">
    <w:nsid w:val="197E35C1"/>
    <w:multiLevelType w:val="multilevel"/>
    <w:tmpl w:val="23AA819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967954"/>
    <w:multiLevelType w:val="multilevel"/>
    <w:tmpl w:val="AADE74FE"/>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DE75B4"/>
    <w:multiLevelType w:val="multilevel"/>
    <w:tmpl w:val="71F42458"/>
    <w:lvl w:ilvl="0">
      <w:start w:val="2"/>
      <w:numFmt w:val="decimal"/>
      <w:lvlText w:val="%1."/>
      <w:lvlJc w:val="left"/>
      <w:pPr>
        <w:tabs>
          <w:tab w:val="left" w:pos="288"/>
        </w:tabs>
        <w:ind w:left="720"/>
      </w:pPr>
      <w:rPr>
        <w:rFonts w:ascii="Times New Roman" w:eastAsia="Times New Roman" w:hAnsi="Times New Roman"/>
        <w: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78509A"/>
    <w:multiLevelType w:val="multilevel"/>
    <w:tmpl w:val="F8B0231E"/>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826BF0"/>
    <w:multiLevelType w:val="multilevel"/>
    <w:tmpl w:val="CC660076"/>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tabs>
          <w:tab w:val="num" w:pos="425"/>
        </w:tabs>
        <w:ind w:left="425" w:hanging="425"/>
      </w:pPr>
      <w:rPr>
        <w:rFonts w:hint="default"/>
        <w:b/>
        <w:color w:val="5B5E6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684780"/>
    <w:multiLevelType w:val="hybridMultilevel"/>
    <w:tmpl w:val="9D3A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AA68CE"/>
    <w:multiLevelType w:val="hybridMultilevel"/>
    <w:tmpl w:val="F8CE9BC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8B120CB"/>
    <w:multiLevelType w:val="multilevel"/>
    <w:tmpl w:val="A4F23FBC"/>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463D1A"/>
    <w:multiLevelType w:val="multilevel"/>
    <w:tmpl w:val="B01A8A8C"/>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413F23"/>
    <w:multiLevelType w:val="multilevel"/>
    <w:tmpl w:val="1EE69D12"/>
    <w:lvl w:ilvl="0">
      <w:start w:val="1"/>
      <w:numFmt w:val="decimal"/>
      <w:suff w:val="space"/>
      <w:lvlText w:val="%1. "/>
      <w:lvlJc w:val="left"/>
      <w:pPr>
        <w:ind w:left="0" w:firstLine="0"/>
      </w:pPr>
      <w:rPr>
        <w:rFonts w:ascii="Times New Roman" w:hAnsi="Times New Roman" w:hint="default"/>
        <w:b/>
        <w:i w:val="0"/>
        <w:sz w:val="24"/>
        <w:u w:val="none"/>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0FD6E8A"/>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8786FDC"/>
    <w:multiLevelType w:val="hybridMultilevel"/>
    <w:tmpl w:val="22B0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0039C"/>
    <w:multiLevelType w:val="hybridMultilevel"/>
    <w:tmpl w:val="7174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2A10EC"/>
    <w:multiLevelType w:val="multilevel"/>
    <w:tmpl w:val="D4625C4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C47A9A"/>
    <w:multiLevelType w:val="multilevel"/>
    <w:tmpl w:val="C6CC2AA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41F658F"/>
    <w:multiLevelType w:val="multilevel"/>
    <w:tmpl w:val="E48C659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A3372C"/>
    <w:multiLevelType w:val="hybridMultilevel"/>
    <w:tmpl w:val="BC92A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74114F"/>
    <w:multiLevelType w:val="multilevel"/>
    <w:tmpl w:val="64ACB2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3ED5400"/>
    <w:multiLevelType w:val="hybridMultilevel"/>
    <w:tmpl w:val="A8D44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4211E"/>
    <w:multiLevelType w:val="hybridMultilevel"/>
    <w:tmpl w:val="5BE61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063F1F"/>
    <w:multiLevelType w:val="multilevel"/>
    <w:tmpl w:val="764A6340"/>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3C21F2"/>
    <w:multiLevelType w:val="multilevel"/>
    <w:tmpl w:val="C6CC2AA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101123"/>
    <w:multiLevelType w:val="hybridMultilevel"/>
    <w:tmpl w:val="1F4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30A9D"/>
    <w:multiLevelType w:val="multilevel"/>
    <w:tmpl w:val="0F6CEA14"/>
    <w:name w:val="StandardNumberedList"/>
    <w:lvl w:ilvl="0">
      <w:start w:val="1"/>
      <w:numFmt w:val="decimal"/>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B02CE7"/>
    <w:multiLevelType w:val="hybridMultilevel"/>
    <w:tmpl w:val="4A9CA388"/>
    <w:lvl w:ilvl="0" w:tplc="BDC49B2A">
      <w:start w:val="1"/>
      <w:numFmt w:val="lowerLetter"/>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34" w15:restartNumberingAfterBreak="0">
    <w:nsid w:val="7D590ED9"/>
    <w:multiLevelType w:val="hybridMultilevel"/>
    <w:tmpl w:val="A92457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2"/>
  </w:num>
  <w:num w:numId="2">
    <w:abstractNumId w:val="7"/>
  </w:num>
  <w:num w:numId="3">
    <w:abstractNumId w:val="19"/>
  </w:num>
  <w:num w:numId="4">
    <w:abstractNumId w:val="0"/>
  </w:num>
  <w:num w:numId="5">
    <w:abstractNumId w:val="27"/>
  </w:num>
  <w:num w:numId="6">
    <w:abstractNumId w:val="13"/>
  </w:num>
  <w:num w:numId="7">
    <w:abstractNumId w:val="25"/>
  </w:num>
  <w:num w:numId="8">
    <w:abstractNumId w:val="1"/>
  </w:num>
  <w:num w:numId="9">
    <w:abstractNumId w:val="2"/>
  </w:num>
  <w:num w:numId="10">
    <w:abstractNumId w:val="23"/>
  </w:num>
  <w:num w:numId="11">
    <w:abstractNumId w:val="17"/>
  </w:num>
  <w:num w:numId="12">
    <w:abstractNumId w:val="16"/>
  </w:num>
  <w:num w:numId="13">
    <w:abstractNumId w:val="15"/>
  </w:num>
  <w:num w:numId="14">
    <w:abstractNumId w:val="12"/>
  </w:num>
  <w:num w:numId="15">
    <w:abstractNumId w:val="30"/>
  </w:num>
  <w:num w:numId="16">
    <w:abstractNumId w:val="10"/>
  </w:num>
  <w:num w:numId="17">
    <w:abstractNumId w:val="22"/>
  </w:num>
  <w:num w:numId="18">
    <w:abstractNumId w:val="29"/>
  </w:num>
  <w:num w:numId="19">
    <w:abstractNumId w:val="3"/>
  </w:num>
  <w:num w:numId="20">
    <w:abstractNumId w:val="14"/>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21"/>
  </w:num>
  <w:num w:numId="26">
    <w:abstractNumId w:val="6"/>
  </w:num>
  <w:num w:numId="27">
    <w:abstractNumId w:val="34"/>
  </w:num>
  <w:num w:numId="28">
    <w:abstractNumId w:val="28"/>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5"/>
  </w:num>
  <w:num w:numId="41">
    <w:abstractNumId w:val="33"/>
  </w:num>
  <w:num w:numId="42">
    <w:abstractNumId w:val="18"/>
  </w:num>
  <w:num w:numId="43">
    <w:abstractNumId w:val="18"/>
    <w:lvlOverride w:ilvl="0">
      <w:lvl w:ilvl="0">
        <w:start w:val="1"/>
        <w:numFmt w:val="decimal"/>
        <w:suff w:val="space"/>
        <w:lvlText w:val="%1. "/>
        <w:lvlJc w:val="left"/>
        <w:pPr>
          <w:ind w:left="0" w:firstLine="0"/>
        </w:pPr>
        <w:rPr>
          <w:rFonts w:ascii="Times New Roman" w:hAnsi="Times New Roman" w:hint="default"/>
          <w:b/>
          <w:i w:val="0"/>
          <w:sz w:val="24"/>
          <w:u w:val="none"/>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abstractNumId w:val="11"/>
  </w:num>
  <w:num w:numId="45">
    <w:abstractNumId w:val="24"/>
  </w:num>
  <w:num w:numId="46">
    <w:abstractNumId w:val="9"/>
  </w:num>
  <w:num w:numId="47">
    <w:abstractNumId w:val="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 w:id="1"/>
  </w:footnotePr>
  <w:endnotePr>
    <w:numFmt w:val="decimal"/>
    <w:numStart w:val="12"/>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S IE statemen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2vv20d1aaa9jexxslpvsadd5vax9svx2v9&quot;&gt;200502 goderich synced&lt;record-ids&gt;&lt;item&gt;1196&lt;/item&gt;&lt;item&gt;1241&lt;/item&gt;&lt;item&gt;2137&lt;/item&gt;&lt;item&gt;2150&lt;/item&gt;&lt;item&gt;3689&lt;/item&gt;&lt;item&gt;5223&lt;/item&gt;&lt;item&gt;5226&lt;/item&gt;&lt;item&gt;5308&lt;/item&gt;&lt;item&gt;5395&lt;/item&gt;&lt;item&gt;5602&lt;/item&gt;&lt;item&gt;5747&lt;/item&gt;&lt;item&gt;5802&lt;/item&gt;&lt;item&gt;6401&lt;/item&gt;&lt;item&gt;6402&lt;/item&gt;&lt;item&gt;6633&lt;/item&gt;&lt;item&gt;6703&lt;/item&gt;&lt;item&gt;6704&lt;/item&gt;&lt;item&gt;6729&lt;/item&gt;&lt;item&gt;6731&lt;/item&gt;&lt;item&gt;9114&lt;/item&gt;&lt;item&gt;9150&lt;/item&gt;&lt;item&gt;9160&lt;/item&gt;&lt;item&gt;9173&lt;/item&gt;&lt;item&gt;11004&lt;/item&gt;&lt;item&gt;11023&lt;/item&gt;&lt;item&gt;11025&lt;/item&gt;&lt;item&gt;11026&lt;/item&gt;&lt;item&gt;11027&lt;/item&gt;&lt;item&gt;11029&lt;/item&gt;&lt;item&gt;11030&lt;/item&gt;&lt;item&gt;11032&lt;/item&gt;&lt;item&gt;11033&lt;/item&gt;&lt;item&gt;11034&lt;/item&gt;&lt;item&gt;11035&lt;/item&gt;&lt;item&gt;11036&lt;/item&gt;&lt;item&gt;11037&lt;/item&gt;&lt;item&gt;11038&lt;/item&gt;&lt;/record-ids&gt;&lt;/item&gt;&lt;/Libraries&gt;"/>
  </w:docVars>
  <w:rsids>
    <w:rsidRoot w:val="00FD6E77"/>
    <w:rsid w:val="00005269"/>
    <w:rsid w:val="0001655B"/>
    <w:rsid w:val="00021B0C"/>
    <w:rsid w:val="000232B9"/>
    <w:rsid w:val="00025833"/>
    <w:rsid w:val="00026FC7"/>
    <w:rsid w:val="00033F07"/>
    <w:rsid w:val="00036209"/>
    <w:rsid w:val="00043575"/>
    <w:rsid w:val="00044724"/>
    <w:rsid w:val="000512F9"/>
    <w:rsid w:val="000628B5"/>
    <w:rsid w:val="00071121"/>
    <w:rsid w:val="00086F9C"/>
    <w:rsid w:val="00093DD9"/>
    <w:rsid w:val="00097101"/>
    <w:rsid w:val="000A23FB"/>
    <w:rsid w:val="000D7067"/>
    <w:rsid w:val="000D7482"/>
    <w:rsid w:val="000E06EB"/>
    <w:rsid w:val="000E29FE"/>
    <w:rsid w:val="00113ADE"/>
    <w:rsid w:val="001211CE"/>
    <w:rsid w:val="00134F03"/>
    <w:rsid w:val="00141D5F"/>
    <w:rsid w:val="0014373B"/>
    <w:rsid w:val="00144BFA"/>
    <w:rsid w:val="00145613"/>
    <w:rsid w:val="001702E7"/>
    <w:rsid w:val="00173BCC"/>
    <w:rsid w:val="0017569A"/>
    <w:rsid w:val="00175D0D"/>
    <w:rsid w:val="0019588C"/>
    <w:rsid w:val="001A013A"/>
    <w:rsid w:val="001A466F"/>
    <w:rsid w:val="001A5DE4"/>
    <w:rsid w:val="001B479C"/>
    <w:rsid w:val="001B58B9"/>
    <w:rsid w:val="001D3988"/>
    <w:rsid w:val="001E37D1"/>
    <w:rsid w:val="001F6746"/>
    <w:rsid w:val="001F773C"/>
    <w:rsid w:val="002121C1"/>
    <w:rsid w:val="00214763"/>
    <w:rsid w:val="002175FE"/>
    <w:rsid w:val="00225135"/>
    <w:rsid w:val="002260E5"/>
    <w:rsid w:val="0022639F"/>
    <w:rsid w:val="002272FD"/>
    <w:rsid w:val="002414A7"/>
    <w:rsid w:val="00246F5B"/>
    <w:rsid w:val="00257154"/>
    <w:rsid w:val="00281F97"/>
    <w:rsid w:val="00283EA6"/>
    <w:rsid w:val="00293D96"/>
    <w:rsid w:val="0029598F"/>
    <w:rsid w:val="002B4F57"/>
    <w:rsid w:val="002B6D42"/>
    <w:rsid w:val="002D6422"/>
    <w:rsid w:val="002E4F87"/>
    <w:rsid w:val="002F2F13"/>
    <w:rsid w:val="002F4CC2"/>
    <w:rsid w:val="0030364D"/>
    <w:rsid w:val="003223F5"/>
    <w:rsid w:val="00325DAF"/>
    <w:rsid w:val="0033352F"/>
    <w:rsid w:val="003342C5"/>
    <w:rsid w:val="003344D0"/>
    <w:rsid w:val="00343565"/>
    <w:rsid w:val="003509C5"/>
    <w:rsid w:val="003512A1"/>
    <w:rsid w:val="00354FD9"/>
    <w:rsid w:val="00355A11"/>
    <w:rsid w:val="00370A6E"/>
    <w:rsid w:val="003733D8"/>
    <w:rsid w:val="0039024A"/>
    <w:rsid w:val="00391590"/>
    <w:rsid w:val="003A0DB3"/>
    <w:rsid w:val="003A1936"/>
    <w:rsid w:val="003D229D"/>
    <w:rsid w:val="003E5982"/>
    <w:rsid w:val="003E7A58"/>
    <w:rsid w:val="003F0AD6"/>
    <w:rsid w:val="003F5B71"/>
    <w:rsid w:val="004023D2"/>
    <w:rsid w:val="00404F63"/>
    <w:rsid w:val="00405220"/>
    <w:rsid w:val="00406221"/>
    <w:rsid w:val="00411AFF"/>
    <w:rsid w:val="0041382B"/>
    <w:rsid w:val="00432360"/>
    <w:rsid w:val="00432A3A"/>
    <w:rsid w:val="00470F6D"/>
    <w:rsid w:val="0047763B"/>
    <w:rsid w:val="004777E1"/>
    <w:rsid w:val="00495844"/>
    <w:rsid w:val="004A7066"/>
    <w:rsid w:val="004A75EF"/>
    <w:rsid w:val="004B21F0"/>
    <w:rsid w:val="004B2E3F"/>
    <w:rsid w:val="004B79D7"/>
    <w:rsid w:val="004C5AAC"/>
    <w:rsid w:val="004C79B8"/>
    <w:rsid w:val="004D3A89"/>
    <w:rsid w:val="004E03D0"/>
    <w:rsid w:val="004E2F8B"/>
    <w:rsid w:val="004E57D5"/>
    <w:rsid w:val="004F26BC"/>
    <w:rsid w:val="00530EB3"/>
    <w:rsid w:val="005349E7"/>
    <w:rsid w:val="0054026B"/>
    <w:rsid w:val="0054400C"/>
    <w:rsid w:val="00550C19"/>
    <w:rsid w:val="00554CCC"/>
    <w:rsid w:val="005568C7"/>
    <w:rsid w:val="00566773"/>
    <w:rsid w:val="00583369"/>
    <w:rsid w:val="0059157C"/>
    <w:rsid w:val="00593C13"/>
    <w:rsid w:val="005A28D7"/>
    <w:rsid w:val="005A2D4C"/>
    <w:rsid w:val="005A7ABE"/>
    <w:rsid w:val="005B1855"/>
    <w:rsid w:val="005B2840"/>
    <w:rsid w:val="005B55F8"/>
    <w:rsid w:val="005C5889"/>
    <w:rsid w:val="005E19E6"/>
    <w:rsid w:val="005E21BD"/>
    <w:rsid w:val="005E4765"/>
    <w:rsid w:val="00602C91"/>
    <w:rsid w:val="00605D34"/>
    <w:rsid w:val="00607210"/>
    <w:rsid w:val="00611DF4"/>
    <w:rsid w:val="006126B8"/>
    <w:rsid w:val="00625D39"/>
    <w:rsid w:val="00631CDC"/>
    <w:rsid w:val="006342D5"/>
    <w:rsid w:val="00644708"/>
    <w:rsid w:val="006479BF"/>
    <w:rsid w:val="00657862"/>
    <w:rsid w:val="00667BCC"/>
    <w:rsid w:val="00675089"/>
    <w:rsid w:val="0067562A"/>
    <w:rsid w:val="0068609A"/>
    <w:rsid w:val="0068733E"/>
    <w:rsid w:val="00693BBE"/>
    <w:rsid w:val="0069447C"/>
    <w:rsid w:val="006A4780"/>
    <w:rsid w:val="006A7652"/>
    <w:rsid w:val="006B20D4"/>
    <w:rsid w:val="006B32D6"/>
    <w:rsid w:val="006B4972"/>
    <w:rsid w:val="006C09E0"/>
    <w:rsid w:val="006D0912"/>
    <w:rsid w:val="006D16EA"/>
    <w:rsid w:val="006D4AEB"/>
    <w:rsid w:val="006E27CE"/>
    <w:rsid w:val="006E3BDC"/>
    <w:rsid w:val="006E4CCA"/>
    <w:rsid w:val="006E5919"/>
    <w:rsid w:val="006F31E0"/>
    <w:rsid w:val="007001A2"/>
    <w:rsid w:val="007002F5"/>
    <w:rsid w:val="007011AC"/>
    <w:rsid w:val="00710313"/>
    <w:rsid w:val="007169EE"/>
    <w:rsid w:val="00720D42"/>
    <w:rsid w:val="00722479"/>
    <w:rsid w:val="00726F78"/>
    <w:rsid w:val="00731643"/>
    <w:rsid w:val="007344CE"/>
    <w:rsid w:val="00735C96"/>
    <w:rsid w:val="00775C3B"/>
    <w:rsid w:val="00775DC3"/>
    <w:rsid w:val="00782907"/>
    <w:rsid w:val="007853F3"/>
    <w:rsid w:val="00787A44"/>
    <w:rsid w:val="007C1AA5"/>
    <w:rsid w:val="007D1DEC"/>
    <w:rsid w:val="007E5495"/>
    <w:rsid w:val="008130CC"/>
    <w:rsid w:val="0081791D"/>
    <w:rsid w:val="00821C27"/>
    <w:rsid w:val="00833792"/>
    <w:rsid w:val="00841290"/>
    <w:rsid w:val="00845F21"/>
    <w:rsid w:val="008644B2"/>
    <w:rsid w:val="00865155"/>
    <w:rsid w:val="008817E0"/>
    <w:rsid w:val="00885C4F"/>
    <w:rsid w:val="008954E3"/>
    <w:rsid w:val="008962F4"/>
    <w:rsid w:val="008A3E6A"/>
    <w:rsid w:val="008B2CED"/>
    <w:rsid w:val="008B516E"/>
    <w:rsid w:val="008C4036"/>
    <w:rsid w:val="008C6EA4"/>
    <w:rsid w:val="008C7664"/>
    <w:rsid w:val="009040C4"/>
    <w:rsid w:val="009201B3"/>
    <w:rsid w:val="009206E6"/>
    <w:rsid w:val="00922593"/>
    <w:rsid w:val="00923808"/>
    <w:rsid w:val="009359AC"/>
    <w:rsid w:val="009441FF"/>
    <w:rsid w:val="009508AA"/>
    <w:rsid w:val="00952B3D"/>
    <w:rsid w:val="00955DBD"/>
    <w:rsid w:val="00964C02"/>
    <w:rsid w:val="00972978"/>
    <w:rsid w:val="009821BB"/>
    <w:rsid w:val="00995E7C"/>
    <w:rsid w:val="009A5C29"/>
    <w:rsid w:val="009A6760"/>
    <w:rsid w:val="009B2F51"/>
    <w:rsid w:val="009B43FD"/>
    <w:rsid w:val="009B68D4"/>
    <w:rsid w:val="009D4B70"/>
    <w:rsid w:val="009D6249"/>
    <w:rsid w:val="009F1AF3"/>
    <w:rsid w:val="009F2985"/>
    <w:rsid w:val="009F3C8C"/>
    <w:rsid w:val="009F4CA3"/>
    <w:rsid w:val="00A00E01"/>
    <w:rsid w:val="00A01082"/>
    <w:rsid w:val="00A06D3C"/>
    <w:rsid w:val="00A15CCC"/>
    <w:rsid w:val="00A32583"/>
    <w:rsid w:val="00A355DA"/>
    <w:rsid w:val="00A436C1"/>
    <w:rsid w:val="00A5583C"/>
    <w:rsid w:val="00A74D3F"/>
    <w:rsid w:val="00A776FC"/>
    <w:rsid w:val="00A814AE"/>
    <w:rsid w:val="00A81C48"/>
    <w:rsid w:val="00A84215"/>
    <w:rsid w:val="00AC006A"/>
    <w:rsid w:val="00AC451E"/>
    <w:rsid w:val="00AC6407"/>
    <w:rsid w:val="00AC7CAC"/>
    <w:rsid w:val="00AE1AD9"/>
    <w:rsid w:val="00AE39B7"/>
    <w:rsid w:val="00B00623"/>
    <w:rsid w:val="00B06E85"/>
    <w:rsid w:val="00B120A5"/>
    <w:rsid w:val="00B13C2D"/>
    <w:rsid w:val="00B22203"/>
    <w:rsid w:val="00B261AE"/>
    <w:rsid w:val="00B3228E"/>
    <w:rsid w:val="00B32928"/>
    <w:rsid w:val="00B346F0"/>
    <w:rsid w:val="00B45583"/>
    <w:rsid w:val="00B50DA7"/>
    <w:rsid w:val="00B6054A"/>
    <w:rsid w:val="00B6543E"/>
    <w:rsid w:val="00B66051"/>
    <w:rsid w:val="00B72C3E"/>
    <w:rsid w:val="00B80399"/>
    <w:rsid w:val="00B9422D"/>
    <w:rsid w:val="00BA11A0"/>
    <w:rsid w:val="00BA3533"/>
    <w:rsid w:val="00BB211A"/>
    <w:rsid w:val="00BB2226"/>
    <w:rsid w:val="00BE0FC7"/>
    <w:rsid w:val="00BE74E6"/>
    <w:rsid w:val="00BF481A"/>
    <w:rsid w:val="00BF702C"/>
    <w:rsid w:val="00C12ABA"/>
    <w:rsid w:val="00C15684"/>
    <w:rsid w:val="00C33055"/>
    <w:rsid w:val="00C35CD6"/>
    <w:rsid w:val="00C4329F"/>
    <w:rsid w:val="00C60B87"/>
    <w:rsid w:val="00C6377B"/>
    <w:rsid w:val="00C65117"/>
    <w:rsid w:val="00C77A0F"/>
    <w:rsid w:val="00C90119"/>
    <w:rsid w:val="00C922C3"/>
    <w:rsid w:val="00C93F42"/>
    <w:rsid w:val="00C94821"/>
    <w:rsid w:val="00C96EE1"/>
    <w:rsid w:val="00CA04E1"/>
    <w:rsid w:val="00CA1C3B"/>
    <w:rsid w:val="00CA5880"/>
    <w:rsid w:val="00CB1F6E"/>
    <w:rsid w:val="00CB640B"/>
    <w:rsid w:val="00CC77A4"/>
    <w:rsid w:val="00CE42C4"/>
    <w:rsid w:val="00CF0B98"/>
    <w:rsid w:val="00CF3963"/>
    <w:rsid w:val="00D008B1"/>
    <w:rsid w:val="00D03520"/>
    <w:rsid w:val="00D161F5"/>
    <w:rsid w:val="00D224D6"/>
    <w:rsid w:val="00D2405A"/>
    <w:rsid w:val="00D321FF"/>
    <w:rsid w:val="00D33172"/>
    <w:rsid w:val="00D42F03"/>
    <w:rsid w:val="00D47698"/>
    <w:rsid w:val="00D47D04"/>
    <w:rsid w:val="00D51844"/>
    <w:rsid w:val="00D64D15"/>
    <w:rsid w:val="00D76813"/>
    <w:rsid w:val="00D77A2A"/>
    <w:rsid w:val="00D81EF2"/>
    <w:rsid w:val="00D83DA6"/>
    <w:rsid w:val="00D974E8"/>
    <w:rsid w:val="00DA663C"/>
    <w:rsid w:val="00DB5860"/>
    <w:rsid w:val="00DB6777"/>
    <w:rsid w:val="00DB7B34"/>
    <w:rsid w:val="00DC7FB0"/>
    <w:rsid w:val="00DE28CB"/>
    <w:rsid w:val="00DE7565"/>
    <w:rsid w:val="00DF6FFB"/>
    <w:rsid w:val="00E15AE5"/>
    <w:rsid w:val="00E26A1D"/>
    <w:rsid w:val="00E4352A"/>
    <w:rsid w:val="00E44C7F"/>
    <w:rsid w:val="00E7240A"/>
    <w:rsid w:val="00E7651C"/>
    <w:rsid w:val="00E878B1"/>
    <w:rsid w:val="00EA431F"/>
    <w:rsid w:val="00EA7C5A"/>
    <w:rsid w:val="00EB5B9E"/>
    <w:rsid w:val="00EC299D"/>
    <w:rsid w:val="00EC4867"/>
    <w:rsid w:val="00EC7F38"/>
    <w:rsid w:val="00ED1EDA"/>
    <w:rsid w:val="00ED7B53"/>
    <w:rsid w:val="00EE54B3"/>
    <w:rsid w:val="00EF0F7E"/>
    <w:rsid w:val="00EF310B"/>
    <w:rsid w:val="00EF324B"/>
    <w:rsid w:val="00F065F3"/>
    <w:rsid w:val="00F153D6"/>
    <w:rsid w:val="00F21E01"/>
    <w:rsid w:val="00F21F78"/>
    <w:rsid w:val="00F23AA2"/>
    <w:rsid w:val="00F23DCF"/>
    <w:rsid w:val="00F25E45"/>
    <w:rsid w:val="00F27E29"/>
    <w:rsid w:val="00F3143C"/>
    <w:rsid w:val="00F41A37"/>
    <w:rsid w:val="00F46BA8"/>
    <w:rsid w:val="00F50F0B"/>
    <w:rsid w:val="00F550E9"/>
    <w:rsid w:val="00F772E6"/>
    <w:rsid w:val="00F91D69"/>
    <w:rsid w:val="00F94096"/>
    <w:rsid w:val="00F945A9"/>
    <w:rsid w:val="00FB09DF"/>
    <w:rsid w:val="00FB1E08"/>
    <w:rsid w:val="00FB3699"/>
    <w:rsid w:val="00FB7D24"/>
    <w:rsid w:val="00FC2621"/>
    <w:rsid w:val="00FD0074"/>
    <w:rsid w:val="00FD2133"/>
    <w:rsid w:val="00FD6E77"/>
    <w:rsid w:val="00FE0EF0"/>
    <w:rsid w:val="00FF0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77"/>
    <w:pPr>
      <w:spacing w:after="200" w:line="276" w:lineRule="auto"/>
    </w:pPr>
  </w:style>
  <w:style w:type="paragraph" w:styleId="Heading1">
    <w:name w:val="heading 1"/>
    <w:basedOn w:val="Normal"/>
    <w:next w:val="Normal"/>
    <w:link w:val="Heading1Char"/>
    <w:uiPriority w:val="9"/>
    <w:qFormat/>
    <w:rsid w:val="00FD6E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D6E77"/>
    <w:pPr>
      <w:keepNext/>
      <w:keepLines/>
      <w:numPr>
        <w:ilvl w:val="1"/>
        <w:numId w:val="3"/>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D6E77"/>
    <w:pPr>
      <w:keepNext/>
      <w:keepLines/>
      <w:numPr>
        <w:ilvl w:val="2"/>
        <w:numId w:val="3"/>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D6E7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6E7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6E7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6E7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6E7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E7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E7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D6E7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D6E7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D6E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6E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6E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6E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6E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E7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D6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E77"/>
  </w:style>
  <w:style w:type="paragraph" w:styleId="Footer">
    <w:name w:val="footer"/>
    <w:basedOn w:val="Normal"/>
    <w:link w:val="FooterChar"/>
    <w:uiPriority w:val="99"/>
    <w:unhideWhenUsed/>
    <w:rsid w:val="00FD6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E77"/>
  </w:style>
  <w:style w:type="paragraph" w:styleId="Title">
    <w:name w:val="Title"/>
    <w:basedOn w:val="Normal"/>
    <w:next w:val="Normal"/>
    <w:link w:val="TitleChar"/>
    <w:uiPriority w:val="10"/>
    <w:qFormat/>
    <w:rsid w:val="00FD6E7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6E77"/>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D6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FD6E77"/>
    <w:pPr>
      <w:spacing w:after="0" w:line="240" w:lineRule="auto"/>
    </w:pPr>
    <w:rPr>
      <w:sz w:val="18"/>
    </w:rPr>
  </w:style>
  <w:style w:type="character" w:customStyle="1" w:styleId="OutlineNumbered1Char">
    <w:name w:val="Outline Numbered 1 Char"/>
    <w:basedOn w:val="DefaultParagraphFont"/>
    <w:link w:val="OutlineNumbered1"/>
    <w:rsid w:val="00FD6E77"/>
    <w:rPr>
      <w:sz w:val="18"/>
    </w:rPr>
  </w:style>
  <w:style w:type="paragraph" w:customStyle="1" w:styleId="OutlineNumbered2">
    <w:name w:val="Outline Numbered 2"/>
    <w:basedOn w:val="Normal"/>
    <w:link w:val="OutlineNumbered2Char"/>
    <w:rsid w:val="00FD6E77"/>
    <w:pPr>
      <w:numPr>
        <w:ilvl w:val="1"/>
        <w:numId w:val="1"/>
      </w:numPr>
      <w:spacing w:after="0" w:line="240" w:lineRule="auto"/>
    </w:pPr>
    <w:rPr>
      <w:sz w:val="18"/>
    </w:rPr>
  </w:style>
  <w:style w:type="character" w:customStyle="1" w:styleId="OutlineNumbered2Char">
    <w:name w:val="Outline Numbered 2 Char"/>
    <w:basedOn w:val="DefaultParagraphFont"/>
    <w:link w:val="OutlineNumbered2"/>
    <w:rsid w:val="00FD6E77"/>
    <w:rPr>
      <w:sz w:val="18"/>
    </w:rPr>
  </w:style>
  <w:style w:type="paragraph" w:customStyle="1" w:styleId="OutlineNumbered3">
    <w:name w:val="Outline Numbered 3"/>
    <w:basedOn w:val="Normal"/>
    <w:link w:val="OutlineNumbered3Char"/>
    <w:rsid w:val="00FD6E77"/>
    <w:pPr>
      <w:numPr>
        <w:ilvl w:val="2"/>
        <w:numId w:val="1"/>
      </w:numPr>
      <w:spacing w:after="0" w:line="240" w:lineRule="auto"/>
    </w:pPr>
    <w:rPr>
      <w:sz w:val="18"/>
    </w:rPr>
  </w:style>
  <w:style w:type="character" w:customStyle="1" w:styleId="OutlineNumbered3Char">
    <w:name w:val="Outline Numbered 3 Char"/>
    <w:basedOn w:val="DefaultParagraphFont"/>
    <w:link w:val="OutlineNumbered3"/>
    <w:rsid w:val="00FD6E77"/>
    <w:rPr>
      <w:sz w:val="18"/>
    </w:rPr>
  </w:style>
  <w:style w:type="paragraph" w:customStyle="1" w:styleId="Bullet">
    <w:name w:val="Bullet"/>
    <w:basedOn w:val="Normal"/>
    <w:link w:val="BulletChar"/>
    <w:rsid w:val="00FD6E77"/>
    <w:pPr>
      <w:numPr>
        <w:numId w:val="2"/>
      </w:numPr>
      <w:spacing w:after="0" w:line="240" w:lineRule="auto"/>
    </w:pPr>
    <w:rPr>
      <w:sz w:val="18"/>
    </w:rPr>
  </w:style>
  <w:style w:type="character" w:customStyle="1" w:styleId="BulletChar">
    <w:name w:val="Bullet Char"/>
    <w:basedOn w:val="DefaultParagraphFont"/>
    <w:link w:val="Bullet"/>
    <w:rsid w:val="00FD6E77"/>
    <w:rPr>
      <w:sz w:val="18"/>
    </w:rPr>
  </w:style>
  <w:style w:type="paragraph" w:customStyle="1" w:styleId="Dash">
    <w:name w:val="Dash"/>
    <w:basedOn w:val="Normal"/>
    <w:link w:val="DashChar"/>
    <w:rsid w:val="00FD6E77"/>
    <w:pPr>
      <w:numPr>
        <w:ilvl w:val="1"/>
        <w:numId w:val="2"/>
      </w:numPr>
      <w:spacing w:after="0" w:line="240" w:lineRule="auto"/>
    </w:pPr>
    <w:rPr>
      <w:sz w:val="18"/>
    </w:rPr>
  </w:style>
  <w:style w:type="character" w:customStyle="1" w:styleId="DashChar">
    <w:name w:val="Dash Char"/>
    <w:basedOn w:val="DefaultParagraphFont"/>
    <w:link w:val="Dash"/>
    <w:rsid w:val="00FD6E77"/>
    <w:rPr>
      <w:sz w:val="18"/>
    </w:rPr>
  </w:style>
  <w:style w:type="paragraph" w:customStyle="1" w:styleId="DoubleDot">
    <w:name w:val="Double Dot"/>
    <w:basedOn w:val="Normal"/>
    <w:link w:val="DoubleDotChar"/>
    <w:rsid w:val="00FD6E77"/>
    <w:pPr>
      <w:numPr>
        <w:ilvl w:val="2"/>
        <w:numId w:val="2"/>
      </w:numPr>
      <w:spacing w:after="0" w:line="240" w:lineRule="auto"/>
    </w:pPr>
    <w:rPr>
      <w:sz w:val="18"/>
    </w:rPr>
  </w:style>
  <w:style w:type="character" w:customStyle="1" w:styleId="DoubleDotChar">
    <w:name w:val="Double Dot Char"/>
    <w:basedOn w:val="DefaultParagraphFont"/>
    <w:link w:val="DoubleDot"/>
    <w:rsid w:val="00FD6E77"/>
    <w:rPr>
      <w:sz w:val="18"/>
    </w:rPr>
  </w:style>
  <w:style w:type="character" w:styleId="Hyperlink">
    <w:name w:val="Hyperlink"/>
    <w:basedOn w:val="DefaultParagraphFont"/>
    <w:uiPriority w:val="99"/>
    <w:unhideWhenUsed/>
    <w:rsid w:val="00FD6E77"/>
    <w:rPr>
      <w:color w:val="0563C1" w:themeColor="hyperlink"/>
      <w:u w:val="single"/>
    </w:rPr>
  </w:style>
  <w:style w:type="character" w:styleId="CommentReference">
    <w:name w:val="annotation reference"/>
    <w:basedOn w:val="DefaultParagraphFont"/>
    <w:uiPriority w:val="99"/>
    <w:semiHidden/>
    <w:unhideWhenUsed/>
    <w:rsid w:val="00FD6E77"/>
    <w:rPr>
      <w:sz w:val="16"/>
      <w:szCs w:val="16"/>
    </w:rPr>
  </w:style>
  <w:style w:type="paragraph" w:styleId="CommentText">
    <w:name w:val="annotation text"/>
    <w:basedOn w:val="Normal"/>
    <w:link w:val="CommentTextChar"/>
    <w:uiPriority w:val="99"/>
    <w:unhideWhenUsed/>
    <w:rsid w:val="00FD6E77"/>
    <w:pPr>
      <w:spacing w:line="240" w:lineRule="auto"/>
    </w:pPr>
    <w:rPr>
      <w:sz w:val="20"/>
      <w:szCs w:val="20"/>
    </w:rPr>
  </w:style>
  <w:style w:type="character" w:customStyle="1" w:styleId="CommentTextChar">
    <w:name w:val="Comment Text Char"/>
    <w:basedOn w:val="DefaultParagraphFont"/>
    <w:link w:val="CommentText"/>
    <w:uiPriority w:val="99"/>
    <w:rsid w:val="00FD6E77"/>
    <w:rPr>
      <w:sz w:val="20"/>
      <w:szCs w:val="20"/>
    </w:rPr>
  </w:style>
  <w:style w:type="paragraph" w:styleId="CommentSubject">
    <w:name w:val="annotation subject"/>
    <w:basedOn w:val="CommentText"/>
    <w:next w:val="CommentText"/>
    <w:link w:val="CommentSubjectChar"/>
    <w:uiPriority w:val="99"/>
    <w:semiHidden/>
    <w:unhideWhenUsed/>
    <w:rsid w:val="00FD6E77"/>
    <w:rPr>
      <w:b/>
      <w:bCs/>
    </w:rPr>
  </w:style>
  <w:style w:type="character" w:customStyle="1" w:styleId="CommentSubjectChar">
    <w:name w:val="Comment Subject Char"/>
    <w:basedOn w:val="CommentTextChar"/>
    <w:link w:val="CommentSubject"/>
    <w:uiPriority w:val="99"/>
    <w:semiHidden/>
    <w:rsid w:val="00FD6E77"/>
    <w:rPr>
      <w:b/>
      <w:bCs/>
      <w:sz w:val="20"/>
      <w:szCs w:val="20"/>
    </w:rPr>
  </w:style>
  <w:style w:type="paragraph" w:styleId="BalloonText">
    <w:name w:val="Balloon Text"/>
    <w:basedOn w:val="Normal"/>
    <w:link w:val="BalloonTextChar"/>
    <w:uiPriority w:val="99"/>
    <w:semiHidden/>
    <w:unhideWhenUsed/>
    <w:rsid w:val="00FD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77"/>
    <w:rPr>
      <w:rFonts w:ascii="Tahoma" w:hAnsi="Tahoma" w:cs="Tahoma"/>
      <w:sz w:val="16"/>
      <w:szCs w:val="16"/>
    </w:rPr>
  </w:style>
  <w:style w:type="paragraph" w:styleId="TOCHeading">
    <w:name w:val="TOC Heading"/>
    <w:basedOn w:val="Heading1"/>
    <w:next w:val="Normal"/>
    <w:uiPriority w:val="39"/>
    <w:semiHidden/>
    <w:unhideWhenUsed/>
    <w:qFormat/>
    <w:rsid w:val="00FD6E77"/>
    <w:pPr>
      <w:outlineLvl w:val="9"/>
    </w:pPr>
    <w:rPr>
      <w:lang w:val="en-US" w:eastAsia="ja-JP"/>
    </w:rPr>
  </w:style>
  <w:style w:type="paragraph" w:styleId="TOC1">
    <w:name w:val="toc 1"/>
    <w:basedOn w:val="Normal"/>
    <w:next w:val="Normal"/>
    <w:autoRedefine/>
    <w:uiPriority w:val="39"/>
    <w:unhideWhenUsed/>
    <w:rsid w:val="00FD6E77"/>
    <w:pPr>
      <w:spacing w:before="240" w:after="0" w:line="240" w:lineRule="auto"/>
    </w:pPr>
    <w:rPr>
      <w:rFonts w:ascii="Century Gothic" w:hAnsi="Century Gothic"/>
      <w:b/>
      <w:sz w:val="20"/>
    </w:rPr>
  </w:style>
  <w:style w:type="paragraph" w:styleId="TOC2">
    <w:name w:val="toc 2"/>
    <w:basedOn w:val="Normal"/>
    <w:next w:val="Normal"/>
    <w:autoRedefine/>
    <w:uiPriority w:val="39"/>
    <w:unhideWhenUsed/>
    <w:rsid w:val="00FD6E77"/>
    <w:pPr>
      <w:spacing w:before="120" w:after="0" w:line="240" w:lineRule="auto"/>
      <w:ind w:left="221"/>
    </w:pPr>
    <w:rPr>
      <w:rFonts w:ascii="Century Gothic" w:hAnsi="Century Gothic"/>
      <w:i/>
      <w:sz w:val="20"/>
    </w:rPr>
  </w:style>
  <w:style w:type="paragraph" w:styleId="TOC3">
    <w:name w:val="toc 3"/>
    <w:basedOn w:val="Normal"/>
    <w:next w:val="Normal"/>
    <w:autoRedefine/>
    <w:uiPriority w:val="39"/>
    <w:unhideWhenUsed/>
    <w:rsid w:val="00FE0EF0"/>
    <w:pPr>
      <w:tabs>
        <w:tab w:val="right" w:leader="dot" w:pos="9628"/>
      </w:tabs>
      <w:spacing w:before="60" w:after="0" w:line="240" w:lineRule="auto"/>
      <w:ind w:left="442"/>
    </w:pPr>
    <w:rPr>
      <w:rFonts w:ascii="Century Gothic" w:hAnsi="Century Gothic"/>
      <w:sz w:val="20"/>
    </w:rPr>
  </w:style>
  <w:style w:type="paragraph" w:styleId="FootnoteText">
    <w:name w:val="footnote text"/>
    <w:basedOn w:val="Normal"/>
    <w:link w:val="FootnoteTextChar"/>
    <w:uiPriority w:val="99"/>
    <w:unhideWhenUsed/>
    <w:rsid w:val="00FD6E77"/>
    <w:pPr>
      <w:spacing w:after="0" w:line="240" w:lineRule="auto"/>
    </w:pPr>
    <w:rPr>
      <w:sz w:val="20"/>
      <w:szCs w:val="20"/>
    </w:rPr>
  </w:style>
  <w:style w:type="character" w:customStyle="1" w:styleId="FootnoteTextChar">
    <w:name w:val="Footnote Text Char"/>
    <w:basedOn w:val="DefaultParagraphFont"/>
    <w:link w:val="FootnoteText"/>
    <w:uiPriority w:val="99"/>
    <w:rsid w:val="00FD6E77"/>
    <w:rPr>
      <w:sz w:val="20"/>
      <w:szCs w:val="20"/>
    </w:rPr>
  </w:style>
  <w:style w:type="character" w:styleId="FootnoteReference">
    <w:name w:val="footnote reference"/>
    <w:basedOn w:val="DefaultParagraphFont"/>
    <w:uiPriority w:val="99"/>
    <w:semiHidden/>
    <w:unhideWhenUsed/>
    <w:rsid w:val="00FD6E77"/>
    <w:rPr>
      <w:vertAlign w:val="superscript"/>
    </w:rPr>
  </w:style>
  <w:style w:type="paragraph" w:styleId="Revision">
    <w:name w:val="Revision"/>
    <w:hidden/>
    <w:uiPriority w:val="99"/>
    <w:semiHidden/>
    <w:rsid w:val="00FD6E77"/>
    <w:pPr>
      <w:spacing w:after="0" w:line="240" w:lineRule="auto"/>
    </w:pPr>
  </w:style>
  <w:style w:type="character" w:styleId="FollowedHyperlink">
    <w:name w:val="FollowedHyperlink"/>
    <w:basedOn w:val="DefaultParagraphFont"/>
    <w:uiPriority w:val="99"/>
    <w:semiHidden/>
    <w:unhideWhenUsed/>
    <w:rsid w:val="00FD6E77"/>
    <w:rPr>
      <w:color w:val="954F72" w:themeColor="followedHyperlink"/>
      <w:u w:val="single"/>
    </w:rPr>
  </w:style>
  <w:style w:type="paragraph" w:styleId="ListParagraph">
    <w:name w:val="List Paragraph"/>
    <w:basedOn w:val="Normal"/>
    <w:uiPriority w:val="34"/>
    <w:qFormat/>
    <w:rsid w:val="00FD6E77"/>
    <w:pPr>
      <w:ind w:left="720"/>
      <w:contextualSpacing/>
    </w:pPr>
  </w:style>
  <w:style w:type="paragraph" w:customStyle="1" w:styleId="Default">
    <w:name w:val="Default"/>
    <w:rsid w:val="00FD6E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D6E7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FD6E77"/>
    <w:rPr>
      <w:color w:val="605E5C"/>
      <w:shd w:val="clear" w:color="auto" w:fill="E1DFDD"/>
    </w:rPr>
  </w:style>
  <w:style w:type="paragraph" w:customStyle="1" w:styleId="resp-tab-item">
    <w:name w:val="resp-tab-item"/>
    <w:basedOn w:val="Normal"/>
    <w:rsid w:val="00FD6E7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FD6E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FD6E77"/>
    <w:rPr>
      <w:color w:val="605E5C"/>
      <w:shd w:val="clear" w:color="auto" w:fill="E1DFDD"/>
    </w:rPr>
  </w:style>
  <w:style w:type="paragraph" w:styleId="EndnoteText">
    <w:name w:val="endnote text"/>
    <w:basedOn w:val="Normal"/>
    <w:link w:val="EndnoteTextChar"/>
    <w:uiPriority w:val="99"/>
    <w:unhideWhenUsed/>
    <w:rsid w:val="00FD6E77"/>
    <w:pPr>
      <w:spacing w:after="0" w:line="240" w:lineRule="auto"/>
    </w:pPr>
    <w:rPr>
      <w:sz w:val="20"/>
      <w:szCs w:val="20"/>
    </w:rPr>
  </w:style>
  <w:style w:type="character" w:customStyle="1" w:styleId="EndnoteTextChar">
    <w:name w:val="Endnote Text Char"/>
    <w:basedOn w:val="DefaultParagraphFont"/>
    <w:link w:val="EndnoteText"/>
    <w:uiPriority w:val="99"/>
    <w:rsid w:val="00FD6E77"/>
    <w:rPr>
      <w:sz w:val="20"/>
      <w:szCs w:val="20"/>
    </w:rPr>
  </w:style>
  <w:style w:type="character" w:styleId="EndnoteReference">
    <w:name w:val="endnote reference"/>
    <w:basedOn w:val="DefaultParagraphFont"/>
    <w:uiPriority w:val="99"/>
    <w:semiHidden/>
    <w:unhideWhenUsed/>
    <w:rsid w:val="00FD6E77"/>
    <w:rPr>
      <w:vertAlign w:val="superscript"/>
    </w:rPr>
  </w:style>
  <w:style w:type="paragraph" w:customStyle="1" w:styleId="EndNoteBibliographyTitle">
    <w:name w:val="EndNote Bibliography Title"/>
    <w:basedOn w:val="Normal"/>
    <w:link w:val="EndNoteBibliographyTitleChar"/>
    <w:rsid w:val="00FD6E77"/>
    <w:pPr>
      <w:spacing w:after="0"/>
      <w:jc w:val="center"/>
    </w:pPr>
    <w:rPr>
      <w:rFonts w:ascii="Calibri" w:hAnsi="Calibri" w:cs="Calibri"/>
      <w:noProof/>
      <w:szCs w:val="20"/>
      <w:lang w:val="en-US"/>
    </w:rPr>
  </w:style>
  <w:style w:type="character" w:customStyle="1" w:styleId="EndNoteBibliographyTitleChar">
    <w:name w:val="EndNote Bibliography Title Char"/>
    <w:basedOn w:val="FootnoteTextChar"/>
    <w:link w:val="EndNoteBibliographyTitle"/>
    <w:rsid w:val="00FD6E77"/>
    <w:rPr>
      <w:rFonts w:ascii="Calibri" w:hAnsi="Calibri" w:cs="Calibri"/>
      <w:noProof/>
      <w:sz w:val="20"/>
      <w:szCs w:val="20"/>
      <w:lang w:val="en-US"/>
    </w:rPr>
  </w:style>
  <w:style w:type="paragraph" w:customStyle="1" w:styleId="EndNoteBibliography">
    <w:name w:val="EndNote Bibliography"/>
    <w:basedOn w:val="Normal"/>
    <w:link w:val="EndNoteBibliographyChar"/>
    <w:rsid w:val="00FD6E77"/>
    <w:pPr>
      <w:spacing w:line="240" w:lineRule="auto"/>
      <w:jc w:val="both"/>
    </w:pPr>
    <w:rPr>
      <w:rFonts w:ascii="Calibri" w:hAnsi="Calibri" w:cs="Calibri"/>
      <w:noProof/>
      <w:szCs w:val="20"/>
      <w:lang w:val="en-US"/>
    </w:rPr>
  </w:style>
  <w:style w:type="character" w:customStyle="1" w:styleId="EndNoteBibliographyChar">
    <w:name w:val="EndNote Bibliography Char"/>
    <w:basedOn w:val="FootnoteTextChar"/>
    <w:link w:val="EndNoteBibliography"/>
    <w:rsid w:val="00FD6E77"/>
    <w:rPr>
      <w:rFonts w:ascii="Calibri" w:hAnsi="Calibri" w:cs="Calibri"/>
      <w:noProof/>
      <w:sz w:val="20"/>
      <w:szCs w:val="20"/>
      <w:lang w:val="en-US"/>
    </w:rPr>
  </w:style>
  <w:style w:type="character" w:customStyle="1" w:styleId="UnresolvedMention3">
    <w:name w:val="Unresolved Mention3"/>
    <w:basedOn w:val="DefaultParagraphFont"/>
    <w:uiPriority w:val="99"/>
    <w:semiHidden/>
    <w:unhideWhenUsed/>
    <w:rsid w:val="00FD6E77"/>
    <w:rPr>
      <w:color w:val="605E5C"/>
      <w:shd w:val="clear" w:color="auto" w:fill="E1DFDD"/>
    </w:rPr>
  </w:style>
  <w:style w:type="paragraph" w:customStyle="1" w:styleId="AlphaParagraph">
    <w:name w:val="Alpha Paragraph"/>
    <w:basedOn w:val="Normal"/>
    <w:qFormat/>
    <w:rsid w:val="00FD6E77"/>
    <w:pPr>
      <w:numPr>
        <w:ilvl w:val="1"/>
        <w:numId w:val="14"/>
      </w:numPr>
      <w:spacing w:after="240" w:line="280" w:lineRule="exact"/>
      <w:jc w:val="both"/>
    </w:pPr>
    <w:rPr>
      <w:rFonts w:ascii="Century Gothic" w:eastAsia="Times New Roman" w:hAnsi="Century Gothic" w:cs="Times New Roman"/>
      <w:color w:val="000000" w:themeColor="text1"/>
      <w:lang w:eastAsia="en-AU"/>
    </w:rPr>
  </w:style>
  <w:style w:type="paragraph" w:customStyle="1" w:styleId="Romannumeral">
    <w:name w:val="Roman numeral"/>
    <w:basedOn w:val="Normal"/>
    <w:rsid w:val="00FD6E77"/>
    <w:pPr>
      <w:numPr>
        <w:numId w:val="14"/>
      </w:numPr>
      <w:spacing w:after="240" w:line="280" w:lineRule="exact"/>
      <w:jc w:val="both"/>
    </w:pPr>
    <w:rPr>
      <w:rFonts w:ascii="Century Gothic" w:eastAsia="Times New Roman" w:hAnsi="Century Gothic" w:cs="Times New Roman"/>
      <w:color w:val="000000" w:themeColor="text1"/>
      <w:lang w:eastAsia="en-AU"/>
    </w:rPr>
  </w:style>
  <w:style w:type="numbering" w:customStyle="1" w:styleId="BulletedList">
    <w:name w:val="Bulleted List"/>
    <w:uiPriority w:val="99"/>
    <w:rsid w:val="00FD6E77"/>
    <w:pPr>
      <w:numPr>
        <w:numId w:val="13"/>
      </w:numPr>
    </w:pPr>
  </w:style>
  <w:style w:type="paragraph" w:customStyle="1" w:styleId="ReportDate">
    <w:name w:val="Report Date"/>
    <w:basedOn w:val="Normal"/>
    <w:link w:val="ReportDateChar"/>
    <w:rsid w:val="00FD6E77"/>
    <w:pPr>
      <w:keepNext/>
      <w:spacing w:before="240" w:after="120" w:line="240" w:lineRule="auto"/>
      <w:ind w:right="142"/>
      <w:jc w:val="right"/>
    </w:pPr>
    <w:rPr>
      <w:rFonts w:ascii="Century Gothic" w:eastAsia="Times New Roman" w:hAnsi="Century Gothic" w:cs="Times New Roman"/>
      <w:color w:val="5B5E60"/>
      <w:sz w:val="28"/>
      <w:lang w:eastAsia="en-AU"/>
    </w:rPr>
  </w:style>
  <w:style w:type="paragraph" w:styleId="Subtitle">
    <w:name w:val="Subtitle"/>
    <w:next w:val="Normal"/>
    <w:link w:val="SubtitleChar"/>
    <w:uiPriority w:val="11"/>
    <w:qFormat/>
    <w:rsid w:val="00FD6E77"/>
    <w:pPr>
      <w:spacing w:before="120" w:after="60" w:line="240" w:lineRule="auto"/>
    </w:pPr>
    <w:rPr>
      <w:rFonts w:ascii="Century Gothic" w:eastAsia="Times New Roman" w:hAnsi="Century Gothic" w:cs="Times New Roman"/>
      <w:noProof/>
      <w:color w:val="5B5E60"/>
      <w:sz w:val="36"/>
      <w:szCs w:val="24"/>
      <w:lang w:eastAsia="en-AU"/>
    </w:rPr>
  </w:style>
  <w:style w:type="character" w:customStyle="1" w:styleId="SubtitleChar">
    <w:name w:val="Subtitle Char"/>
    <w:basedOn w:val="DefaultParagraphFont"/>
    <w:link w:val="Subtitle"/>
    <w:uiPriority w:val="11"/>
    <w:rsid w:val="00FD6E77"/>
    <w:rPr>
      <w:rFonts w:ascii="Century Gothic" w:eastAsia="Times New Roman" w:hAnsi="Century Gothic" w:cs="Times New Roman"/>
      <w:noProof/>
      <w:color w:val="5B5E60"/>
      <w:sz w:val="36"/>
      <w:szCs w:val="24"/>
      <w:lang w:eastAsia="en-AU"/>
    </w:rPr>
  </w:style>
  <w:style w:type="character" w:customStyle="1" w:styleId="ReportDateChar">
    <w:name w:val="Report Date Char"/>
    <w:basedOn w:val="DefaultParagraphFont"/>
    <w:link w:val="ReportDate"/>
    <w:rsid w:val="00FD6E77"/>
    <w:rPr>
      <w:rFonts w:ascii="Century Gothic" w:eastAsia="Times New Roman" w:hAnsi="Century Gothic" w:cs="Times New Roman"/>
      <w:color w:val="5B5E60"/>
      <w:sz w:val="28"/>
      <w:lang w:eastAsia="en-AU"/>
    </w:rPr>
  </w:style>
  <w:style w:type="paragraph" w:customStyle="1" w:styleId="TableGraphic">
    <w:name w:val="Table Graphic"/>
    <w:basedOn w:val="Normal"/>
    <w:next w:val="Normal"/>
    <w:qFormat/>
    <w:rsid w:val="00FD6E77"/>
    <w:pPr>
      <w:keepNext/>
      <w:spacing w:after="0" w:line="240" w:lineRule="auto"/>
    </w:pPr>
    <w:rPr>
      <w:rFonts w:ascii="Calibri" w:eastAsia="Times New Roman" w:hAnsi="Calibri" w:cs="Arial"/>
      <w:bCs/>
      <w:color w:val="004A7F"/>
      <w:kern w:val="32"/>
      <w:sz w:val="48"/>
      <w:szCs w:val="36"/>
      <w:lang w:eastAsia="en-AU"/>
    </w:rPr>
  </w:style>
  <w:style w:type="paragraph" w:customStyle="1" w:styleId="SubSubTitle">
    <w:name w:val="SubSubTitle"/>
    <w:basedOn w:val="Normal"/>
    <w:rsid w:val="00FD6E77"/>
    <w:pPr>
      <w:spacing w:after="960" w:line="240" w:lineRule="auto"/>
      <w:ind w:left="170"/>
      <w:jc w:val="both"/>
    </w:pPr>
    <w:rPr>
      <w:rFonts w:ascii="Futura Bk BT" w:eastAsiaTheme="minorEastAsia" w:hAnsi="Futura Bk BT"/>
      <w:color w:val="5B5E60"/>
      <w:sz w:val="24"/>
      <w:szCs w:val="26"/>
      <w:lang w:val="en-US" w:eastAsia="ja-JP"/>
    </w:rPr>
  </w:style>
  <w:style w:type="paragraph" w:customStyle="1" w:styleId="SubSubSubTitle">
    <w:name w:val="SubSubSubTitle"/>
    <w:basedOn w:val="Normal"/>
    <w:rsid w:val="00FD6E77"/>
    <w:pPr>
      <w:spacing w:after="240" w:line="240" w:lineRule="auto"/>
      <w:ind w:left="170"/>
    </w:pPr>
    <w:rPr>
      <w:rFonts w:ascii="Century Gothic" w:eastAsia="Times New Roman" w:hAnsi="Century Gothic" w:cs="Times New Roman"/>
      <w:color w:val="3A87C8"/>
      <w:sz w:val="24"/>
      <w:szCs w:val="24"/>
      <w:lang w:eastAsia="en-AU"/>
    </w:rPr>
  </w:style>
  <w:style w:type="paragraph" w:customStyle="1" w:styleId="Heading1-NoTOC">
    <w:name w:val="Heading 1 - No TOC"/>
    <w:basedOn w:val="Heading1"/>
    <w:rsid w:val="00FD6E77"/>
    <w:pPr>
      <w:keepLines w:val="0"/>
      <w:pageBreakBefore/>
      <w:pBdr>
        <w:bottom w:val="single" w:sz="12" w:space="10" w:color="3A87C8"/>
      </w:pBdr>
      <w:spacing w:before="0" w:after="480" w:line="240" w:lineRule="auto"/>
      <w:outlineLvl w:val="9"/>
    </w:pPr>
    <w:rPr>
      <w:rFonts w:ascii="Calibri" w:eastAsia="Times New Roman" w:hAnsi="Calibri" w:cs="Arial"/>
      <w:bCs w:val="0"/>
      <w:caps/>
      <w:color w:val="3A87C8"/>
      <w:kern w:val="32"/>
      <w:sz w:val="44"/>
      <w:szCs w:val="36"/>
      <w:lang w:eastAsia="en-AU"/>
    </w:rPr>
  </w:style>
  <w:style w:type="paragraph" w:customStyle="1" w:styleId="BoxBullet">
    <w:name w:val="Box Bullet"/>
    <w:basedOn w:val="Normal"/>
    <w:rsid w:val="00FD6E77"/>
    <w:pPr>
      <w:numPr>
        <w:numId w:val="19"/>
      </w:numPr>
      <w:spacing w:after="240" w:line="280" w:lineRule="exact"/>
      <w:ind w:left="284" w:hanging="284"/>
      <w:jc w:val="both"/>
    </w:pPr>
    <w:rPr>
      <w:rFonts w:ascii="Century Gothic" w:eastAsia="Times New Roman" w:hAnsi="Century Gothic" w:cs="Times New Roman"/>
      <w:color w:val="000000" w:themeColor="text1"/>
      <w:lang w:eastAsia="en-AU"/>
    </w:rPr>
  </w:style>
  <w:style w:type="paragraph" w:customStyle="1" w:styleId="BoxDash">
    <w:name w:val="Box Dash"/>
    <w:basedOn w:val="Normal"/>
    <w:rsid w:val="00FD6E77"/>
    <w:pPr>
      <w:numPr>
        <w:ilvl w:val="1"/>
        <w:numId w:val="19"/>
      </w:numPr>
      <w:spacing w:after="240" w:line="280" w:lineRule="exact"/>
      <w:ind w:left="568"/>
      <w:jc w:val="both"/>
    </w:pPr>
    <w:rPr>
      <w:rFonts w:ascii="Century Gothic" w:eastAsia="Times New Roman" w:hAnsi="Century Gothic" w:cs="Times New Roman"/>
      <w:color w:val="000000" w:themeColor="text1"/>
      <w:lang w:eastAsia="en-AU"/>
    </w:rPr>
  </w:style>
  <w:style w:type="paragraph" w:customStyle="1" w:styleId="BoxDoubleDot">
    <w:name w:val="Box Double Dot"/>
    <w:basedOn w:val="Normal"/>
    <w:rsid w:val="00FD6E77"/>
    <w:pPr>
      <w:numPr>
        <w:ilvl w:val="2"/>
        <w:numId w:val="19"/>
      </w:numPr>
      <w:spacing w:after="240" w:line="280" w:lineRule="exact"/>
      <w:ind w:left="851" w:hanging="284"/>
      <w:jc w:val="both"/>
    </w:pPr>
    <w:rPr>
      <w:rFonts w:ascii="Century Gothic" w:eastAsia="Times New Roman" w:hAnsi="Century Gothic" w:cs="Times New Roman"/>
      <w:color w:val="000000" w:themeColor="text1"/>
      <w:lang w:eastAsia="en-AU"/>
    </w:rPr>
  </w:style>
  <w:style w:type="numbering" w:customStyle="1" w:styleId="BoxBulletedList">
    <w:name w:val="Box Bulleted List"/>
    <w:uiPriority w:val="99"/>
    <w:rsid w:val="00FD6E77"/>
    <w:pPr>
      <w:numPr>
        <w:numId w:val="19"/>
      </w:numPr>
    </w:pPr>
  </w:style>
  <w:style w:type="paragraph" w:customStyle="1" w:styleId="Disclaimer">
    <w:name w:val="Disclaimer"/>
    <w:basedOn w:val="ReportDate"/>
    <w:rsid w:val="00FD6E77"/>
    <w:pPr>
      <w:spacing w:before="0" w:after="0"/>
      <w:jc w:val="left"/>
    </w:pPr>
    <w:rPr>
      <w:bCs/>
      <w:sz w:val="18"/>
    </w:rPr>
  </w:style>
  <w:style w:type="character" w:customStyle="1" w:styleId="UnresolvedMention4">
    <w:name w:val="Unresolved Mention4"/>
    <w:basedOn w:val="DefaultParagraphFont"/>
    <w:uiPriority w:val="99"/>
    <w:semiHidden/>
    <w:unhideWhenUsed/>
    <w:rsid w:val="004E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276">
      <w:bodyDiv w:val="1"/>
      <w:marLeft w:val="0"/>
      <w:marRight w:val="0"/>
      <w:marTop w:val="0"/>
      <w:marBottom w:val="0"/>
      <w:divBdr>
        <w:top w:val="none" w:sz="0" w:space="0" w:color="auto"/>
        <w:left w:val="none" w:sz="0" w:space="0" w:color="auto"/>
        <w:bottom w:val="none" w:sz="0" w:space="0" w:color="auto"/>
        <w:right w:val="none" w:sz="0" w:space="0" w:color="auto"/>
      </w:divBdr>
    </w:div>
    <w:div w:id="339084131">
      <w:bodyDiv w:val="1"/>
      <w:marLeft w:val="0"/>
      <w:marRight w:val="0"/>
      <w:marTop w:val="0"/>
      <w:marBottom w:val="0"/>
      <w:divBdr>
        <w:top w:val="none" w:sz="0" w:space="0" w:color="auto"/>
        <w:left w:val="none" w:sz="0" w:space="0" w:color="auto"/>
        <w:bottom w:val="none" w:sz="0" w:space="0" w:color="auto"/>
        <w:right w:val="none" w:sz="0" w:space="0" w:color="auto"/>
      </w:divBdr>
    </w:div>
    <w:div w:id="637034930">
      <w:bodyDiv w:val="1"/>
      <w:marLeft w:val="0"/>
      <w:marRight w:val="0"/>
      <w:marTop w:val="0"/>
      <w:marBottom w:val="0"/>
      <w:divBdr>
        <w:top w:val="none" w:sz="0" w:space="0" w:color="auto"/>
        <w:left w:val="none" w:sz="0" w:space="0" w:color="auto"/>
        <w:bottom w:val="none" w:sz="0" w:space="0" w:color="auto"/>
        <w:right w:val="none" w:sz="0" w:space="0" w:color="auto"/>
      </w:divBdr>
    </w:div>
    <w:div w:id="979769561">
      <w:bodyDiv w:val="1"/>
      <w:marLeft w:val="0"/>
      <w:marRight w:val="0"/>
      <w:marTop w:val="0"/>
      <w:marBottom w:val="0"/>
      <w:divBdr>
        <w:top w:val="none" w:sz="0" w:space="0" w:color="auto"/>
        <w:left w:val="none" w:sz="0" w:space="0" w:color="auto"/>
        <w:bottom w:val="none" w:sz="0" w:space="0" w:color="auto"/>
        <w:right w:val="none" w:sz="0" w:space="0" w:color="auto"/>
      </w:divBdr>
    </w:div>
    <w:div w:id="1028408199">
      <w:bodyDiv w:val="1"/>
      <w:marLeft w:val="0"/>
      <w:marRight w:val="0"/>
      <w:marTop w:val="0"/>
      <w:marBottom w:val="0"/>
      <w:divBdr>
        <w:top w:val="none" w:sz="0" w:space="0" w:color="auto"/>
        <w:left w:val="none" w:sz="0" w:space="0" w:color="auto"/>
        <w:bottom w:val="none" w:sz="0" w:space="0" w:color="auto"/>
        <w:right w:val="none" w:sz="0" w:space="0" w:color="auto"/>
      </w:divBdr>
    </w:div>
    <w:div w:id="1300768192">
      <w:bodyDiv w:val="1"/>
      <w:marLeft w:val="0"/>
      <w:marRight w:val="0"/>
      <w:marTop w:val="0"/>
      <w:marBottom w:val="0"/>
      <w:divBdr>
        <w:top w:val="none" w:sz="0" w:space="0" w:color="auto"/>
        <w:left w:val="none" w:sz="0" w:space="0" w:color="auto"/>
        <w:bottom w:val="none" w:sz="0" w:space="0" w:color="auto"/>
        <w:right w:val="none" w:sz="0" w:space="0" w:color="auto"/>
      </w:divBdr>
    </w:div>
    <w:div w:id="1523399413">
      <w:bodyDiv w:val="1"/>
      <w:marLeft w:val="0"/>
      <w:marRight w:val="0"/>
      <w:marTop w:val="0"/>
      <w:marBottom w:val="0"/>
      <w:divBdr>
        <w:top w:val="none" w:sz="0" w:space="0" w:color="auto"/>
        <w:left w:val="none" w:sz="0" w:space="0" w:color="auto"/>
        <w:bottom w:val="none" w:sz="0" w:space="0" w:color="auto"/>
        <w:right w:val="none" w:sz="0" w:space="0" w:color="auto"/>
      </w:divBdr>
    </w:div>
    <w:div w:id="21435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3.0/au/deed.en" TargetMode="External"/><Relationship Id="rId17" Type="http://schemas.openxmlformats.org/officeDocument/2006/relationships/hyperlink" Target="mailto:Secretariat@AusNCP.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ausncp.gov.au" TargetMode="External"/><Relationship Id="rId23" Type="http://schemas.openxmlformats.org/officeDocument/2006/relationships/footer" Target="footer3.xml"/><Relationship Id="rId10" Type="http://schemas.openxmlformats.org/officeDocument/2006/relationships/hyperlink" Target="http://creativecommons.org/licenses/by/3.0/au/legalcod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creativecommons.org/licenses/by/3.0/au/deed.en" TargetMode="External"/><Relationship Id="rId14" Type="http://schemas.openxmlformats.org/officeDocument/2006/relationships/hyperlink" Target="mailto:medialiaison@treasury.gov.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80DB-4754-4ED5-BC83-8B4E3882E99A}">
  <ds:schemaRefs>
    <ds:schemaRef ds:uri="office.server.policy"/>
  </ds:schemaRefs>
</ds:datastoreItem>
</file>

<file path=customXml/itemProps2.xml><?xml version="1.0" encoding="utf-8"?>
<ds:datastoreItem xmlns:ds="http://schemas.openxmlformats.org/officeDocument/2006/customXml" ds:itemID="{0C994958-9300-43E4-BE59-315B0085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22 - Initial Assessment</dc:title>
  <dc:subject/>
  <dc:creator/>
  <cp:keywords/>
  <dc:description/>
  <cp:lastModifiedBy/>
  <cp:revision>1</cp:revision>
  <dcterms:created xsi:type="dcterms:W3CDTF">2021-02-24T23:30:00Z</dcterms:created>
  <dcterms:modified xsi:type="dcterms:W3CDTF">2021-02-24T23:59:00Z</dcterms:modified>
</cp:coreProperties>
</file>