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77" w:rsidRPr="00F829AB" w:rsidRDefault="00FD6E77" w:rsidP="0019588C">
      <w:pPr>
        <w:pStyle w:val="OutlineNumbered1"/>
        <w:rPr>
          <w:rFonts w:ascii="Century Gothic" w:hAnsi="Century Gothic"/>
          <w:b/>
          <w:sz w:val="22"/>
        </w:rPr>
      </w:pPr>
      <w:bookmarkStart w:id="0" w:name="_GoBack"/>
      <w:bookmarkEnd w:id="0"/>
    </w:p>
    <w:tbl>
      <w:tblPr>
        <w:tblW w:w="0" w:type="auto"/>
        <w:jc w:val="center"/>
        <w:tblBorders>
          <w:left w:val="single" w:sz="24" w:space="0" w:color="3A87C8"/>
        </w:tblBorders>
        <w:tblLook w:val="04A0" w:firstRow="1" w:lastRow="0" w:firstColumn="1" w:lastColumn="0" w:noHBand="0" w:noVBand="1"/>
      </w:tblPr>
      <w:tblGrid>
        <w:gridCol w:w="8050"/>
      </w:tblGrid>
      <w:tr w:rsidR="00FD6E77" w:rsidRPr="00FC1BF2" w:rsidTr="00D829C3">
        <w:trPr>
          <w:jc w:val="center"/>
        </w:trPr>
        <w:tc>
          <w:tcPr>
            <w:tcW w:w="8050" w:type="dxa"/>
          </w:tcPr>
          <w:p w:rsidR="00FD6E77" w:rsidRPr="00FC1BF2" w:rsidRDefault="00FD6E77" w:rsidP="0019588C">
            <w:pPr>
              <w:pStyle w:val="Subtitle"/>
              <w:ind w:left="170"/>
              <w:rPr>
                <w:noProof w:val="0"/>
              </w:rPr>
            </w:pPr>
            <w:r w:rsidRPr="00FC1BF2">
              <w:rPr>
                <w:noProof w:val="0"/>
              </w:rPr>
              <w:t>Australian National Contact Point</w:t>
            </w:r>
          </w:p>
          <w:p w:rsidR="00FD6E77" w:rsidRPr="00FC1BF2" w:rsidRDefault="00FD6E77" w:rsidP="0019588C">
            <w:pPr>
              <w:pStyle w:val="SubSubTitle"/>
              <w:rPr>
                <w:lang w:val="en-AU"/>
              </w:rPr>
            </w:pPr>
            <w:r w:rsidRPr="00FC1BF2">
              <w:rPr>
                <w:lang w:val="en-AU"/>
              </w:rPr>
              <w:t>for the OECD Guidelines for Multinational Enterprises</w:t>
            </w:r>
          </w:p>
        </w:tc>
      </w:tr>
      <w:tr w:rsidR="00FD6E77" w:rsidRPr="00FC1BF2" w:rsidTr="00D829C3">
        <w:trPr>
          <w:jc w:val="center"/>
        </w:trPr>
        <w:tc>
          <w:tcPr>
            <w:tcW w:w="8050" w:type="dxa"/>
          </w:tcPr>
          <w:p w:rsidR="00FD6E77" w:rsidRPr="00FC1BF2" w:rsidRDefault="00D829C3" w:rsidP="0019588C">
            <w:pPr>
              <w:pStyle w:val="Title"/>
              <w:spacing w:after="960"/>
              <w:ind w:left="170"/>
              <w:contextualSpacing w:val="0"/>
            </w:pPr>
            <w:r w:rsidRPr="00FC1BF2">
              <w:rPr>
                <w:rFonts w:ascii="Arial Bold" w:eastAsiaTheme="minorEastAsia" w:hAnsi="Arial Bold" w:cs="Arial"/>
                <w:color w:val="3A87C8"/>
                <w:spacing w:val="6"/>
                <w:kern w:val="0"/>
                <w:sz w:val="86"/>
                <w:szCs w:val="22"/>
                <w:lang w:eastAsia="ja-JP"/>
              </w:rPr>
              <w:t xml:space="preserve">Initial </w:t>
            </w:r>
            <w:r w:rsidRPr="00B01EE3">
              <w:rPr>
                <w:rFonts w:ascii="Arial Bold" w:eastAsiaTheme="minorEastAsia" w:hAnsi="Arial Bold" w:cs="Arial"/>
                <w:color w:val="3A87C8"/>
                <w:spacing w:val="6"/>
                <w:kern w:val="0"/>
                <w:sz w:val="86"/>
                <w:szCs w:val="22"/>
                <w:lang w:eastAsia="ja-JP"/>
              </w:rPr>
              <w:t>Assessment</w:t>
            </w:r>
          </w:p>
        </w:tc>
      </w:tr>
      <w:tr w:rsidR="00FD6E77" w:rsidRPr="00FC1BF2" w:rsidTr="00D829C3">
        <w:trPr>
          <w:jc w:val="center"/>
        </w:trPr>
        <w:tc>
          <w:tcPr>
            <w:tcW w:w="8050" w:type="dxa"/>
          </w:tcPr>
          <w:p w:rsidR="00FD6E77" w:rsidRPr="00FC1BF2" w:rsidRDefault="00FD6E77" w:rsidP="0019588C">
            <w:pPr>
              <w:pStyle w:val="SubSubSubTitle"/>
            </w:pPr>
            <w:r w:rsidRPr="00FC1BF2">
              <w:t>This complaint was submitted by Friends of the Earth Australia and others, against Australia and New Zealand Banking Group Limited</w:t>
            </w:r>
          </w:p>
        </w:tc>
      </w:tr>
      <w:tr w:rsidR="00FD6E77" w:rsidRPr="00FC1BF2" w:rsidTr="00D829C3">
        <w:trPr>
          <w:jc w:val="center"/>
        </w:trPr>
        <w:tc>
          <w:tcPr>
            <w:tcW w:w="8050" w:type="dxa"/>
          </w:tcPr>
          <w:p w:rsidR="00FD6E77" w:rsidRPr="00FC1BF2" w:rsidRDefault="00FD6E77" w:rsidP="00B01EE3">
            <w:pPr>
              <w:pStyle w:val="ReportDate"/>
              <w:ind w:left="149"/>
              <w:jc w:val="left"/>
            </w:pPr>
            <w:r w:rsidRPr="00FC1BF2">
              <w:rPr>
                <w:rFonts w:ascii="Futura Bk BT" w:eastAsiaTheme="minorEastAsia" w:hAnsi="Futura Bk BT" w:cstheme="minorBidi"/>
                <w:sz w:val="24"/>
                <w:szCs w:val="26"/>
                <w:lang w:eastAsia="ja-JP"/>
              </w:rPr>
              <w:t xml:space="preserve">Published </w:t>
            </w:r>
            <w:r w:rsidR="00B01EE3">
              <w:rPr>
                <w:rFonts w:ascii="Futura Bk BT" w:eastAsiaTheme="minorEastAsia" w:hAnsi="Futura Bk BT" w:cstheme="minorBidi"/>
                <w:sz w:val="24"/>
                <w:szCs w:val="26"/>
                <w:lang w:eastAsia="ja-JP"/>
              </w:rPr>
              <w:t>24</w:t>
            </w:r>
            <w:r w:rsidR="00C767BF">
              <w:rPr>
                <w:rFonts w:ascii="Futura Bk BT" w:eastAsiaTheme="minorEastAsia" w:hAnsi="Futura Bk BT" w:cstheme="minorBidi"/>
                <w:sz w:val="24"/>
                <w:szCs w:val="26"/>
                <w:lang w:eastAsia="ja-JP"/>
              </w:rPr>
              <w:t xml:space="preserve"> November 2020</w:t>
            </w:r>
          </w:p>
        </w:tc>
      </w:tr>
    </w:tbl>
    <w:p w:rsidR="00FD6E77" w:rsidRPr="00FC1BF2" w:rsidRDefault="00FD6E77" w:rsidP="0019588C">
      <w:r w:rsidRPr="00FC1BF2">
        <w:br w:type="page"/>
      </w:r>
    </w:p>
    <w:p w:rsidR="00FD6E77" w:rsidRPr="00FC1BF2" w:rsidRDefault="00FD6E77" w:rsidP="0019588C">
      <w:pPr>
        <w:rPr>
          <w:rFonts w:ascii="Century Gothic" w:hAnsi="Century Gothic"/>
        </w:rPr>
      </w:pPr>
      <w:r w:rsidRPr="00FC1BF2">
        <w:rPr>
          <w:rFonts w:ascii="Century Gothic" w:hAnsi="Century Gothic"/>
        </w:rPr>
        <w:lastRenderedPageBreak/>
        <w:t>© Commonwealth of Australia 2020</w:t>
      </w:r>
    </w:p>
    <w:p w:rsidR="00FD6E77" w:rsidRPr="00FC1BF2" w:rsidRDefault="00FD6E77" w:rsidP="0019588C">
      <w:pPr>
        <w:rPr>
          <w:rFonts w:ascii="Century Gothic" w:hAnsi="Century Gothic"/>
          <w:sz w:val="24"/>
          <w:szCs w:val="24"/>
        </w:rPr>
      </w:pPr>
      <w:r w:rsidRPr="00FC1BF2">
        <w:rPr>
          <w:rFonts w:ascii="Century Gothic" w:hAnsi="Century Gothic"/>
        </w:rPr>
        <w:t>This publication is available for your use under a</w:t>
      </w:r>
      <w:r w:rsidRPr="00FC1BF2">
        <w:rPr>
          <w:rFonts w:ascii="Century Gothic" w:hAnsi="Century Gothic" w:cs="Calibri"/>
          <w:sz w:val="24"/>
          <w:szCs w:val="24"/>
        </w:rPr>
        <w:t xml:space="preserve"> </w:t>
      </w:r>
      <w:hyperlink r:id="rId13" w:history="1">
        <w:r w:rsidRPr="00FC1BF2">
          <w:rPr>
            <w:rStyle w:val="Hyperlink"/>
            <w:rFonts w:ascii="Century Gothic" w:hAnsi="Century Gothic"/>
          </w:rPr>
          <w:t>Creative Commons Attribution 3.0 Australia</w:t>
        </w:r>
      </w:hyperlink>
      <w:r w:rsidRPr="00FC1BF2">
        <w:rPr>
          <w:rFonts w:ascii="Century Gothic" w:hAnsi="Century Gothic" w:cs="Calibri"/>
          <w:sz w:val="24"/>
          <w:szCs w:val="24"/>
        </w:rPr>
        <w:t xml:space="preserve"> </w:t>
      </w:r>
      <w:r w:rsidRPr="00FC1BF2">
        <w:rPr>
          <w:rFonts w:ascii="Century Gothic" w:hAnsi="Century Gothic"/>
        </w:rPr>
        <w:t>licence, with the exception of the Commonwealth Coat of Arms, the Treasury logo, photographs, images, signatures and where otherwise stated. The full licence terms are available from</w:t>
      </w:r>
      <w:r w:rsidRPr="00FC1BF2">
        <w:rPr>
          <w:rFonts w:ascii="Century Gothic" w:hAnsi="Century Gothic" w:cs="Calibri"/>
          <w:sz w:val="24"/>
          <w:szCs w:val="24"/>
        </w:rPr>
        <w:t xml:space="preserve"> </w:t>
      </w:r>
      <w:hyperlink r:id="rId14" w:history="1">
        <w:r w:rsidRPr="00FC1BF2">
          <w:rPr>
            <w:rStyle w:val="Hyperlink"/>
            <w:rFonts w:ascii="Century Gothic" w:hAnsi="Century Gothic"/>
          </w:rPr>
          <w:t>http://creativecommons.org/licenses/by/3.0/au/</w:t>
        </w:r>
        <w:r w:rsidRPr="00FC1BF2">
          <w:rPr>
            <w:rStyle w:val="Hyperlink"/>
            <w:rFonts w:ascii="Century Gothic" w:hAnsi="Century Gothic"/>
          </w:rPr>
          <w:br/>
          <w:t>legalcode</w:t>
        </w:r>
      </w:hyperlink>
      <w:r w:rsidRPr="00FC1BF2">
        <w:rPr>
          <w:rFonts w:ascii="Century Gothic" w:hAnsi="Century Gothic"/>
          <w:b/>
          <w:color w:val="004A7F"/>
        </w:rPr>
        <w:t>.</w:t>
      </w:r>
    </w:p>
    <w:p w:rsidR="00FD6E77" w:rsidRPr="00FC1BF2" w:rsidRDefault="00FD6E77" w:rsidP="0019588C">
      <w:pPr>
        <w:pStyle w:val="TableGraphic"/>
        <w:rPr>
          <w:rFonts w:ascii="Century Gothic" w:hAnsi="Century Gothic"/>
        </w:rPr>
      </w:pPr>
      <w:r w:rsidRPr="00FC1BF2">
        <w:rPr>
          <w:rFonts w:ascii="Century Gothic" w:hAnsi="Century Gothic"/>
          <w:noProof/>
        </w:rPr>
        <w:drawing>
          <wp:anchor distT="0" distB="0" distL="114300" distR="114300" simplePos="0" relativeHeight="251659264" behindDoc="0" locked="0" layoutInCell="1" allowOverlap="1" wp14:anchorId="0442E73C" wp14:editId="15ADA81D">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D6E77" w:rsidRPr="00FC1BF2" w:rsidRDefault="00FD6E77" w:rsidP="0019588C">
      <w:pPr>
        <w:rPr>
          <w:rFonts w:ascii="Century Gothic" w:hAnsi="Century Gothic"/>
        </w:rPr>
      </w:pPr>
      <w:r w:rsidRPr="00FC1BF2">
        <w:rPr>
          <w:rFonts w:ascii="Century Gothic" w:hAnsi="Century Gothic"/>
        </w:rPr>
        <w:t>Use of Treasury material under a</w:t>
      </w:r>
      <w:r w:rsidRPr="00FC1BF2">
        <w:rPr>
          <w:rFonts w:ascii="Century Gothic" w:hAnsi="Century Gothic" w:cs="Calibri"/>
          <w:sz w:val="24"/>
          <w:szCs w:val="24"/>
        </w:rPr>
        <w:t xml:space="preserve"> </w:t>
      </w:r>
      <w:hyperlink r:id="rId16" w:history="1">
        <w:r w:rsidRPr="00FC1BF2">
          <w:rPr>
            <w:rStyle w:val="Hyperlink"/>
            <w:rFonts w:ascii="Century Gothic" w:hAnsi="Century Gothic"/>
          </w:rPr>
          <w:t>Creative Commons Attribution 3.0 Australia</w:t>
        </w:r>
      </w:hyperlink>
      <w:r w:rsidRPr="00FC1BF2">
        <w:rPr>
          <w:rFonts w:ascii="Century Gothic" w:hAnsi="Century Gothic"/>
          <w:b/>
          <w:color w:val="004A7F"/>
        </w:rPr>
        <w:t xml:space="preserve"> </w:t>
      </w:r>
      <w:r w:rsidRPr="00FC1BF2">
        <w:rPr>
          <w:rFonts w:ascii="Century Gothic" w:hAnsi="Century Gothic"/>
        </w:rPr>
        <w:t>licence requires you to attribute the work (but not in any way that suggests that the Treasury endorses you or your use of the work).</w:t>
      </w:r>
    </w:p>
    <w:p w:rsidR="00FD6E77" w:rsidRPr="00FC1BF2" w:rsidRDefault="00FD6E77" w:rsidP="0019588C">
      <w:pPr>
        <w:ind w:left="567"/>
        <w:rPr>
          <w:rFonts w:ascii="Century Gothic" w:hAnsi="Century Gothic"/>
          <w:i/>
        </w:rPr>
      </w:pPr>
      <w:r w:rsidRPr="00FC1BF2">
        <w:rPr>
          <w:rFonts w:ascii="Century Gothic" w:hAnsi="Century Gothic"/>
          <w:i/>
        </w:rPr>
        <w:t>Treasury material used ‘as supplied’.</w:t>
      </w:r>
    </w:p>
    <w:p w:rsidR="00FD6E77" w:rsidRPr="00FC1BF2" w:rsidRDefault="00FD6E77" w:rsidP="0019588C">
      <w:pPr>
        <w:rPr>
          <w:rFonts w:ascii="Century Gothic" w:hAnsi="Century Gothic"/>
        </w:rPr>
      </w:pPr>
      <w:r w:rsidRPr="00FC1BF2">
        <w:rPr>
          <w:rFonts w:ascii="Century Gothic" w:hAnsi="Century Gothic"/>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rsidR="00FD6E77" w:rsidRPr="00FC1BF2" w:rsidRDefault="00FD6E77" w:rsidP="0019588C">
      <w:pPr>
        <w:ind w:left="567"/>
        <w:rPr>
          <w:rFonts w:ascii="Century Gothic" w:hAnsi="Century Gothic"/>
          <w:i/>
        </w:rPr>
      </w:pPr>
      <w:r w:rsidRPr="00FC1BF2">
        <w:rPr>
          <w:rFonts w:ascii="Century Gothic" w:hAnsi="Century Gothic"/>
          <w:i/>
        </w:rPr>
        <w:t>Source: The Australian Government the Treasury</w:t>
      </w:r>
    </w:p>
    <w:p w:rsidR="00FD6E77" w:rsidRPr="00FC1BF2" w:rsidRDefault="00FD6E77" w:rsidP="0019588C">
      <w:pPr>
        <w:rPr>
          <w:rFonts w:ascii="Century Gothic" w:hAnsi="Century Gothic"/>
          <w:b/>
        </w:rPr>
      </w:pPr>
      <w:r w:rsidRPr="00FC1BF2">
        <w:rPr>
          <w:rFonts w:ascii="Century Gothic" w:hAnsi="Century Gothic"/>
          <w:b/>
        </w:rPr>
        <w:t>Derivative material</w:t>
      </w:r>
    </w:p>
    <w:p w:rsidR="00FD6E77" w:rsidRPr="00FC1BF2" w:rsidRDefault="00FD6E77" w:rsidP="0019588C">
      <w:pPr>
        <w:rPr>
          <w:rFonts w:ascii="Century Gothic" w:hAnsi="Century Gothic"/>
        </w:rPr>
      </w:pPr>
      <w:r w:rsidRPr="00FC1BF2">
        <w:rPr>
          <w:rFonts w:ascii="Century Gothic" w:hAnsi="Century Gothic"/>
        </w:rPr>
        <w:t>If you have modified or transformed Treasury material, or derived new material from those of the Treasury in any way, then Treasury prefers the following attribution:</w:t>
      </w:r>
    </w:p>
    <w:p w:rsidR="00FD6E77" w:rsidRPr="00FC1BF2" w:rsidRDefault="00FD6E77" w:rsidP="0019588C">
      <w:pPr>
        <w:ind w:left="567"/>
        <w:rPr>
          <w:rFonts w:ascii="Century Gothic" w:hAnsi="Century Gothic"/>
          <w:i/>
        </w:rPr>
      </w:pPr>
      <w:r w:rsidRPr="00FC1BF2">
        <w:rPr>
          <w:rFonts w:ascii="Century Gothic" w:hAnsi="Century Gothic"/>
          <w:i/>
        </w:rPr>
        <w:t>Based on The Australian Government the Treasury data</w:t>
      </w:r>
    </w:p>
    <w:p w:rsidR="00FD6E77" w:rsidRPr="00FC1BF2" w:rsidRDefault="00FD6E77" w:rsidP="0019588C">
      <w:pPr>
        <w:rPr>
          <w:rFonts w:ascii="Century Gothic" w:hAnsi="Century Gothic"/>
          <w:b/>
        </w:rPr>
      </w:pPr>
      <w:r w:rsidRPr="00FC1BF2">
        <w:rPr>
          <w:rFonts w:ascii="Century Gothic" w:hAnsi="Century Gothic"/>
          <w:b/>
        </w:rPr>
        <w:t>Use of the Coat of Arms</w:t>
      </w:r>
    </w:p>
    <w:p w:rsidR="00FD6E77" w:rsidRPr="00FC1BF2" w:rsidRDefault="00FD6E77" w:rsidP="0019588C">
      <w:pPr>
        <w:rPr>
          <w:rFonts w:ascii="Century Gothic" w:hAnsi="Century Gothic"/>
        </w:rPr>
      </w:pPr>
      <w:r w:rsidRPr="00FC1BF2">
        <w:rPr>
          <w:rFonts w:ascii="Century Gothic" w:hAnsi="Century Gothic"/>
        </w:rPr>
        <w:t>The terms under which the Coat of Arms can be used are set out on the It’s an Honour website (see </w:t>
      </w:r>
      <w:hyperlink r:id="rId17" w:history="1">
        <w:r w:rsidRPr="00FC1BF2">
          <w:rPr>
            <w:rStyle w:val="Hyperlink"/>
            <w:rFonts w:ascii="Century Gothic" w:hAnsi="Century Gothic"/>
          </w:rPr>
          <w:t>www.itsanhonour.gov.au</w:t>
        </w:r>
      </w:hyperlink>
      <w:r w:rsidRPr="00FC1BF2">
        <w:rPr>
          <w:rFonts w:ascii="Century Gothic" w:hAnsi="Century Gothic"/>
        </w:rPr>
        <w:t>).</w:t>
      </w:r>
    </w:p>
    <w:p w:rsidR="00FD6E77" w:rsidRPr="00FC1BF2" w:rsidRDefault="00FD6E77" w:rsidP="0019588C">
      <w:pPr>
        <w:rPr>
          <w:rFonts w:ascii="Century Gothic" w:hAnsi="Century Gothic"/>
          <w:b/>
        </w:rPr>
      </w:pPr>
      <w:r w:rsidRPr="00FC1BF2">
        <w:rPr>
          <w:rFonts w:ascii="Century Gothic" w:hAnsi="Century Gothic"/>
          <w:b/>
        </w:rPr>
        <w:t>Other uses</w:t>
      </w:r>
    </w:p>
    <w:p w:rsidR="00FD6E77" w:rsidRPr="00FC1BF2" w:rsidRDefault="00FD6E77" w:rsidP="0019588C">
      <w:pPr>
        <w:rPr>
          <w:rFonts w:ascii="Century Gothic" w:hAnsi="Century Gothic"/>
        </w:rPr>
      </w:pPr>
      <w:r w:rsidRPr="00FC1BF2">
        <w:rPr>
          <w:rFonts w:ascii="Century Gothic" w:hAnsi="Century Gothic"/>
        </w:rPr>
        <w:t>Enquiries regarding this licence and any other use of this document are welcome at:</w:t>
      </w:r>
    </w:p>
    <w:p w:rsidR="00FD6E77" w:rsidRPr="00FC1BF2" w:rsidRDefault="00FD6E77" w:rsidP="0019588C">
      <w:pPr>
        <w:ind w:left="567"/>
        <w:rPr>
          <w:rFonts w:ascii="Century Gothic" w:hAnsi="Century Gothic"/>
          <w:b/>
          <w:color w:val="004A7F"/>
        </w:rPr>
      </w:pPr>
      <w:r w:rsidRPr="00FC1BF2">
        <w:rPr>
          <w:rFonts w:ascii="Century Gothic" w:hAnsi="Century Gothic"/>
        </w:rPr>
        <w:t>Manager, Media Unit</w:t>
      </w:r>
      <w:r w:rsidRPr="00FC1BF2">
        <w:rPr>
          <w:rFonts w:ascii="Century Gothic" w:hAnsi="Century Gothic"/>
        </w:rPr>
        <w:br/>
        <w:t>The Treasury</w:t>
      </w:r>
      <w:r w:rsidRPr="00FC1BF2">
        <w:rPr>
          <w:rFonts w:ascii="Century Gothic" w:hAnsi="Century Gothic"/>
        </w:rPr>
        <w:br/>
        <w:t xml:space="preserve">Langton Crescent </w:t>
      </w:r>
      <w:r w:rsidRPr="00FC1BF2">
        <w:rPr>
          <w:rFonts w:ascii="Century Gothic" w:hAnsi="Century Gothic"/>
        </w:rPr>
        <w:br/>
        <w:t>Parkes  ACT  2600</w:t>
      </w:r>
      <w:r w:rsidRPr="00FC1BF2">
        <w:rPr>
          <w:rFonts w:ascii="Century Gothic" w:hAnsi="Century Gothic"/>
        </w:rPr>
        <w:br/>
        <w:t xml:space="preserve">Email: </w:t>
      </w:r>
      <w:hyperlink r:id="rId18" w:history="1">
        <w:r w:rsidRPr="00FC1BF2">
          <w:rPr>
            <w:rStyle w:val="Hyperlink"/>
            <w:rFonts w:ascii="Century Gothic" w:hAnsi="Century Gothic"/>
          </w:rPr>
          <w:t>medialiaison@treasury.gov.au</w:t>
        </w:r>
      </w:hyperlink>
    </w:p>
    <w:sdt>
      <w:sdtPr>
        <w:rPr>
          <w:rFonts w:ascii="Century Gothic" w:eastAsiaTheme="minorHAnsi" w:hAnsi="Century Gothic" w:cs="Times New Roman"/>
          <w:b w:val="0"/>
          <w:caps w:val="0"/>
          <w:color w:val="595959" w:themeColor="text1" w:themeTint="A6"/>
          <w:kern w:val="0"/>
          <w:sz w:val="22"/>
          <w:szCs w:val="22"/>
          <w:lang w:eastAsia="en-US"/>
        </w:rPr>
        <w:id w:val="-1122075217"/>
        <w:docPartObj>
          <w:docPartGallery w:val="Table of Contents"/>
          <w:docPartUnique/>
        </w:docPartObj>
      </w:sdtPr>
      <w:sdtEndPr>
        <w:rPr>
          <w:rFonts w:cstheme="minorBidi"/>
          <w:bCs/>
          <w:color w:val="auto"/>
        </w:rPr>
      </w:sdtEndPr>
      <w:sdtContent>
        <w:p w:rsidR="00FD6E77" w:rsidRPr="00FC1BF2" w:rsidRDefault="00FD6E77" w:rsidP="0019588C">
          <w:pPr>
            <w:pStyle w:val="Heading1-NoTOC"/>
          </w:pPr>
          <w:r w:rsidRPr="00FC1BF2">
            <w:t xml:space="preserve">Contents </w:t>
          </w:r>
        </w:p>
        <w:p w:rsidR="00A83A61" w:rsidRDefault="00FD6E77">
          <w:pPr>
            <w:pStyle w:val="TOC1"/>
            <w:tabs>
              <w:tab w:val="right" w:leader="dot" w:pos="9628"/>
            </w:tabs>
            <w:rPr>
              <w:rFonts w:asciiTheme="minorHAnsi" w:eastAsiaTheme="minorEastAsia" w:hAnsiTheme="minorHAnsi"/>
              <w:b w:val="0"/>
              <w:noProof/>
              <w:sz w:val="22"/>
              <w:lang w:eastAsia="en-AU"/>
            </w:rPr>
          </w:pPr>
          <w:r w:rsidRPr="00FC1BF2">
            <w:rPr>
              <w:sz w:val="22"/>
            </w:rPr>
            <w:fldChar w:fldCharType="begin"/>
          </w:r>
          <w:r w:rsidRPr="00FC1BF2">
            <w:rPr>
              <w:sz w:val="22"/>
            </w:rPr>
            <w:instrText xml:space="preserve"> TOC \o "1-3" \h \z \u </w:instrText>
          </w:r>
          <w:r w:rsidRPr="00FC1BF2">
            <w:rPr>
              <w:sz w:val="22"/>
            </w:rPr>
            <w:fldChar w:fldCharType="separate"/>
          </w:r>
          <w:hyperlink w:anchor="_Toc54942644" w:history="1">
            <w:r w:rsidR="00A83A61" w:rsidRPr="00B01DE4">
              <w:rPr>
                <w:rStyle w:val="Hyperlink"/>
                <w:rFonts w:ascii="Calibri" w:eastAsia="Times New Roman" w:hAnsi="Calibri" w:cs="Arial"/>
                <w:caps/>
                <w:noProof/>
                <w:kern w:val="32"/>
                <w:lang w:eastAsia="en-AU"/>
              </w:rPr>
              <w:t>Executive summary</w:t>
            </w:r>
            <w:r w:rsidR="00A83A61">
              <w:rPr>
                <w:noProof/>
                <w:webHidden/>
              </w:rPr>
              <w:tab/>
            </w:r>
            <w:r w:rsidR="00A83A61">
              <w:rPr>
                <w:noProof/>
                <w:webHidden/>
              </w:rPr>
              <w:fldChar w:fldCharType="begin"/>
            </w:r>
            <w:r w:rsidR="00A83A61">
              <w:rPr>
                <w:noProof/>
                <w:webHidden/>
              </w:rPr>
              <w:instrText xml:space="preserve"> PAGEREF _Toc54942644 \h </w:instrText>
            </w:r>
            <w:r w:rsidR="00A83A61">
              <w:rPr>
                <w:noProof/>
                <w:webHidden/>
              </w:rPr>
            </w:r>
            <w:r w:rsidR="00A83A61">
              <w:rPr>
                <w:noProof/>
                <w:webHidden/>
              </w:rPr>
              <w:fldChar w:fldCharType="separate"/>
            </w:r>
            <w:r w:rsidR="00B34DA5">
              <w:rPr>
                <w:noProof/>
                <w:webHidden/>
              </w:rPr>
              <w:t>4</w:t>
            </w:r>
            <w:r w:rsidR="00A83A61">
              <w:rPr>
                <w:noProof/>
                <w:webHidden/>
              </w:rPr>
              <w:fldChar w:fldCharType="end"/>
            </w:r>
          </w:hyperlink>
        </w:p>
        <w:p w:rsidR="00A83A61" w:rsidRDefault="00E03964">
          <w:pPr>
            <w:pStyle w:val="TOC1"/>
            <w:tabs>
              <w:tab w:val="right" w:leader="dot" w:pos="9628"/>
            </w:tabs>
            <w:rPr>
              <w:rFonts w:asciiTheme="minorHAnsi" w:eastAsiaTheme="minorEastAsia" w:hAnsiTheme="minorHAnsi"/>
              <w:b w:val="0"/>
              <w:noProof/>
              <w:sz w:val="22"/>
              <w:lang w:eastAsia="en-AU"/>
            </w:rPr>
          </w:pPr>
          <w:hyperlink w:anchor="_Toc54942645" w:history="1">
            <w:r w:rsidR="00A83A61" w:rsidRPr="00B01DE4">
              <w:rPr>
                <w:rStyle w:val="Hyperlink"/>
                <w:rFonts w:ascii="Calibri" w:eastAsia="Times New Roman" w:hAnsi="Calibri" w:cs="Arial"/>
                <w:caps/>
                <w:noProof/>
                <w:kern w:val="32"/>
                <w:lang w:eastAsia="en-AU"/>
              </w:rPr>
              <w:t>INITIAL ASSESSMENT</w:t>
            </w:r>
            <w:r w:rsidR="00A83A61">
              <w:rPr>
                <w:noProof/>
                <w:webHidden/>
              </w:rPr>
              <w:tab/>
            </w:r>
            <w:r w:rsidR="00A83A61">
              <w:rPr>
                <w:noProof/>
                <w:webHidden/>
              </w:rPr>
              <w:fldChar w:fldCharType="begin"/>
            </w:r>
            <w:r w:rsidR="00A83A61">
              <w:rPr>
                <w:noProof/>
                <w:webHidden/>
              </w:rPr>
              <w:instrText xml:space="preserve"> PAGEREF _Toc54942645 \h </w:instrText>
            </w:r>
            <w:r w:rsidR="00A83A61">
              <w:rPr>
                <w:noProof/>
                <w:webHidden/>
              </w:rPr>
            </w:r>
            <w:r w:rsidR="00A83A61">
              <w:rPr>
                <w:noProof/>
                <w:webHidden/>
              </w:rPr>
              <w:fldChar w:fldCharType="separate"/>
            </w:r>
            <w:r w:rsidR="00B34DA5">
              <w:rPr>
                <w:noProof/>
                <w:webHidden/>
              </w:rPr>
              <w:t>5</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46" w:history="1">
            <w:r w:rsidR="00A83A61" w:rsidRPr="00B01DE4">
              <w:rPr>
                <w:rStyle w:val="Hyperlink"/>
                <w:rFonts w:ascii="Calibri" w:eastAsia="Times New Roman" w:hAnsi="Calibri" w:cs="Arial"/>
                <w:b/>
                <w:iCs/>
                <w:noProof/>
                <w:kern w:val="32"/>
                <w:lang w:eastAsia="en-AU"/>
              </w:rPr>
              <w:t>Parties, complaint and outcomes sought</w:t>
            </w:r>
            <w:r w:rsidR="00A83A61">
              <w:rPr>
                <w:noProof/>
                <w:webHidden/>
              </w:rPr>
              <w:tab/>
            </w:r>
            <w:r w:rsidR="00A83A61">
              <w:rPr>
                <w:noProof/>
                <w:webHidden/>
              </w:rPr>
              <w:fldChar w:fldCharType="begin"/>
            </w:r>
            <w:r w:rsidR="00A83A61">
              <w:rPr>
                <w:noProof/>
                <w:webHidden/>
              </w:rPr>
              <w:instrText xml:space="preserve"> PAGEREF _Toc54942646 \h </w:instrText>
            </w:r>
            <w:r w:rsidR="00A83A61">
              <w:rPr>
                <w:noProof/>
                <w:webHidden/>
              </w:rPr>
            </w:r>
            <w:r w:rsidR="00A83A61">
              <w:rPr>
                <w:noProof/>
                <w:webHidden/>
              </w:rPr>
              <w:fldChar w:fldCharType="separate"/>
            </w:r>
            <w:r w:rsidR="00B34DA5">
              <w:rPr>
                <w:noProof/>
                <w:webHidden/>
              </w:rPr>
              <w:t>5</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47" w:history="1">
            <w:r w:rsidR="00A83A61" w:rsidRPr="00B01DE4">
              <w:rPr>
                <w:rStyle w:val="Hyperlink"/>
                <w:rFonts w:ascii="Calibri" w:eastAsia="Times New Roman" w:hAnsi="Calibri" w:cs="Arial"/>
                <w:b/>
                <w:iCs/>
                <w:noProof/>
                <w:kern w:val="32"/>
                <w:lang w:eastAsia="en-AU"/>
              </w:rPr>
              <w:t>Assessment criteria</w:t>
            </w:r>
            <w:r w:rsidR="00A83A61">
              <w:rPr>
                <w:noProof/>
                <w:webHidden/>
              </w:rPr>
              <w:tab/>
            </w:r>
            <w:r w:rsidR="00A83A61">
              <w:rPr>
                <w:noProof/>
                <w:webHidden/>
              </w:rPr>
              <w:fldChar w:fldCharType="begin"/>
            </w:r>
            <w:r w:rsidR="00A83A61">
              <w:rPr>
                <w:noProof/>
                <w:webHidden/>
              </w:rPr>
              <w:instrText xml:space="preserve"> PAGEREF _Toc54942647 \h </w:instrText>
            </w:r>
            <w:r w:rsidR="00A83A61">
              <w:rPr>
                <w:noProof/>
                <w:webHidden/>
              </w:rPr>
            </w:r>
            <w:r w:rsidR="00A83A61">
              <w:rPr>
                <w:noProof/>
                <w:webHidden/>
              </w:rPr>
              <w:fldChar w:fldCharType="separate"/>
            </w:r>
            <w:r w:rsidR="00B34DA5">
              <w:rPr>
                <w:noProof/>
                <w:webHidden/>
              </w:rPr>
              <w:t>6</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48" w:history="1">
            <w:r w:rsidR="00A83A61" w:rsidRPr="00B01DE4">
              <w:rPr>
                <w:rStyle w:val="Hyperlink"/>
                <w:rFonts w:ascii="Calibri" w:eastAsia="Times New Roman" w:hAnsi="Calibri" w:cs="Arial"/>
                <w:b/>
                <w:iCs/>
                <w:noProof/>
                <w:kern w:val="32"/>
                <w:lang w:eastAsia="en-AU"/>
              </w:rPr>
              <w:t>Conclusion</w:t>
            </w:r>
            <w:r w:rsidR="00A83A61">
              <w:rPr>
                <w:noProof/>
                <w:webHidden/>
              </w:rPr>
              <w:tab/>
            </w:r>
            <w:r w:rsidR="00A83A61">
              <w:rPr>
                <w:noProof/>
                <w:webHidden/>
              </w:rPr>
              <w:fldChar w:fldCharType="begin"/>
            </w:r>
            <w:r w:rsidR="00A83A61">
              <w:rPr>
                <w:noProof/>
                <w:webHidden/>
              </w:rPr>
              <w:instrText xml:space="preserve"> PAGEREF _Toc54942648 \h </w:instrText>
            </w:r>
            <w:r w:rsidR="00A83A61">
              <w:rPr>
                <w:noProof/>
                <w:webHidden/>
              </w:rPr>
            </w:r>
            <w:r w:rsidR="00A83A61">
              <w:rPr>
                <w:noProof/>
                <w:webHidden/>
              </w:rPr>
              <w:fldChar w:fldCharType="separate"/>
            </w:r>
            <w:r w:rsidR="00B34DA5">
              <w:rPr>
                <w:noProof/>
                <w:webHidden/>
              </w:rPr>
              <w:t>8</w:t>
            </w:r>
            <w:r w:rsidR="00A83A61">
              <w:rPr>
                <w:noProof/>
                <w:webHidden/>
              </w:rPr>
              <w:fldChar w:fldCharType="end"/>
            </w:r>
          </w:hyperlink>
        </w:p>
        <w:p w:rsidR="00A83A61" w:rsidRDefault="00E03964">
          <w:pPr>
            <w:pStyle w:val="TOC1"/>
            <w:tabs>
              <w:tab w:val="right" w:leader="dot" w:pos="9628"/>
            </w:tabs>
            <w:rPr>
              <w:rFonts w:asciiTheme="minorHAnsi" w:eastAsiaTheme="minorEastAsia" w:hAnsiTheme="minorHAnsi"/>
              <w:b w:val="0"/>
              <w:noProof/>
              <w:sz w:val="22"/>
              <w:lang w:eastAsia="en-AU"/>
            </w:rPr>
          </w:pPr>
          <w:hyperlink w:anchor="_Toc54942649" w:history="1">
            <w:r w:rsidR="00A83A61" w:rsidRPr="00B01DE4">
              <w:rPr>
                <w:rStyle w:val="Hyperlink"/>
                <w:rFonts w:ascii="Calibri" w:eastAsia="Times New Roman" w:hAnsi="Calibri" w:cs="Arial"/>
                <w:caps/>
                <w:noProof/>
                <w:kern w:val="32"/>
                <w:lang w:eastAsia="en-AU"/>
              </w:rPr>
              <w:t>ANNEXURES</w:t>
            </w:r>
            <w:r w:rsidR="00A83A61">
              <w:rPr>
                <w:noProof/>
                <w:webHidden/>
              </w:rPr>
              <w:tab/>
            </w:r>
            <w:r w:rsidR="00A83A61">
              <w:rPr>
                <w:noProof/>
                <w:webHidden/>
              </w:rPr>
              <w:fldChar w:fldCharType="begin"/>
            </w:r>
            <w:r w:rsidR="00A83A61">
              <w:rPr>
                <w:noProof/>
                <w:webHidden/>
              </w:rPr>
              <w:instrText xml:space="preserve"> PAGEREF _Toc54942649 \h </w:instrText>
            </w:r>
            <w:r w:rsidR="00A83A61">
              <w:rPr>
                <w:noProof/>
                <w:webHidden/>
              </w:rPr>
            </w:r>
            <w:r w:rsidR="00A83A61">
              <w:rPr>
                <w:noProof/>
                <w:webHidden/>
              </w:rPr>
              <w:fldChar w:fldCharType="separate"/>
            </w:r>
            <w:r w:rsidR="00B34DA5">
              <w:rPr>
                <w:noProof/>
                <w:webHidden/>
              </w:rPr>
              <w:t>10</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50" w:history="1">
            <w:r w:rsidR="00A83A61" w:rsidRPr="00B01DE4">
              <w:rPr>
                <w:rStyle w:val="Hyperlink"/>
                <w:rFonts w:ascii="Calibri" w:eastAsia="Times New Roman" w:hAnsi="Calibri" w:cs="Arial"/>
                <w:b/>
                <w:iCs/>
                <w:noProof/>
                <w:kern w:val="32"/>
                <w:lang w:eastAsia="en-AU"/>
              </w:rPr>
              <w:t>Schedule of events</w:t>
            </w:r>
            <w:r w:rsidR="00A83A61">
              <w:rPr>
                <w:noProof/>
                <w:webHidden/>
              </w:rPr>
              <w:tab/>
            </w:r>
            <w:r w:rsidR="00A83A61">
              <w:rPr>
                <w:noProof/>
                <w:webHidden/>
              </w:rPr>
              <w:fldChar w:fldCharType="begin"/>
            </w:r>
            <w:r w:rsidR="00A83A61">
              <w:rPr>
                <w:noProof/>
                <w:webHidden/>
              </w:rPr>
              <w:instrText xml:space="preserve"> PAGEREF _Toc54942650 \h </w:instrText>
            </w:r>
            <w:r w:rsidR="00A83A61">
              <w:rPr>
                <w:noProof/>
                <w:webHidden/>
              </w:rPr>
            </w:r>
            <w:r w:rsidR="00A83A61">
              <w:rPr>
                <w:noProof/>
                <w:webHidden/>
              </w:rPr>
              <w:fldChar w:fldCharType="separate"/>
            </w:r>
            <w:r w:rsidR="00B34DA5">
              <w:rPr>
                <w:noProof/>
                <w:webHidden/>
              </w:rPr>
              <w:t>10</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51" w:history="1">
            <w:r w:rsidR="00A83A61" w:rsidRPr="00B01DE4">
              <w:rPr>
                <w:rStyle w:val="Hyperlink"/>
                <w:rFonts w:ascii="Calibri" w:eastAsia="Times New Roman" w:hAnsi="Calibri" w:cs="Arial"/>
                <w:b/>
                <w:iCs/>
                <w:noProof/>
                <w:kern w:val="32"/>
                <w:lang w:eastAsia="en-AU"/>
              </w:rPr>
              <w:t>Institutional arrangements and Governance of the AusNCP</w:t>
            </w:r>
            <w:r w:rsidR="00A83A61">
              <w:rPr>
                <w:noProof/>
                <w:webHidden/>
              </w:rPr>
              <w:tab/>
            </w:r>
            <w:r w:rsidR="00A83A61">
              <w:rPr>
                <w:noProof/>
                <w:webHidden/>
              </w:rPr>
              <w:fldChar w:fldCharType="begin"/>
            </w:r>
            <w:r w:rsidR="00A83A61">
              <w:rPr>
                <w:noProof/>
                <w:webHidden/>
              </w:rPr>
              <w:instrText xml:space="preserve"> PAGEREF _Toc54942651 \h </w:instrText>
            </w:r>
            <w:r w:rsidR="00A83A61">
              <w:rPr>
                <w:noProof/>
                <w:webHidden/>
              </w:rPr>
            </w:r>
            <w:r w:rsidR="00A83A61">
              <w:rPr>
                <w:noProof/>
                <w:webHidden/>
              </w:rPr>
              <w:fldChar w:fldCharType="separate"/>
            </w:r>
            <w:r w:rsidR="00B34DA5">
              <w:rPr>
                <w:noProof/>
                <w:webHidden/>
              </w:rPr>
              <w:t>10</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52" w:history="1">
            <w:r w:rsidR="00A83A61" w:rsidRPr="00B01DE4">
              <w:rPr>
                <w:rStyle w:val="Hyperlink"/>
                <w:rFonts w:ascii="Calibri" w:eastAsia="Times New Roman" w:hAnsi="Calibri" w:cs="Arial"/>
                <w:b/>
                <w:iCs/>
                <w:noProof/>
                <w:kern w:val="32"/>
                <w:lang w:eastAsia="en-AU"/>
              </w:rPr>
              <w:t>Observations regarding Guidelines assessment criteria</w:t>
            </w:r>
            <w:r w:rsidR="00A83A61">
              <w:rPr>
                <w:noProof/>
                <w:webHidden/>
              </w:rPr>
              <w:tab/>
            </w:r>
            <w:r w:rsidR="00A83A61">
              <w:rPr>
                <w:noProof/>
                <w:webHidden/>
              </w:rPr>
              <w:fldChar w:fldCharType="begin"/>
            </w:r>
            <w:r w:rsidR="00A83A61">
              <w:rPr>
                <w:noProof/>
                <w:webHidden/>
              </w:rPr>
              <w:instrText xml:space="preserve"> PAGEREF _Toc54942652 \h </w:instrText>
            </w:r>
            <w:r w:rsidR="00A83A61">
              <w:rPr>
                <w:noProof/>
                <w:webHidden/>
              </w:rPr>
            </w:r>
            <w:r w:rsidR="00A83A61">
              <w:rPr>
                <w:noProof/>
                <w:webHidden/>
              </w:rPr>
              <w:fldChar w:fldCharType="separate"/>
            </w:r>
            <w:r w:rsidR="00B34DA5">
              <w:rPr>
                <w:noProof/>
                <w:webHidden/>
              </w:rPr>
              <w:t>12</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3" w:history="1">
            <w:r w:rsidR="00A83A61" w:rsidRPr="00B01DE4">
              <w:rPr>
                <w:rStyle w:val="Hyperlink"/>
                <w:rFonts w:eastAsia="Times New Roman" w:cstheme="minorHAnsi"/>
                <w:i/>
                <w:iCs/>
                <w:noProof/>
                <w:lang w:eastAsia="en-AU"/>
              </w:rPr>
              <w:t>Criterion 1: Parties’ identities and interests</w:t>
            </w:r>
            <w:r w:rsidR="00A83A61">
              <w:rPr>
                <w:noProof/>
                <w:webHidden/>
              </w:rPr>
              <w:tab/>
            </w:r>
            <w:r w:rsidR="00A83A61">
              <w:rPr>
                <w:noProof/>
                <w:webHidden/>
              </w:rPr>
              <w:fldChar w:fldCharType="begin"/>
            </w:r>
            <w:r w:rsidR="00A83A61">
              <w:rPr>
                <w:noProof/>
                <w:webHidden/>
              </w:rPr>
              <w:instrText xml:space="preserve"> PAGEREF _Toc54942653 \h </w:instrText>
            </w:r>
            <w:r w:rsidR="00A83A61">
              <w:rPr>
                <w:noProof/>
                <w:webHidden/>
              </w:rPr>
            </w:r>
            <w:r w:rsidR="00A83A61">
              <w:rPr>
                <w:noProof/>
                <w:webHidden/>
              </w:rPr>
              <w:fldChar w:fldCharType="separate"/>
            </w:r>
            <w:r w:rsidR="00B34DA5">
              <w:rPr>
                <w:noProof/>
                <w:webHidden/>
              </w:rPr>
              <w:t>12</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4" w:history="1">
            <w:r w:rsidR="00A83A61" w:rsidRPr="00B01DE4">
              <w:rPr>
                <w:rStyle w:val="Hyperlink"/>
                <w:rFonts w:eastAsia="Times New Roman" w:cstheme="minorHAnsi"/>
                <w:i/>
                <w:iCs/>
                <w:noProof/>
                <w:lang w:eastAsia="en-AU"/>
              </w:rPr>
              <w:t>Criterion 2: Is the issue material and substantiated?</w:t>
            </w:r>
            <w:r w:rsidR="00A83A61">
              <w:rPr>
                <w:noProof/>
                <w:webHidden/>
              </w:rPr>
              <w:tab/>
            </w:r>
            <w:r w:rsidR="00A83A61">
              <w:rPr>
                <w:noProof/>
                <w:webHidden/>
              </w:rPr>
              <w:fldChar w:fldCharType="begin"/>
            </w:r>
            <w:r w:rsidR="00A83A61">
              <w:rPr>
                <w:noProof/>
                <w:webHidden/>
              </w:rPr>
              <w:instrText xml:space="preserve"> PAGEREF _Toc54942654 \h </w:instrText>
            </w:r>
            <w:r w:rsidR="00A83A61">
              <w:rPr>
                <w:noProof/>
                <w:webHidden/>
              </w:rPr>
            </w:r>
            <w:r w:rsidR="00A83A61">
              <w:rPr>
                <w:noProof/>
                <w:webHidden/>
              </w:rPr>
              <w:fldChar w:fldCharType="separate"/>
            </w:r>
            <w:r w:rsidR="00B34DA5">
              <w:rPr>
                <w:noProof/>
                <w:webHidden/>
              </w:rPr>
              <w:t>12</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5" w:history="1">
            <w:r w:rsidR="00A83A61" w:rsidRPr="00B01DE4">
              <w:rPr>
                <w:rStyle w:val="Hyperlink"/>
                <w:rFonts w:eastAsia="Times New Roman" w:cstheme="minorHAnsi"/>
                <w:i/>
                <w:iCs/>
                <w:noProof/>
                <w:lang w:eastAsia="en-AU"/>
              </w:rPr>
              <w:t>Criterion 3: Link between the enterprise’s activities and the issue</w:t>
            </w:r>
            <w:r w:rsidR="00A83A61">
              <w:rPr>
                <w:noProof/>
                <w:webHidden/>
              </w:rPr>
              <w:tab/>
            </w:r>
            <w:r w:rsidR="00A83A61">
              <w:rPr>
                <w:noProof/>
                <w:webHidden/>
              </w:rPr>
              <w:fldChar w:fldCharType="begin"/>
            </w:r>
            <w:r w:rsidR="00A83A61">
              <w:rPr>
                <w:noProof/>
                <w:webHidden/>
              </w:rPr>
              <w:instrText xml:space="preserve"> PAGEREF _Toc54942655 \h </w:instrText>
            </w:r>
            <w:r w:rsidR="00A83A61">
              <w:rPr>
                <w:noProof/>
                <w:webHidden/>
              </w:rPr>
            </w:r>
            <w:r w:rsidR="00A83A61">
              <w:rPr>
                <w:noProof/>
                <w:webHidden/>
              </w:rPr>
              <w:fldChar w:fldCharType="separate"/>
            </w:r>
            <w:r w:rsidR="00B34DA5">
              <w:rPr>
                <w:noProof/>
                <w:webHidden/>
              </w:rPr>
              <w:t>13</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6" w:history="1">
            <w:r w:rsidR="00A83A61" w:rsidRPr="00B01DE4">
              <w:rPr>
                <w:rStyle w:val="Hyperlink"/>
                <w:rFonts w:eastAsia="Times New Roman" w:cstheme="minorHAnsi"/>
                <w:i/>
                <w:iCs/>
                <w:noProof/>
                <w:lang w:eastAsia="en-AU"/>
              </w:rPr>
              <w:t>Criterion 4: Applicable law and procedures</w:t>
            </w:r>
            <w:r w:rsidR="00A83A61">
              <w:rPr>
                <w:noProof/>
                <w:webHidden/>
              </w:rPr>
              <w:tab/>
            </w:r>
            <w:r w:rsidR="00A83A61">
              <w:rPr>
                <w:noProof/>
                <w:webHidden/>
              </w:rPr>
              <w:fldChar w:fldCharType="begin"/>
            </w:r>
            <w:r w:rsidR="00A83A61">
              <w:rPr>
                <w:noProof/>
                <w:webHidden/>
              </w:rPr>
              <w:instrText xml:space="preserve"> PAGEREF _Toc54942656 \h </w:instrText>
            </w:r>
            <w:r w:rsidR="00A83A61">
              <w:rPr>
                <w:noProof/>
                <w:webHidden/>
              </w:rPr>
            </w:r>
            <w:r w:rsidR="00A83A61">
              <w:rPr>
                <w:noProof/>
                <w:webHidden/>
              </w:rPr>
              <w:fldChar w:fldCharType="separate"/>
            </w:r>
            <w:r w:rsidR="00B34DA5">
              <w:rPr>
                <w:noProof/>
                <w:webHidden/>
              </w:rPr>
              <w:t>14</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7" w:history="1">
            <w:r w:rsidR="00A83A61" w:rsidRPr="00B01DE4">
              <w:rPr>
                <w:rStyle w:val="Hyperlink"/>
                <w:rFonts w:eastAsia="Times New Roman" w:cstheme="minorHAnsi"/>
                <w:i/>
                <w:iCs/>
                <w:noProof/>
                <w:lang w:eastAsia="en-AU"/>
              </w:rPr>
              <w:t>Criterion 5: Treatment of similar issues in domestic or international proceedings</w:t>
            </w:r>
            <w:r w:rsidR="00A83A61">
              <w:rPr>
                <w:noProof/>
                <w:webHidden/>
              </w:rPr>
              <w:tab/>
            </w:r>
            <w:r w:rsidR="00A83A61">
              <w:rPr>
                <w:noProof/>
                <w:webHidden/>
              </w:rPr>
              <w:fldChar w:fldCharType="begin"/>
            </w:r>
            <w:r w:rsidR="00A83A61">
              <w:rPr>
                <w:noProof/>
                <w:webHidden/>
              </w:rPr>
              <w:instrText xml:space="preserve"> PAGEREF _Toc54942657 \h </w:instrText>
            </w:r>
            <w:r w:rsidR="00A83A61">
              <w:rPr>
                <w:noProof/>
                <w:webHidden/>
              </w:rPr>
            </w:r>
            <w:r w:rsidR="00A83A61">
              <w:rPr>
                <w:noProof/>
                <w:webHidden/>
              </w:rPr>
              <w:fldChar w:fldCharType="separate"/>
            </w:r>
            <w:r w:rsidR="00B34DA5">
              <w:rPr>
                <w:noProof/>
                <w:webHidden/>
              </w:rPr>
              <w:t>17</w:t>
            </w:r>
            <w:r w:rsidR="00A83A61">
              <w:rPr>
                <w:noProof/>
                <w:webHidden/>
              </w:rPr>
              <w:fldChar w:fldCharType="end"/>
            </w:r>
          </w:hyperlink>
        </w:p>
        <w:p w:rsidR="00A83A61" w:rsidRDefault="00E03964">
          <w:pPr>
            <w:pStyle w:val="TOC3"/>
            <w:rPr>
              <w:rFonts w:asciiTheme="minorHAnsi" w:eastAsiaTheme="minorEastAsia" w:hAnsiTheme="minorHAnsi"/>
              <w:noProof/>
              <w:sz w:val="22"/>
              <w:lang w:eastAsia="en-AU"/>
            </w:rPr>
          </w:pPr>
          <w:hyperlink w:anchor="_Toc54942658" w:history="1">
            <w:r w:rsidR="00A83A61" w:rsidRPr="00B01DE4">
              <w:rPr>
                <w:rStyle w:val="Hyperlink"/>
                <w:rFonts w:eastAsia="Times New Roman" w:cstheme="minorHAnsi"/>
                <w:i/>
                <w:iCs/>
                <w:noProof/>
                <w:lang w:eastAsia="en-AU"/>
              </w:rPr>
              <w:t>Criterion 6: The purposes and effectiveness of the OECD Guidelines</w:t>
            </w:r>
            <w:r w:rsidR="00A83A61">
              <w:rPr>
                <w:noProof/>
                <w:webHidden/>
              </w:rPr>
              <w:tab/>
            </w:r>
            <w:r w:rsidR="00A83A61">
              <w:rPr>
                <w:noProof/>
                <w:webHidden/>
              </w:rPr>
              <w:fldChar w:fldCharType="begin"/>
            </w:r>
            <w:r w:rsidR="00A83A61">
              <w:rPr>
                <w:noProof/>
                <w:webHidden/>
              </w:rPr>
              <w:instrText xml:space="preserve"> PAGEREF _Toc54942658 \h </w:instrText>
            </w:r>
            <w:r w:rsidR="00A83A61">
              <w:rPr>
                <w:noProof/>
                <w:webHidden/>
              </w:rPr>
            </w:r>
            <w:r w:rsidR="00A83A61">
              <w:rPr>
                <w:noProof/>
                <w:webHidden/>
              </w:rPr>
              <w:fldChar w:fldCharType="separate"/>
            </w:r>
            <w:r w:rsidR="00B34DA5">
              <w:rPr>
                <w:noProof/>
                <w:webHidden/>
              </w:rPr>
              <w:t>19</w:t>
            </w:r>
            <w:r w:rsidR="00A83A61">
              <w:rPr>
                <w:noProof/>
                <w:webHidden/>
              </w:rPr>
              <w:fldChar w:fldCharType="end"/>
            </w:r>
          </w:hyperlink>
        </w:p>
        <w:p w:rsidR="00A83A61" w:rsidRDefault="00E03964">
          <w:pPr>
            <w:pStyle w:val="TOC2"/>
            <w:tabs>
              <w:tab w:val="right" w:leader="dot" w:pos="9628"/>
            </w:tabs>
            <w:rPr>
              <w:rFonts w:asciiTheme="minorHAnsi" w:eastAsiaTheme="minorEastAsia" w:hAnsiTheme="minorHAnsi"/>
              <w:i w:val="0"/>
              <w:noProof/>
              <w:sz w:val="22"/>
              <w:lang w:eastAsia="en-AU"/>
            </w:rPr>
          </w:pPr>
          <w:hyperlink w:anchor="_Toc54942659" w:history="1">
            <w:r w:rsidR="00A83A61" w:rsidRPr="00B01DE4">
              <w:rPr>
                <w:rStyle w:val="Hyperlink"/>
                <w:rFonts w:ascii="Calibri" w:eastAsia="Times New Roman" w:hAnsi="Calibri" w:cs="Arial"/>
                <w:b/>
                <w:iCs/>
                <w:noProof/>
                <w:kern w:val="32"/>
                <w:lang w:eastAsia="en-AU"/>
              </w:rPr>
              <w:t>Endnotes</w:t>
            </w:r>
            <w:r w:rsidR="00A83A61">
              <w:rPr>
                <w:noProof/>
                <w:webHidden/>
              </w:rPr>
              <w:tab/>
            </w:r>
            <w:r w:rsidR="00A83A61">
              <w:rPr>
                <w:noProof/>
                <w:webHidden/>
              </w:rPr>
              <w:fldChar w:fldCharType="begin"/>
            </w:r>
            <w:r w:rsidR="00A83A61">
              <w:rPr>
                <w:noProof/>
                <w:webHidden/>
              </w:rPr>
              <w:instrText xml:space="preserve"> PAGEREF _Toc54942659 \h </w:instrText>
            </w:r>
            <w:r w:rsidR="00A83A61">
              <w:rPr>
                <w:noProof/>
                <w:webHidden/>
              </w:rPr>
            </w:r>
            <w:r w:rsidR="00A83A61">
              <w:rPr>
                <w:noProof/>
                <w:webHidden/>
              </w:rPr>
              <w:fldChar w:fldCharType="separate"/>
            </w:r>
            <w:r w:rsidR="00B34DA5">
              <w:rPr>
                <w:noProof/>
                <w:webHidden/>
              </w:rPr>
              <w:t>20</w:t>
            </w:r>
            <w:r w:rsidR="00A83A61">
              <w:rPr>
                <w:noProof/>
                <w:webHidden/>
              </w:rPr>
              <w:fldChar w:fldCharType="end"/>
            </w:r>
          </w:hyperlink>
        </w:p>
        <w:p w:rsidR="00FD6E77" w:rsidRPr="00FC1BF2" w:rsidRDefault="00FD6E77" w:rsidP="0019588C">
          <w:pPr>
            <w:pStyle w:val="OutlineNumbered1"/>
            <w:rPr>
              <w:rFonts w:ascii="Century Gothic" w:hAnsi="Century Gothic"/>
              <w:b/>
              <w:sz w:val="22"/>
            </w:rPr>
          </w:pPr>
          <w:r w:rsidRPr="00FC1BF2">
            <w:rPr>
              <w:rFonts w:ascii="Century Gothic" w:hAnsi="Century Gothic"/>
              <w:sz w:val="22"/>
            </w:rPr>
            <w:fldChar w:fldCharType="end"/>
          </w:r>
        </w:p>
      </w:sdtContent>
    </w:sdt>
    <w:p w:rsidR="00FD6E77" w:rsidRPr="00FC1BF2" w:rsidRDefault="00FD6E77" w:rsidP="0019588C">
      <w:pPr>
        <w:pStyle w:val="OutlineNumbered1"/>
        <w:rPr>
          <w:rFonts w:ascii="Century Gothic" w:hAnsi="Century Gothic"/>
          <w:b/>
          <w:sz w:val="22"/>
        </w:rPr>
      </w:pPr>
    </w:p>
    <w:p w:rsidR="00FD6E77" w:rsidRPr="00FC1BF2" w:rsidRDefault="00FD6E77" w:rsidP="0019588C">
      <w:pPr>
        <w:pStyle w:val="OutlineNumbered1"/>
        <w:rPr>
          <w:rFonts w:ascii="Century Gothic" w:hAnsi="Century Gothic"/>
          <w:b/>
          <w:sz w:val="22"/>
        </w:rPr>
      </w:pPr>
    </w:p>
    <w:p w:rsidR="00FD6E77" w:rsidRPr="00FC1BF2" w:rsidRDefault="00FD6E77" w:rsidP="0019588C">
      <w:pPr>
        <w:pStyle w:val="Heading1"/>
        <w:keepLines w:val="0"/>
        <w:pageBreakBefore/>
        <w:pBdr>
          <w:bottom w:val="single" w:sz="12" w:space="10" w:color="3A87C8"/>
        </w:pBdr>
        <w:spacing w:before="360" w:line="240" w:lineRule="auto"/>
        <w:rPr>
          <w:rFonts w:ascii="Calibri" w:eastAsia="Times New Roman" w:hAnsi="Calibri" w:cs="Arial"/>
          <w:bCs w:val="0"/>
          <w:caps/>
          <w:color w:val="3A87C8"/>
          <w:kern w:val="32"/>
          <w:sz w:val="44"/>
          <w:szCs w:val="36"/>
          <w:lang w:eastAsia="en-AU"/>
        </w:rPr>
      </w:pPr>
      <w:bookmarkStart w:id="1" w:name="_Toc34504297"/>
      <w:bookmarkStart w:id="2" w:name="_Toc54942644"/>
      <w:r w:rsidRPr="00FC1BF2">
        <w:rPr>
          <w:rFonts w:ascii="Calibri" w:eastAsia="Times New Roman" w:hAnsi="Calibri" w:cs="Arial"/>
          <w:bCs w:val="0"/>
          <w:caps/>
          <w:color w:val="3A87C8"/>
          <w:kern w:val="32"/>
          <w:sz w:val="44"/>
          <w:szCs w:val="36"/>
          <w:lang w:eastAsia="en-AU"/>
        </w:rPr>
        <w:lastRenderedPageBreak/>
        <w:t>Executive summary</w:t>
      </w:r>
      <w:bookmarkEnd w:id="1"/>
      <w:bookmarkEnd w:id="2"/>
    </w:p>
    <w:p w:rsidR="00FD6E77" w:rsidRPr="00FC1BF2" w:rsidRDefault="00237856" w:rsidP="0019588C">
      <w:pPr>
        <w:pStyle w:val="OutlineNumbered1"/>
        <w:numPr>
          <w:ilvl w:val="0"/>
          <w:numId w:val="10"/>
        </w:numPr>
        <w:spacing w:before="240" w:line="280" w:lineRule="exact"/>
        <w:ind w:left="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w:t>
      </w:r>
      <w:r w:rsidR="00FD6E77" w:rsidRPr="00FC1BF2">
        <w:rPr>
          <w:rFonts w:ascii="Century Gothic" w:eastAsia="Times New Roman" w:hAnsi="Century Gothic" w:cs="Times New Roman"/>
          <w:color w:val="000000" w:themeColor="text1"/>
          <w:sz w:val="22"/>
          <w:lang w:eastAsia="en-AU"/>
        </w:rPr>
        <w:t xml:space="preserve"> Australian National Contact Point (</w:t>
      </w:r>
      <w:r w:rsidR="00FD6E77" w:rsidRPr="00FC1BF2">
        <w:rPr>
          <w:rFonts w:ascii="Century Gothic" w:eastAsia="Times New Roman" w:hAnsi="Century Gothic" w:cs="Times New Roman"/>
          <w:b/>
          <w:bCs/>
          <w:color w:val="000000" w:themeColor="text1"/>
          <w:sz w:val="22"/>
          <w:lang w:eastAsia="en-AU"/>
        </w:rPr>
        <w:t>AusNCP</w:t>
      </w:r>
      <w:r w:rsidR="00FD6E77" w:rsidRPr="00FC1BF2">
        <w:rPr>
          <w:rFonts w:ascii="Century Gothic" w:eastAsia="Times New Roman" w:hAnsi="Century Gothic" w:cs="Times New Roman"/>
          <w:color w:val="000000" w:themeColor="text1"/>
          <w:sz w:val="22"/>
          <w:lang w:eastAsia="en-AU"/>
        </w:rPr>
        <w:t>) received a complaint from the NGO ‘Friends of the Earth Australia’ (</w:t>
      </w:r>
      <w:r w:rsidR="00FD6E77" w:rsidRPr="00FC1BF2">
        <w:rPr>
          <w:rFonts w:ascii="Century Gothic" w:eastAsia="Times New Roman" w:hAnsi="Century Gothic" w:cs="Times New Roman"/>
          <w:b/>
          <w:color w:val="000000" w:themeColor="text1"/>
          <w:sz w:val="22"/>
          <w:lang w:eastAsia="en-AU"/>
        </w:rPr>
        <w:t>FoE</w:t>
      </w:r>
      <w:r w:rsidR="00FD6E77" w:rsidRPr="00FC1BF2">
        <w:rPr>
          <w:rFonts w:ascii="Century Gothic" w:eastAsia="Times New Roman" w:hAnsi="Century Gothic" w:cs="Times New Roman"/>
          <w:color w:val="000000" w:themeColor="text1"/>
          <w:sz w:val="22"/>
          <w:lang w:eastAsia="en-AU"/>
        </w:rPr>
        <w:t xml:space="preserve">) and three individuals (collectively, the </w:t>
      </w:r>
      <w:r w:rsidR="00FD6E77" w:rsidRPr="00FC1BF2">
        <w:rPr>
          <w:rFonts w:ascii="Century Gothic" w:eastAsia="Times New Roman" w:hAnsi="Century Gothic" w:cs="Times New Roman"/>
          <w:b/>
          <w:bCs/>
          <w:color w:val="000000" w:themeColor="text1"/>
          <w:sz w:val="22"/>
          <w:lang w:eastAsia="en-AU"/>
        </w:rPr>
        <w:t>Notifiers</w:t>
      </w:r>
      <w:r w:rsidR="00FD6E77" w:rsidRPr="00FC1BF2">
        <w:rPr>
          <w:rFonts w:ascii="Century Gothic" w:eastAsia="Times New Roman" w:hAnsi="Century Gothic" w:cs="Times New Roman"/>
          <w:color w:val="000000" w:themeColor="text1"/>
          <w:sz w:val="22"/>
          <w:lang w:eastAsia="en-AU"/>
        </w:rPr>
        <w:t>) against the Australia and New Zealand Banking Group Ltd (</w:t>
      </w:r>
      <w:r w:rsidR="00FD6E77" w:rsidRPr="00FC1BF2">
        <w:rPr>
          <w:rFonts w:ascii="Century Gothic" w:eastAsia="Times New Roman" w:hAnsi="Century Gothic" w:cs="Times New Roman"/>
          <w:b/>
          <w:bCs/>
          <w:color w:val="000000" w:themeColor="text1"/>
          <w:sz w:val="22"/>
          <w:lang w:eastAsia="en-AU"/>
        </w:rPr>
        <w:t>ANZ</w:t>
      </w:r>
      <w:r w:rsidR="00FD6E77" w:rsidRPr="00FC1BF2">
        <w:rPr>
          <w:rFonts w:ascii="Century Gothic" w:eastAsia="Times New Roman" w:hAnsi="Century Gothic" w:cs="Times New Roman"/>
          <w:color w:val="000000" w:themeColor="text1"/>
          <w:sz w:val="22"/>
          <w:lang w:eastAsia="en-AU"/>
        </w:rPr>
        <w:t>).</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allege</w:t>
      </w:r>
      <w:r w:rsidR="00D829C3" w:rsidRPr="00FC1BF2">
        <w:rPr>
          <w:rFonts w:ascii="Century Gothic" w:eastAsia="Times New Roman" w:hAnsi="Century Gothic" w:cs="Times New Roman"/>
          <w:color w:val="000000" w:themeColor="text1"/>
          <w:sz w:val="22"/>
          <w:lang w:eastAsia="en-AU"/>
        </w:rPr>
        <w:t>s</w:t>
      </w:r>
      <w:r w:rsidRPr="00FC1BF2">
        <w:rPr>
          <w:rFonts w:ascii="Century Gothic" w:eastAsia="Times New Roman" w:hAnsi="Century Gothic" w:cs="Times New Roman"/>
          <w:color w:val="000000" w:themeColor="text1"/>
          <w:sz w:val="22"/>
          <w:lang w:eastAsia="en-AU"/>
        </w:rPr>
        <w:t xml:space="preserve"> ANZ’s lending and investment practices do not adhere to the </w:t>
      </w:r>
      <w:r w:rsidRPr="00FC1BF2">
        <w:rPr>
          <w:rFonts w:ascii="Century Gothic" w:eastAsia="Times New Roman" w:hAnsi="Century Gothic" w:cs="Times New Roman"/>
          <w:i/>
          <w:iCs/>
          <w:color w:val="000000" w:themeColor="text1"/>
          <w:sz w:val="22"/>
          <w:lang w:eastAsia="en-AU"/>
        </w:rPr>
        <w:t>OECD Guidelines for Multinational Enterprises</w:t>
      </w:r>
      <w:r w:rsidRPr="00FC1BF2">
        <w:rPr>
          <w:rFonts w:ascii="Century Gothic" w:eastAsia="Times New Roman" w:hAnsi="Century Gothic" w:cs="Times New Roman"/>
          <w:iCs/>
          <w:color w:val="000000" w:themeColor="text1"/>
          <w:sz w:val="22"/>
          <w:lang w:eastAsia="en-AU"/>
        </w:rPr>
        <w:t xml:space="preserve"> (</w:t>
      </w:r>
      <w:r w:rsidRPr="00FC1BF2">
        <w:rPr>
          <w:rFonts w:ascii="Century Gothic" w:eastAsia="Times New Roman" w:hAnsi="Century Gothic" w:cs="Times New Roman"/>
          <w:b/>
          <w:iCs/>
          <w:color w:val="000000" w:themeColor="text1"/>
          <w:sz w:val="22"/>
          <w:lang w:eastAsia="en-AU"/>
        </w:rPr>
        <w:t>OECD Guidelines</w:t>
      </w:r>
      <w:r w:rsidRPr="00FC1BF2">
        <w:rPr>
          <w:rFonts w:ascii="Century Gothic" w:eastAsia="Times New Roman" w:hAnsi="Century Gothic" w:cs="Times New Roman"/>
          <w:iCs/>
          <w:color w:val="000000" w:themeColor="text1"/>
          <w:sz w:val="22"/>
          <w:lang w:eastAsia="en-AU"/>
        </w:rPr>
        <w:t>)</w:t>
      </w:r>
      <w:r w:rsidRPr="00FC1BF2">
        <w:rPr>
          <w:rFonts w:ascii="Century Gothic" w:eastAsia="Times New Roman" w:hAnsi="Century Gothic" w:cs="Times New Roman"/>
          <w:color w:val="000000" w:themeColor="text1"/>
          <w:sz w:val="22"/>
          <w:lang w:eastAsia="en-AU"/>
        </w:rPr>
        <w:t>, regarding issues around fossil fuels, greenhouse gas (</w:t>
      </w:r>
      <w:r w:rsidRPr="00FC1BF2">
        <w:rPr>
          <w:rFonts w:ascii="Century Gothic" w:eastAsia="Times New Roman" w:hAnsi="Century Gothic" w:cs="Times New Roman"/>
          <w:b/>
          <w:color w:val="000000" w:themeColor="text1"/>
          <w:sz w:val="22"/>
          <w:lang w:eastAsia="en-AU"/>
        </w:rPr>
        <w:t>GHG</w:t>
      </w:r>
      <w:r w:rsidRPr="00FC1BF2">
        <w:rPr>
          <w:rFonts w:ascii="Century Gothic" w:eastAsia="Times New Roman" w:hAnsi="Century Gothic" w:cs="Times New Roman"/>
          <w:color w:val="000000" w:themeColor="text1"/>
          <w:sz w:val="22"/>
          <w:lang w:eastAsia="en-AU"/>
        </w:rPr>
        <w:t>) emissions and climate change. The Complaint identifie</w:t>
      </w:r>
      <w:r w:rsidR="00D829C3" w:rsidRPr="00FC1BF2">
        <w:rPr>
          <w:rFonts w:ascii="Century Gothic" w:eastAsia="Times New Roman" w:hAnsi="Century Gothic" w:cs="Times New Roman"/>
          <w:color w:val="000000" w:themeColor="text1"/>
          <w:sz w:val="22"/>
          <w:lang w:eastAsia="en-AU"/>
        </w:rPr>
        <w:t>s</w:t>
      </w:r>
      <w:r w:rsidRPr="00FC1BF2">
        <w:rPr>
          <w:rFonts w:ascii="Century Gothic" w:eastAsia="Times New Roman" w:hAnsi="Century Gothic" w:cs="Times New Roman"/>
          <w:color w:val="000000" w:themeColor="text1"/>
          <w:sz w:val="22"/>
          <w:lang w:eastAsia="en-AU"/>
        </w:rPr>
        <w:t xml:space="preserve"> aspects of ANZ’s disclosure, investments, target-setting and scenario-analysis as breaching the OECD Guidelines.</w:t>
      </w:r>
    </w:p>
    <w:p w:rsidR="00237856"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AusNCP Independent Examiner considered the six admissibility criteria of the Initial Assessment process</w:t>
      </w:r>
      <w:r w:rsidR="00D829C3" w:rsidRPr="00FC1BF2">
        <w:rPr>
          <w:rFonts w:ascii="Century Gothic" w:eastAsia="Times New Roman" w:hAnsi="Century Gothic" w:cs="Times New Roman"/>
          <w:color w:val="000000" w:themeColor="text1"/>
          <w:sz w:val="22"/>
          <w:lang w:eastAsia="en-AU"/>
        </w:rPr>
        <w:t>, engaged with the parties</w:t>
      </w:r>
      <w:r w:rsidR="00B13762" w:rsidRPr="00FC1BF2">
        <w:rPr>
          <w:rFonts w:ascii="Century Gothic" w:eastAsia="Times New Roman" w:hAnsi="Century Gothic" w:cs="Times New Roman"/>
          <w:color w:val="000000" w:themeColor="text1"/>
          <w:sz w:val="22"/>
          <w:lang w:eastAsia="en-AU"/>
        </w:rPr>
        <w:t xml:space="preserve"> (the Notifiers and ANZ)</w:t>
      </w:r>
      <w:r w:rsidR="00D829C3"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and determined to </w:t>
      </w:r>
      <w:r w:rsidR="00235AE8" w:rsidRPr="00FC1BF2">
        <w:rPr>
          <w:rFonts w:ascii="Century Gothic" w:eastAsia="Times New Roman" w:hAnsi="Century Gothic" w:cs="Times New Roman"/>
          <w:color w:val="000000" w:themeColor="text1"/>
          <w:sz w:val="22"/>
          <w:lang w:eastAsia="en-AU"/>
        </w:rPr>
        <w:t xml:space="preserve">accept the complaint and </w:t>
      </w:r>
      <w:r w:rsidR="00D829C3" w:rsidRPr="00FC1BF2">
        <w:rPr>
          <w:rFonts w:ascii="Century Gothic" w:eastAsia="Times New Roman" w:hAnsi="Century Gothic" w:cs="Times New Roman"/>
          <w:color w:val="000000" w:themeColor="text1"/>
          <w:sz w:val="22"/>
          <w:lang w:eastAsia="en-AU"/>
        </w:rPr>
        <w:t xml:space="preserve">offer </w:t>
      </w:r>
      <w:r w:rsidR="00237856" w:rsidRPr="00FC1BF2">
        <w:rPr>
          <w:rFonts w:ascii="Century Gothic" w:eastAsia="Times New Roman" w:hAnsi="Century Gothic" w:cs="Times New Roman"/>
          <w:color w:val="000000" w:themeColor="text1"/>
          <w:sz w:val="22"/>
          <w:lang w:eastAsia="en-AU"/>
        </w:rPr>
        <w:t>‘</w:t>
      </w:r>
      <w:r w:rsidR="00D829C3" w:rsidRPr="00FC1BF2">
        <w:rPr>
          <w:rFonts w:ascii="Century Gothic" w:eastAsia="Times New Roman" w:hAnsi="Century Gothic" w:cs="Times New Roman"/>
          <w:color w:val="000000" w:themeColor="text1"/>
          <w:sz w:val="22"/>
          <w:lang w:eastAsia="en-AU"/>
        </w:rPr>
        <w:t>good offices</w:t>
      </w:r>
      <w:r w:rsidR="00237856" w:rsidRPr="00FC1BF2">
        <w:rPr>
          <w:rFonts w:ascii="Century Gothic" w:eastAsia="Times New Roman" w:hAnsi="Century Gothic" w:cs="Times New Roman"/>
          <w:color w:val="000000" w:themeColor="text1"/>
          <w:sz w:val="22"/>
          <w:lang w:eastAsia="en-AU"/>
        </w:rPr>
        <w:t>’</w:t>
      </w:r>
      <w:r w:rsidR="00D829C3" w:rsidRPr="00FC1BF2">
        <w:rPr>
          <w:rFonts w:ascii="Century Gothic" w:eastAsia="Times New Roman" w:hAnsi="Century Gothic" w:cs="Times New Roman"/>
          <w:color w:val="000000" w:themeColor="text1"/>
          <w:sz w:val="22"/>
          <w:lang w:eastAsia="en-AU"/>
        </w:rPr>
        <w:t xml:space="preserve"> to the parties</w:t>
      </w:r>
      <w:r w:rsidRPr="00FC1BF2">
        <w:rPr>
          <w:rFonts w:ascii="Century Gothic" w:eastAsia="Times New Roman" w:hAnsi="Century Gothic" w:cs="Times New Roman"/>
          <w:color w:val="000000" w:themeColor="text1"/>
          <w:sz w:val="22"/>
          <w:lang w:eastAsia="en-AU"/>
        </w:rPr>
        <w:t xml:space="preserve">. </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following observations were made during the </w:t>
      </w:r>
      <w:r w:rsidR="00237856" w:rsidRPr="00FC1BF2">
        <w:rPr>
          <w:rFonts w:ascii="Century Gothic" w:eastAsia="Times New Roman" w:hAnsi="Century Gothic" w:cs="Times New Roman"/>
          <w:color w:val="000000" w:themeColor="text1"/>
          <w:sz w:val="22"/>
          <w:lang w:eastAsia="en-AU"/>
        </w:rPr>
        <w:t>Initial A</w:t>
      </w:r>
      <w:r w:rsidRPr="00FC1BF2">
        <w:rPr>
          <w:rFonts w:ascii="Century Gothic" w:eastAsia="Times New Roman" w:hAnsi="Century Gothic" w:cs="Times New Roman"/>
          <w:color w:val="000000" w:themeColor="text1"/>
          <w:sz w:val="22"/>
          <w:lang w:eastAsia="en-AU"/>
        </w:rPr>
        <w:t>ssessment.</w:t>
      </w:r>
    </w:p>
    <w:p w:rsidR="00D829C3" w:rsidRPr="00FC1BF2" w:rsidRDefault="00FD6E77" w:rsidP="0023785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raise</w:t>
      </w:r>
      <w:r w:rsidR="00235AE8" w:rsidRPr="00FC1BF2">
        <w:rPr>
          <w:rFonts w:ascii="Century Gothic" w:eastAsia="Times New Roman" w:hAnsi="Century Gothic" w:cs="Times New Roman"/>
          <w:color w:val="000000" w:themeColor="text1"/>
          <w:sz w:val="22"/>
          <w:lang w:eastAsia="en-AU"/>
        </w:rPr>
        <w:t>s</w:t>
      </w:r>
      <w:r w:rsidRPr="00FC1BF2">
        <w:rPr>
          <w:rFonts w:ascii="Century Gothic" w:eastAsia="Times New Roman" w:hAnsi="Century Gothic" w:cs="Times New Roman"/>
          <w:color w:val="000000" w:themeColor="text1"/>
          <w:sz w:val="22"/>
          <w:lang w:eastAsia="en-AU"/>
        </w:rPr>
        <w:t xml:space="preserve"> multiple issues, some of </w:t>
      </w:r>
      <w:r w:rsidR="006A7AAD" w:rsidRPr="00FC1BF2">
        <w:rPr>
          <w:rFonts w:ascii="Century Gothic" w:eastAsia="Times New Roman" w:hAnsi="Century Gothic" w:cs="Times New Roman"/>
          <w:color w:val="000000" w:themeColor="text1"/>
          <w:sz w:val="22"/>
          <w:lang w:eastAsia="en-AU"/>
        </w:rPr>
        <w:t>which are</w:t>
      </w:r>
      <w:r w:rsidRPr="00FC1BF2">
        <w:rPr>
          <w:rFonts w:ascii="Century Gothic" w:eastAsia="Times New Roman" w:hAnsi="Century Gothic" w:cs="Times New Roman"/>
          <w:color w:val="000000" w:themeColor="text1"/>
          <w:sz w:val="22"/>
          <w:lang w:eastAsia="en-AU"/>
        </w:rPr>
        <w:t xml:space="preserve"> outside the scope of the OECD Guidelines– particularly regarding divestment from fossil fuels.</w:t>
      </w:r>
      <w:r w:rsidR="006A7AAD" w:rsidRPr="00FC1BF2">
        <w:rPr>
          <w:rFonts w:ascii="Century Gothic" w:eastAsia="Times New Roman" w:hAnsi="Century Gothic" w:cs="Times New Roman"/>
          <w:color w:val="000000" w:themeColor="text1"/>
          <w:sz w:val="22"/>
          <w:lang w:eastAsia="en-AU"/>
        </w:rPr>
        <w:t xml:space="preserve"> But most </w:t>
      </w:r>
      <w:r w:rsidRPr="00FC1BF2">
        <w:rPr>
          <w:rFonts w:ascii="Century Gothic" w:eastAsia="Times New Roman" w:hAnsi="Century Gothic" w:cs="Times New Roman"/>
          <w:color w:val="000000" w:themeColor="text1"/>
          <w:sz w:val="22"/>
          <w:lang w:eastAsia="en-AU"/>
        </w:rPr>
        <w:t xml:space="preserve">aspects of the Complaint </w:t>
      </w:r>
      <w:r w:rsidR="006A7AAD" w:rsidRPr="00FC1BF2">
        <w:rPr>
          <w:rFonts w:ascii="Century Gothic" w:eastAsia="Times New Roman" w:hAnsi="Century Gothic" w:cs="Times New Roman"/>
          <w:color w:val="000000" w:themeColor="text1"/>
          <w:sz w:val="22"/>
          <w:lang w:eastAsia="en-AU"/>
        </w:rPr>
        <w:t>are</w:t>
      </w:r>
      <w:r w:rsidRPr="00FC1BF2">
        <w:rPr>
          <w:rFonts w:ascii="Century Gothic" w:eastAsia="Times New Roman" w:hAnsi="Century Gothic" w:cs="Times New Roman"/>
          <w:color w:val="000000" w:themeColor="text1"/>
          <w:sz w:val="22"/>
          <w:lang w:eastAsia="en-AU"/>
        </w:rPr>
        <w:t xml:space="preserve"> within the scope of the OECD Guidelines – particularly regarding disclosure, target-setting and scenario analysis. These are issues of responsible business conduct, and </w:t>
      </w:r>
      <w:r w:rsidR="00B66051" w:rsidRPr="00FC1BF2">
        <w:rPr>
          <w:rFonts w:ascii="Century Gothic" w:eastAsia="Times New Roman" w:hAnsi="Century Gothic" w:cs="Times New Roman"/>
          <w:color w:val="000000" w:themeColor="text1"/>
          <w:sz w:val="22"/>
          <w:lang w:eastAsia="en-AU"/>
        </w:rPr>
        <w:t xml:space="preserve">the </w:t>
      </w:r>
      <w:r w:rsidRPr="00FC1BF2">
        <w:rPr>
          <w:rFonts w:ascii="Century Gothic" w:eastAsia="Times New Roman" w:hAnsi="Century Gothic" w:cs="Times New Roman"/>
          <w:color w:val="000000" w:themeColor="text1"/>
          <w:sz w:val="22"/>
          <w:lang w:eastAsia="en-AU"/>
        </w:rPr>
        <w:t>subject of expectations in the OECD Guidelines</w:t>
      </w:r>
      <w:r w:rsidR="00D829C3" w:rsidRPr="00FC1BF2">
        <w:rPr>
          <w:rFonts w:ascii="Century Gothic" w:eastAsia="Times New Roman" w:hAnsi="Century Gothic" w:cs="Times New Roman"/>
          <w:color w:val="000000" w:themeColor="text1"/>
          <w:sz w:val="22"/>
          <w:lang w:eastAsia="en-AU"/>
        </w:rPr>
        <w:t>.</w:t>
      </w:r>
    </w:p>
    <w:p w:rsidR="00FD6E77" w:rsidRPr="00FC1BF2" w:rsidRDefault="006A7AAD" w:rsidP="00D829C3">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issue of</w:t>
      </w:r>
      <w:r w:rsidR="00FD6E77" w:rsidRPr="00FC1BF2">
        <w:rPr>
          <w:rFonts w:ascii="Century Gothic" w:eastAsia="Times New Roman" w:hAnsi="Century Gothic" w:cs="Times New Roman"/>
          <w:color w:val="000000" w:themeColor="text1"/>
          <w:sz w:val="22"/>
          <w:lang w:eastAsia="en-AU"/>
        </w:rPr>
        <w:t xml:space="preserve"> investment in fossil fuel and renewable energy, and addressing climate change impacts</w:t>
      </w:r>
      <w:r w:rsidRPr="00FC1BF2">
        <w:rPr>
          <w:rFonts w:ascii="Century Gothic" w:eastAsia="Times New Roman" w:hAnsi="Century Gothic" w:cs="Times New Roman"/>
          <w:color w:val="000000" w:themeColor="text1"/>
          <w:sz w:val="22"/>
          <w:lang w:eastAsia="en-AU"/>
        </w:rPr>
        <w:t>,</w:t>
      </w:r>
      <w:r w:rsidR="00FD6E77" w:rsidRPr="00FC1BF2">
        <w:rPr>
          <w:rFonts w:ascii="Century Gothic" w:eastAsia="Times New Roman" w:hAnsi="Century Gothic" w:cs="Times New Roman"/>
          <w:color w:val="000000" w:themeColor="text1"/>
          <w:sz w:val="22"/>
          <w:lang w:eastAsia="en-AU"/>
        </w:rPr>
        <w:t xml:space="preserve"> </w:t>
      </w:r>
      <w:r w:rsidR="00B66051" w:rsidRPr="00FC1BF2">
        <w:rPr>
          <w:rFonts w:ascii="Century Gothic" w:eastAsia="Times New Roman" w:hAnsi="Century Gothic" w:cs="Times New Roman"/>
          <w:color w:val="000000" w:themeColor="text1"/>
          <w:sz w:val="22"/>
          <w:lang w:eastAsia="en-AU"/>
        </w:rPr>
        <w:t>are</w:t>
      </w:r>
      <w:r w:rsidR="00FD6E77" w:rsidRPr="00FC1BF2">
        <w:rPr>
          <w:rFonts w:ascii="Century Gothic" w:eastAsia="Times New Roman" w:hAnsi="Century Gothic" w:cs="Times New Roman"/>
          <w:color w:val="000000" w:themeColor="text1"/>
          <w:sz w:val="22"/>
          <w:lang w:eastAsia="en-AU"/>
        </w:rPr>
        <w:t xml:space="preserve"> broader than whatever </w:t>
      </w:r>
      <w:r w:rsidR="00B66051" w:rsidRPr="00FC1BF2">
        <w:rPr>
          <w:rFonts w:ascii="Century Gothic" w:eastAsia="Times New Roman" w:hAnsi="Century Gothic" w:cs="Times New Roman"/>
          <w:color w:val="000000" w:themeColor="text1"/>
          <w:sz w:val="22"/>
          <w:lang w:eastAsia="en-AU"/>
        </w:rPr>
        <w:t>may be</w:t>
      </w:r>
      <w:r w:rsidR="00FD6E77" w:rsidRPr="00FC1BF2">
        <w:rPr>
          <w:rFonts w:ascii="Century Gothic" w:eastAsia="Times New Roman" w:hAnsi="Century Gothic" w:cs="Times New Roman"/>
          <w:color w:val="000000" w:themeColor="text1"/>
          <w:sz w:val="22"/>
          <w:lang w:eastAsia="en-AU"/>
        </w:rPr>
        <w:t xml:space="preserve"> agreed (or disputed) between ANZ and the </w:t>
      </w:r>
      <w:r w:rsidR="00B66051" w:rsidRPr="00FC1BF2">
        <w:rPr>
          <w:rFonts w:ascii="Century Gothic" w:eastAsia="Times New Roman" w:hAnsi="Century Gothic" w:cs="Times New Roman"/>
          <w:color w:val="000000" w:themeColor="text1"/>
          <w:sz w:val="22"/>
          <w:lang w:eastAsia="en-AU"/>
        </w:rPr>
        <w:t>Notifiers</w:t>
      </w:r>
      <w:r w:rsidR="00FD6E77" w:rsidRPr="00FC1BF2">
        <w:rPr>
          <w:rFonts w:ascii="Century Gothic" w:eastAsia="Times New Roman" w:hAnsi="Century Gothic" w:cs="Times New Roman"/>
          <w:color w:val="000000" w:themeColor="text1"/>
          <w:sz w:val="22"/>
          <w:lang w:eastAsia="en-AU"/>
        </w:rPr>
        <w:t>.</w:t>
      </w:r>
      <w:r w:rsidR="00D829C3" w:rsidRPr="00FC1BF2">
        <w:rPr>
          <w:rFonts w:ascii="Century Gothic" w:eastAsia="Times New Roman" w:hAnsi="Century Gothic" w:cs="Times New Roman"/>
          <w:color w:val="000000" w:themeColor="text1"/>
          <w:sz w:val="22"/>
          <w:lang w:eastAsia="en-AU"/>
        </w:rPr>
        <w:t xml:space="preserve"> </w:t>
      </w:r>
      <w:bookmarkStart w:id="3" w:name="_Ref35342501"/>
      <w:r w:rsidRPr="00FC1BF2">
        <w:rPr>
          <w:rFonts w:ascii="Century Gothic" w:eastAsia="Times New Roman" w:hAnsi="Century Gothic" w:cs="Times New Roman"/>
          <w:color w:val="000000" w:themeColor="text1"/>
          <w:sz w:val="22"/>
          <w:lang w:eastAsia="en-AU"/>
        </w:rPr>
        <w:t xml:space="preserve">Some of </w:t>
      </w:r>
      <w:r w:rsidR="00237856" w:rsidRPr="00FC1BF2">
        <w:rPr>
          <w:rFonts w:ascii="Century Gothic" w:eastAsia="Times New Roman" w:hAnsi="Century Gothic" w:cs="Times New Roman"/>
          <w:color w:val="000000" w:themeColor="text1"/>
          <w:sz w:val="22"/>
          <w:lang w:eastAsia="en-AU"/>
        </w:rPr>
        <w:t xml:space="preserve">these </w:t>
      </w:r>
      <w:r w:rsidRPr="00FC1BF2">
        <w:rPr>
          <w:rFonts w:ascii="Century Gothic" w:eastAsia="Times New Roman" w:hAnsi="Century Gothic" w:cs="Times New Roman"/>
          <w:color w:val="000000" w:themeColor="text1"/>
          <w:sz w:val="22"/>
          <w:lang w:eastAsia="en-AU"/>
        </w:rPr>
        <w:t xml:space="preserve">issues </w:t>
      </w:r>
      <w:r w:rsidR="00D829C3" w:rsidRPr="00FC1BF2">
        <w:rPr>
          <w:rFonts w:ascii="Century Gothic" w:eastAsia="Times New Roman" w:hAnsi="Century Gothic" w:cs="Times New Roman"/>
          <w:color w:val="000000" w:themeColor="text1"/>
          <w:sz w:val="22"/>
          <w:lang w:eastAsia="en-AU"/>
        </w:rPr>
        <w:t xml:space="preserve">are also being addressed in </w:t>
      </w:r>
      <w:r w:rsidRPr="00FC1BF2">
        <w:rPr>
          <w:rFonts w:ascii="Century Gothic" w:eastAsia="Times New Roman" w:hAnsi="Century Gothic" w:cs="Times New Roman"/>
          <w:color w:val="000000" w:themeColor="text1"/>
          <w:sz w:val="22"/>
          <w:lang w:eastAsia="en-AU"/>
        </w:rPr>
        <w:t>other processes underway in Australia – the Royal Commission into National Natural Disaster Arrangements (</w:t>
      </w:r>
      <w:r w:rsidRPr="00FC1BF2">
        <w:rPr>
          <w:rFonts w:ascii="Century Gothic" w:eastAsia="Times New Roman" w:hAnsi="Century Gothic" w:cs="Times New Roman"/>
          <w:b/>
          <w:bCs/>
          <w:color w:val="000000" w:themeColor="text1"/>
          <w:sz w:val="22"/>
          <w:lang w:eastAsia="en-AU"/>
        </w:rPr>
        <w:t>Royal Commission</w:t>
      </w:r>
      <w:r w:rsidRPr="00FC1BF2">
        <w:rPr>
          <w:rFonts w:ascii="Century Gothic" w:eastAsia="Times New Roman" w:hAnsi="Century Gothic" w:cs="Times New Roman"/>
          <w:color w:val="000000" w:themeColor="text1"/>
          <w:sz w:val="22"/>
          <w:lang w:eastAsia="en-AU"/>
        </w:rPr>
        <w:t xml:space="preserve">) and </w:t>
      </w:r>
      <w:r w:rsidR="00D829C3" w:rsidRPr="00FC1BF2">
        <w:rPr>
          <w:rFonts w:ascii="Century Gothic" w:eastAsia="Times New Roman" w:hAnsi="Century Gothic" w:cs="Times New Roman"/>
          <w:color w:val="000000" w:themeColor="text1"/>
          <w:sz w:val="22"/>
          <w:lang w:eastAsia="en-AU"/>
        </w:rPr>
        <w:t>the</w:t>
      </w:r>
      <w:r w:rsidR="00FD6E77" w:rsidRPr="00FC1BF2">
        <w:rPr>
          <w:rFonts w:ascii="Century Gothic" w:eastAsia="Times New Roman" w:hAnsi="Century Gothic" w:cs="Times New Roman"/>
          <w:color w:val="000000" w:themeColor="text1"/>
          <w:sz w:val="22"/>
          <w:lang w:eastAsia="en-AU"/>
        </w:rPr>
        <w:t xml:space="preserve"> Australian Sustainable Finance Initiative (</w:t>
      </w:r>
      <w:r w:rsidR="00FD6E77" w:rsidRPr="00FC1BF2">
        <w:rPr>
          <w:rFonts w:ascii="Century Gothic" w:eastAsia="Times New Roman" w:hAnsi="Century Gothic" w:cs="Times New Roman"/>
          <w:b/>
          <w:bCs/>
          <w:color w:val="000000" w:themeColor="text1"/>
          <w:sz w:val="22"/>
          <w:lang w:eastAsia="en-AU"/>
        </w:rPr>
        <w:t>ASFI</w:t>
      </w:r>
      <w:r w:rsidR="00FD6E77" w:rsidRPr="00FC1BF2">
        <w:rPr>
          <w:rFonts w:ascii="Century Gothic" w:eastAsia="Times New Roman" w:hAnsi="Century Gothic" w:cs="Times New Roman"/>
          <w:color w:val="000000" w:themeColor="text1"/>
          <w:sz w:val="22"/>
          <w:lang w:eastAsia="en-AU"/>
        </w:rPr>
        <w:t>).</w:t>
      </w:r>
      <w:bookmarkEnd w:id="3"/>
      <w:r w:rsidR="00FD6E77" w:rsidRPr="00FC1BF2">
        <w:rPr>
          <w:rFonts w:ascii="Century Gothic" w:eastAsia="Times New Roman" w:hAnsi="Century Gothic" w:cs="Times New Roman"/>
          <w:color w:val="000000" w:themeColor="text1"/>
          <w:sz w:val="22"/>
          <w:lang w:eastAsia="en-AU"/>
        </w:rPr>
        <w:t xml:space="preserve"> The AusNCP Independent Examiner </w:t>
      </w:r>
      <w:r w:rsidR="009346C7">
        <w:rPr>
          <w:rFonts w:ascii="Century Gothic" w:eastAsia="Times New Roman" w:hAnsi="Century Gothic" w:cs="Times New Roman"/>
          <w:color w:val="000000" w:themeColor="text1"/>
          <w:sz w:val="22"/>
          <w:lang w:eastAsia="en-AU"/>
        </w:rPr>
        <w:t>will provide</w:t>
      </w:r>
      <w:r w:rsidR="009346C7" w:rsidRPr="00FC1BF2">
        <w:rPr>
          <w:rFonts w:ascii="Century Gothic" w:eastAsia="Times New Roman" w:hAnsi="Century Gothic" w:cs="Times New Roman"/>
          <w:color w:val="000000" w:themeColor="text1"/>
          <w:sz w:val="22"/>
          <w:lang w:eastAsia="en-AU"/>
        </w:rPr>
        <w:t xml:space="preserve"> </w:t>
      </w:r>
      <w:r w:rsidR="00FD6E77" w:rsidRPr="00FC1BF2">
        <w:rPr>
          <w:rFonts w:ascii="Century Gothic" w:eastAsia="Times New Roman" w:hAnsi="Century Gothic" w:cs="Times New Roman"/>
          <w:color w:val="000000" w:themeColor="text1"/>
          <w:sz w:val="22"/>
          <w:lang w:eastAsia="en-AU"/>
        </w:rPr>
        <w:t xml:space="preserve">a copy of this </w:t>
      </w:r>
      <w:r w:rsidR="00D829C3" w:rsidRPr="00FC1BF2">
        <w:rPr>
          <w:rFonts w:ascii="Century Gothic" w:eastAsia="Times New Roman" w:hAnsi="Century Gothic" w:cs="Times New Roman"/>
          <w:color w:val="000000" w:themeColor="text1"/>
          <w:sz w:val="22"/>
          <w:lang w:eastAsia="en-AU"/>
        </w:rPr>
        <w:t>Initial Assessment</w:t>
      </w:r>
      <w:r w:rsidR="00FD6E77" w:rsidRPr="00FC1BF2">
        <w:rPr>
          <w:rFonts w:ascii="Century Gothic" w:eastAsia="Times New Roman" w:hAnsi="Century Gothic" w:cs="Times New Roman"/>
          <w:color w:val="000000" w:themeColor="text1"/>
          <w:sz w:val="22"/>
          <w:lang w:eastAsia="en-AU"/>
        </w:rPr>
        <w:t xml:space="preserve"> to ASFI for its consideration.</w:t>
      </w:r>
    </w:p>
    <w:p w:rsidR="00237856" w:rsidRPr="00FC1BF2" w:rsidRDefault="00237856" w:rsidP="00D829C3">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w:t>
      </w:r>
      <w:r w:rsidR="00C767BF">
        <w:rPr>
          <w:rFonts w:ascii="Century Gothic" w:eastAsia="Times New Roman" w:hAnsi="Century Gothic" w:cs="Times New Roman"/>
          <w:color w:val="000000" w:themeColor="text1"/>
          <w:sz w:val="22"/>
          <w:lang w:eastAsia="en-AU"/>
        </w:rPr>
        <w:t xml:space="preserve">AusNCP’ </w:t>
      </w:r>
      <w:r w:rsidRPr="00FC1BF2">
        <w:rPr>
          <w:rFonts w:ascii="Century Gothic" w:eastAsia="Times New Roman" w:hAnsi="Century Gothic" w:cs="Times New Roman"/>
          <w:color w:val="000000" w:themeColor="text1"/>
          <w:sz w:val="22"/>
          <w:lang w:eastAsia="en-AU"/>
        </w:rPr>
        <w:t xml:space="preserve">‘good offices’ </w:t>
      </w:r>
      <w:r w:rsidR="00C767BF">
        <w:rPr>
          <w:rFonts w:ascii="Century Gothic" w:eastAsia="Times New Roman" w:hAnsi="Century Gothic" w:cs="Times New Roman"/>
          <w:color w:val="000000" w:themeColor="text1"/>
          <w:sz w:val="22"/>
          <w:lang w:eastAsia="en-AU"/>
        </w:rPr>
        <w:t>processes will</w:t>
      </w:r>
      <w:r w:rsidR="00B13762" w:rsidRPr="00FC1BF2">
        <w:rPr>
          <w:rFonts w:ascii="Century Gothic" w:eastAsia="Times New Roman" w:hAnsi="Century Gothic" w:cs="Times New Roman"/>
          <w:color w:val="000000" w:themeColor="text1"/>
          <w:sz w:val="22"/>
          <w:lang w:eastAsia="en-AU"/>
        </w:rPr>
        <w:t xml:space="preserve"> be offered to the parties, to be facilitated by the Independent Examiner, focussing on the issues around disclosure, target-setting and scenario analysis</w:t>
      </w:r>
      <w:r w:rsidRPr="00FC1BF2">
        <w:rPr>
          <w:rFonts w:ascii="Century Gothic" w:eastAsia="Times New Roman" w:hAnsi="Century Gothic" w:cs="Times New Roman"/>
          <w:color w:val="000000" w:themeColor="text1"/>
          <w:sz w:val="22"/>
          <w:lang w:eastAsia="en-AU"/>
        </w:rPr>
        <w:t>.</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A draft of this Initial Assessment was provided for comment to the AusNCP Governance and Advisory Board, and then to the </w:t>
      </w:r>
      <w:r w:rsidR="00B13762" w:rsidRPr="00FC1BF2">
        <w:rPr>
          <w:rFonts w:ascii="Century Gothic" w:eastAsia="Times New Roman" w:hAnsi="Century Gothic" w:cs="Times New Roman"/>
          <w:color w:val="000000" w:themeColor="text1"/>
          <w:sz w:val="22"/>
          <w:lang w:eastAsia="en-AU"/>
        </w:rPr>
        <w:t>parties</w:t>
      </w:r>
      <w:r w:rsidRPr="00FC1BF2">
        <w:rPr>
          <w:rFonts w:ascii="Century Gothic" w:eastAsia="Times New Roman" w:hAnsi="Century Gothic" w:cs="Times New Roman"/>
          <w:color w:val="000000" w:themeColor="text1"/>
          <w:sz w:val="22"/>
          <w:lang w:eastAsia="en-AU"/>
        </w:rPr>
        <w:t>.</w:t>
      </w:r>
      <w:r w:rsidR="00081B7D" w:rsidRPr="00FC1BF2">
        <w:rPr>
          <w:rFonts w:ascii="Century Gothic" w:eastAsia="Times New Roman" w:hAnsi="Century Gothic" w:cs="Times New Roman"/>
          <w:color w:val="000000" w:themeColor="text1"/>
          <w:sz w:val="22"/>
          <w:lang w:eastAsia="en-AU"/>
        </w:rPr>
        <w:t xml:space="preserve"> The finalisation and publication of th</w:t>
      </w:r>
      <w:r w:rsidR="006A7AAD" w:rsidRPr="00FC1BF2">
        <w:rPr>
          <w:rFonts w:ascii="Century Gothic" w:eastAsia="Times New Roman" w:hAnsi="Century Gothic" w:cs="Times New Roman"/>
          <w:color w:val="000000" w:themeColor="text1"/>
          <w:sz w:val="22"/>
          <w:lang w:eastAsia="en-AU"/>
        </w:rPr>
        <w:t xml:space="preserve">e Initial Assessment </w:t>
      </w:r>
      <w:r w:rsidR="00081B7D" w:rsidRPr="00FC1BF2">
        <w:rPr>
          <w:rFonts w:ascii="Century Gothic" w:eastAsia="Times New Roman" w:hAnsi="Century Gothic" w:cs="Times New Roman"/>
          <w:color w:val="000000" w:themeColor="text1"/>
          <w:sz w:val="22"/>
          <w:lang w:eastAsia="en-AU"/>
        </w:rPr>
        <w:t xml:space="preserve">was delayed because of responses to the COVID-19 </w:t>
      </w:r>
      <w:r w:rsidR="00302841" w:rsidRPr="00FC1BF2">
        <w:rPr>
          <w:rFonts w:ascii="Century Gothic" w:eastAsia="Times New Roman" w:hAnsi="Century Gothic" w:cs="Times New Roman"/>
          <w:color w:val="000000" w:themeColor="text1"/>
          <w:sz w:val="22"/>
          <w:lang w:eastAsia="en-AU"/>
        </w:rPr>
        <w:t>pandemic</w:t>
      </w:r>
      <w:r w:rsidR="00081B7D" w:rsidRPr="00FC1BF2">
        <w:rPr>
          <w:rFonts w:ascii="Century Gothic" w:eastAsia="Times New Roman" w:hAnsi="Century Gothic" w:cs="Times New Roman"/>
          <w:color w:val="000000" w:themeColor="text1"/>
          <w:sz w:val="22"/>
          <w:lang w:eastAsia="en-AU"/>
        </w:rPr>
        <w:t>.</w:t>
      </w:r>
    </w:p>
    <w:p w:rsidR="00FD6E77" w:rsidRPr="00FC1BF2" w:rsidRDefault="00237856"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w:t>
      </w:r>
      <w:r w:rsidR="00FD6E77" w:rsidRPr="00FC1BF2">
        <w:rPr>
          <w:rFonts w:ascii="Century Gothic" w:eastAsia="Times New Roman" w:hAnsi="Century Gothic" w:cs="Times New Roman"/>
          <w:color w:val="000000" w:themeColor="text1"/>
          <w:sz w:val="22"/>
          <w:lang w:eastAsia="en-AU"/>
        </w:rPr>
        <w:t xml:space="preserve"> </w:t>
      </w:r>
      <w:r w:rsidR="00D829C3" w:rsidRPr="00FC1BF2">
        <w:rPr>
          <w:rFonts w:ascii="Century Gothic" w:eastAsia="Times New Roman" w:hAnsi="Century Gothic" w:cs="Times New Roman"/>
          <w:color w:val="000000" w:themeColor="text1"/>
          <w:sz w:val="22"/>
          <w:lang w:eastAsia="en-AU"/>
        </w:rPr>
        <w:t>Initial Assessment</w:t>
      </w:r>
      <w:r w:rsidR="00FD6E77" w:rsidRPr="00FC1BF2">
        <w:rPr>
          <w:rFonts w:ascii="Century Gothic" w:eastAsia="Times New Roman" w:hAnsi="Century Gothic" w:cs="Times New Roman"/>
          <w:color w:val="000000" w:themeColor="text1"/>
          <w:sz w:val="22"/>
          <w:lang w:eastAsia="en-AU"/>
        </w:rPr>
        <w:t xml:space="preserve"> is not a determination on the merits of the claims presented, nor is it an assessment of whether ANZ’s actions are consistent with the OECD Guidelines.</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This statement is available on the AusNCP website at </w:t>
      </w:r>
      <w:hyperlink r:id="rId19" w:history="1">
        <w:r w:rsidRPr="00FC1BF2">
          <w:rPr>
            <w:rStyle w:val="Hyperlink"/>
            <w:rFonts w:ascii="Century Gothic" w:eastAsia="Times New Roman" w:hAnsi="Century Gothic" w:cs="Times New Roman"/>
            <w:sz w:val="22"/>
            <w:lang w:eastAsia="en-AU"/>
          </w:rPr>
          <w:t>www.ausncp.gov.au</w:t>
        </w:r>
      </w:hyperlink>
      <w:r w:rsidRPr="00FC1BF2">
        <w:rPr>
          <w:rFonts w:ascii="Century Gothic" w:eastAsia="Times New Roman" w:hAnsi="Century Gothic" w:cs="Times New Roman"/>
          <w:color w:val="000000" w:themeColor="text1"/>
          <w:sz w:val="22"/>
          <w:lang w:eastAsia="en-AU"/>
        </w:rPr>
        <w:t>.</w:t>
      </w:r>
    </w:p>
    <w:p w:rsidR="00FD6E77" w:rsidRPr="00FC1BF2" w:rsidRDefault="00FD6E77" w:rsidP="0019588C">
      <w:pPr>
        <w:pStyle w:val="OutlineNumbered1"/>
        <w:spacing w:before="240" w:line="280" w:lineRule="exact"/>
        <w:jc w:val="both"/>
        <w:rPr>
          <w:rFonts w:ascii="Century Gothic" w:eastAsia="Times New Roman" w:hAnsi="Century Gothic" w:cs="Times New Roman"/>
          <w:color w:val="000000" w:themeColor="text1"/>
          <w:sz w:val="22"/>
          <w:lang w:eastAsia="en-AU"/>
        </w:rPr>
      </w:pPr>
    </w:p>
    <w:p w:rsidR="00FD6E77" w:rsidRPr="00FC1BF2" w:rsidRDefault="00FD6E77" w:rsidP="0019588C">
      <w:pPr>
        <w:pStyle w:val="Heading1"/>
        <w:keepLines w:val="0"/>
        <w:pageBreakBefore/>
        <w:pBdr>
          <w:bottom w:val="single" w:sz="12" w:space="10" w:color="3A87C8"/>
        </w:pBdr>
        <w:spacing w:before="360" w:line="240" w:lineRule="auto"/>
        <w:rPr>
          <w:rFonts w:ascii="Calibri" w:eastAsia="Times New Roman" w:hAnsi="Calibri" w:cs="Arial"/>
          <w:bCs w:val="0"/>
          <w:caps/>
          <w:color w:val="3A87C8"/>
          <w:kern w:val="32"/>
          <w:sz w:val="44"/>
          <w:szCs w:val="36"/>
          <w:lang w:eastAsia="en-AU"/>
        </w:rPr>
      </w:pPr>
      <w:bookmarkStart w:id="4" w:name="_Toc54942645"/>
      <w:r w:rsidRPr="00FC1BF2">
        <w:rPr>
          <w:rFonts w:ascii="Calibri" w:eastAsia="Times New Roman" w:hAnsi="Calibri" w:cs="Arial"/>
          <w:bCs w:val="0"/>
          <w:caps/>
          <w:color w:val="3A87C8"/>
          <w:kern w:val="32"/>
          <w:sz w:val="44"/>
          <w:szCs w:val="36"/>
          <w:lang w:eastAsia="en-AU"/>
        </w:rPr>
        <w:lastRenderedPageBreak/>
        <w:t>INITIAL ASSESSMENT</w:t>
      </w:r>
      <w:bookmarkEnd w:id="4"/>
    </w:p>
    <w:p w:rsidR="00FD6E77" w:rsidRPr="00FC1BF2" w:rsidRDefault="00FD6E77" w:rsidP="0019588C">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5" w:name="_Toc54942646"/>
      <w:r w:rsidRPr="00FC1BF2">
        <w:rPr>
          <w:rFonts w:ascii="Calibri" w:eastAsia="Times New Roman" w:hAnsi="Calibri" w:cs="Arial"/>
          <w:b/>
          <w:iCs/>
          <w:color w:val="000000" w:themeColor="text1"/>
          <w:kern w:val="32"/>
          <w:sz w:val="36"/>
          <w:szCs w:val="36"/>
          <w:lang w:eastAsia="en-AU"/>
        </w:rPr>
        <w:t>Parties, complaint and outcomes sought</w:t>
      </w:r>
      <w:bookmarkEnd w:id="5"/>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 Complaint was submitted by FoE and three individuals (Jack Egan, Joanna Dodds and Patrick Simons) on 30 January 2020 (</w:t>
      </w:r>
      <w:r w:rsidRPr="00FC1BF2">
        <w:rPr>
          <w:rFonts w:ascii="Century Gothic" w:eastAsia="Times New Roman" w:hAnsi="Century Gothic" w:cs="Times New Roman"/>
          <w:b/>
          <w:color w:val="000000" w:themeColor="text1"/>
          <w:sz w:val="22"/>
          <w:lang w:eastAsia="en-AU"/>
        </w:rPr>
        <w:t>Complaint</w:t>
      </w:r>
      <w:r w:rsidRPr="00FC1BF2">
        <w:rPr>
          <w:rFonts w:ascii="Century Gothic" w:eastAsia="Times New Roman" w:hAnsi="Century Gothic" w:cs="Times New Roman"/>
          <w:color w:val="000000" w:themeColor="text1"/>
          <w:sz w:val="22"/>
          <w:lang w:eastAsia="en-AU"/>
        </w:rPr>
        <w:t>). The Complaint alleges the ANZ has not adhered to the OECD Guidelines, focussing on three aspects of ANZ conduct: (1) lack of disclosure and inadequate due diligence, (2) inadequate environmental policies and management, and (3) disregard for consumer interests. The Complaint contains various requests of ANZ, including that it:</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‘disclose high risk greenhouse gas emissions, including indirect emissions resulting from business lending and investment’;</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‘disclose which investments are stranded assets which will need to be divested from in order to meet the Paris Agreement goals’;</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‘responsibly divest from investing in coal’;</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‘phase out its investment in other fossil fuel industries’, later stated as ‘reduce its investment in other fossil fuel industries’;</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‘commit to greenhouse gas emission targets that are in line with the Paris Agreement’;</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‘publish ambitious, concrete and measurable targets to lower its indirect greenhouse gas emissions...[to] bring emissions financed by ANZ in line with efforts to limit global warming to 1.5°C, as agreed under the Paris Agreement’; and</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‘conduct and disclose comprehensive climate-related scenario analysis for all sectors financed by ANZ’, which was later expanded to be ‘Publish complete and clear climate-related scenario-analysis in line with the Paris Agreement goals, for all the sectors financed by ANZ’.</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6" w:name="_Toc34208518"/>
      <w:bookmarkEnd w:id="6"/>
      <w:r w:rsidRPr="00FC1BF2">
        <w:rPr>
          <w:rFonts w:ascii="Century Gothic" w:eastAsia="Times New Roman" w:hAnsi="Century Gothic" w:cs="Times New Roman"/>
          <w:color w:val="000000" w:themeColor="text1"/>
          <w:sz w:val="22"/>
          <w:lang w:eastAsia="en-AU"/>
        </w:rPr>
        <w:t>The Complaint alleges that ANZ ‘is in breach of the following provisions of the OECD guidelines’:</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Chapter II (‘General Policies’) articles 10 &amp; 12;</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Chapter III (‘Disclosure’), articles 2 &amp; 3;</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Chapter VI (‘Environment’), articles 1, 4 &amp; 6; and</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Chapter VIII (‘Consumer Interests’), articles 2 &amp; 4</w:t>
      </w:r>
    </w:p>
    <w:p w:rsidR="00FD6E77" w:rsidRPr="00FC1BF2" w:rsidRDefault="00FD6E77"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also requests four actions by the AusNCP:</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offer good offices to facilitate mediation between FOE and ANZ on the issues in the Complaint, ‘in particular, focusing on how divestment from fossil fuel investment could occur’;</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if the parties do not agree, the AusNCP is requested to ‘examine the facts and make a determination as to whether or not ANZ has breached the Guidelines’;</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recommend the Australian Government ‘develop a new regulatory framework for greenhouse and energy reporting’; and </w:t>
      </w:r>
    </w:p>
    <w:p w:rsidR="00FD6E77" w:rsidRPr="00FC1BF2" w:rsidRDefault="00FD6E77" w:rsidP="001958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lastRenderedPageBreak/>
        <w:t>‘encourage the Australian Government to introduce legislation that ensures' that all Australian banks’ activities ‘are aligned with the objective of limiting global warming to +1.5°C’.</w:t>
      </w:r>
    </w:p>
    <w:p w:rsidR="00FD6E77" w:rsidRPr="00FC1BF2" w:rsidRDefault="00FD6E77" w:rsidP="00CA1C3B">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Consistent with AusNCP Complaint Procedures 4.8 and 4.9, ANZ was notified that a complaint had been made and that identity of both parties would be disclosed on the AusNCP website, as the matter was already in the public domain. </w:t>
      </w:r>
    </w:p>
    <w:p w:rsidR="00237856" w:rsidRPr="00FC1BF2" w:rsidRDefault="00237856" w:rsidP="0023785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ANZ is an Australian bank with operations in many countries. It is a multinational enterprise and therefore expected to comply with the OECD Guidelines.</w:t>
      </w:r>
    </w:p>
    <w:p w:rsidR="004A75EF" w:rsidRPr="00FC1BF2" w:rsidRDefault="004A75EF" w:rsidP="00CA1C3B">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Independent Examiner identified matters raising </w:t>
      </w:r>
      <w:r w:rsidR="00B66051" w:rsidRPr="00FC1BF2">
        <w:rPr>
          <w:rFonts w:ascii="Century Gothic" w:eastAsia="Times New Roman" w:hAnsi="Century Gothic" w:cs="Times New Roman"/>
          <w:color w:val="000000" w:themeColor="text1"/>
          <w:sz w:val="22"/>
          <w:lang w:eastAsia="en-AU"/>
        </w:rPr>
        <w:t xml:space="preserve">a potential </w:t>
      </w:r>
      <w:r w:rsidRPr="00FC1BF2">
        <w:rPr>
          <w:rFonts w:ascii="Century Gothic" w:eastAsia="Times New Roman" w:hAnsi="Century Gothic" w:cs="Times New Roman"/>
          <w:color w:val="000000" w:themeColor="text1"/>
          <w:sz w:val="22"/>
          <w:lang w:eastAsia="en-AU"/>
        </w:rPr>
        <w:t xml:space="preserve">perception of bias (he holds a savings account with ANZ, and he previously </w:t>
      </w:r>
      <w:r w:rsidR="00144BFA" w:rsidRPr="00FC1BF2">
        <w:rPr>
          <w:rFonts w:ascii="Century Gothic" w:eastAsia="Times New Roman" w:hAnsi="Century Gothic" w:cs="Times New Roman"/>
          <w:color w:val="000000" w:themeColor="text1"/>
          <w:sz w:val="22"/>
          <w:lang w:eastAsia="en-AU"/>
        </w:rPr>
        <w:t>worked</w:t>
      </w:r>
      <w:r w:rsidRPr="00FC1BF2">
        <w:rPr>
          <w:rFonts w:ascii="Century Gothic" w:eastAsia="Times New Roman" w:hAnsi="Century Gothic" w:cs="Times New Roman"/>
          <w:color w:val="000000" w:themeColor="text1"/>
          <w:sz w:val="22"/>
          <w:lang w:eastAsia="en-AU"/>
        </w:rPr>
        <w:t xml:space="preserve"> with environmental NGOs). These </w:t>
      </w:r>
      <w:r w:rsidR="00144BFA" w:rsidRPr="00FC1BF2">
        <w:rPr>
          <w:rFonts w:ascii="Century Gothic" w:eastAsia="Times New Roman" w:hAnsi="Century Gothic" w:cs="Times New Roman"/>
          <w:color w:val="000000" w:themeColor="text1"/>
          <w:sz w:val="22"/>
          <w:lang w:eastAsia="en-AU"/>
        </w:rPr>
        <w:t xml:space="preserve">matters </w:t>
      </w:r>
      <w:r w:rsidRPr="00FC1BF2">
        <w:rPr>
          <w:rFonts w:ascii="Century Gothic" w:eastAsia="Times New Roman" w:hAnsi="Century Gothic" w:cs="Times New Roman"/>
          <w:color w:val="000000" w:themeColor="text1"/>
          <w:sz w:val="22"/>
          <w:lang w:eastAsia="en-AU"/>
        </w:rPr>
        <w:t xml:space="preserve">were </w:t>
      </w:r>
      <w:r w:rsidR="00D008B1" w:rsidRPr="00FC1BF2">
        <w:rPr>
          <w:rFonts w:ascii="Century Gothic" w:eastAsia="Times New Roman" w:hAnsi="Century Gothic" w:cs="Times New Roman"/>
          <w:color w:val="000000" w:themeColor="text1"/>
          <w:sz w:val="22"/>
          <w:lang w:eastAsia="en-AU"/>
        </w:rPr>
        <w:t xml:space="preserve">explained to </w:t>
      </w:r>
      <w:r w:rsidRPr="00FC1BF2">
        <w:rPr>
          <w:rFonts w:ascii="Century Gothic" w:eastAsia="Times New Roman" w:hAnsi="Century Gothic" w:cs="Times New Roman"/>
          <w:color w:val="000000" w:themeColor="text1"/>
          <w:sz w:val="22"/>
          <w:lang w:eastAsia="en-AU"/>
        </w:rPr>
        <w:t>the Notifiers</w:t>
      </w:r>
      <w:r w:rsidR="00D008B1" w:rsidRPr="00FC1BF2">
        <w:rPr>
          <w:rFonts w:ascii="Century Gothic" w:eastAsia="Times New Roman" w:hAnsi="Century Gothic" w:cs="Times New Roman"/>
          <w:color w:val="000000" w:themeColor="text1"/>
          <w:sz w:val="22"/>
          <w:lang w:eastAsia="en-AU"/>
        </w:rPr>
        <w:t xml:space="preserve"> and ANZ; and t</w:t>
      </w:r>
      <w:r w:rsidR="00144BFA" w:rsidRPr="00FC1BF2">
        <w:rPr>
          <w:rFonts w:ascii="Century Gothic" w:eastAsia="Times New Roman" w:hAnsi="Century Gothic" w:cs="Times New Roman"/>
          <w:color w:val="000000" w:themeColor="text1"/>
          <w:sz w:val="22"/>
          <w:lang w:eastAsia="en-AU"/>
        </w:rPr>
        <w:t>he</w:t>
      </w:r>
      <w:r w:rsidRPr="00FC1BF2">
        <w:rPr>
          <w:rFonts w:ascii="Century Gothic" w:eastAsia="Times New Roman" w:hAnsi="Century Gothic" w:cs="Times New Roman"/>
          <w:color w:val="000000" w:themeColor="text1"/>
          <w:sz w:val="22"/>
          <w:lang w:eastAsia="en-AU"/>
        </w:rPr>
        <w:t xml:space="preserve"> parties confirmed no concerns </w:t>
      </w:r>
      <w:r w:rsidR="00D008B1" w:rsidRPr="00FC1BF2">
        <w:rPr>
          <w:rFonts w:ascii="Century Gothic" w:eastAsia="Times New Roman" w:hAnsi="Century Gothic" w:cs="Times New Roman"/>
          <w:color w:val="000000" w:themeColor="text1"/>
          <w:sz w:val="22"/>
          <w:lang w:eastAsia="en-AU"/>
        </w:rPr>
        <w:t>arising</w:t>
      </w:r>
      <w:r w:rsidRPr="00FC1BF2">
        <w:rPr>
          <w:rFonts w:ascii="Century Gothic" w:eastAsia="Times New Roman" w:hAnsi="Century Gothic" w:cs="Times New Roman"/>
          <w:color w:val="000000" w:themeColor="text1"/>
          <w:sz w:val="22"/>
          <w:lang w:eastAsia="en-AU"/>
        </w:rPr>
        <w:t>.</w:t>
      </w:r>
      <w:r w:rsidR="00B66051" w:rsidRPr="00FC1BF2">
        <w:rPr>
          <w:rFonts w:ascii="Century Gothic" w:eastAsia="Times New Roman" w:hAnsi="Century Gothic" w:cs="Times New Roman"/>
          <w:color w:val="000000" w:themeColor="text1"/>
          <w:sz w:val="22"/>
          <w:lang w:eastAsia="en-AU"/>
        </w:rPr>
        <w:t xml:space="preserve"> On receipt of that confirmation, the Independent Examiner commenced assessing the Complaint</w:t>
      </w:r>
      <w:r w:rsidR="00081B7D" w:rsidRPr="00FC1BF2">
        <w:rPr>
          <w:rFonts w:ascii="Century Gothic" w:eastAsia="Times New Roman" w:hAnsi="Century Gothic" w:cs="Times New Roman"/>
          <w:color w:val="000000" w:themeColor="text1"/>
          <w:sz w:val="22"/>
          <w:lang w:eastAsia="en-AU"/>
        </w:rPr>
        <w:t xml:space="preserve"> on </w:t>
      </w:r>
      <w:r w:rsidR="0076722C" w:rsidRPr="00FC1BF2">
        <w:rPr>
          <w:rFonts w:ascii="Century Gothic" w:eastAsia="Times New Roman" w:hAnsi="Century Gothic" w:cs="Times New Roman"/>
          <w:color w:val="000000" w:themeColor="text1"/>
          <w:sz w:val="22"/>
          <w:lang w:eastAsia="en-AU"/>
        </w:rPr>
        <w:t>3 March 2020</w:t>
      </w:r>
      <w:r w:rsidR="00B66051" w:rsidRPr="00FC1BF2">
        <w:rPr>
          <w:rFonts w:ascii="Century Gothic" w:eastAsia="Times New Roman" w:hAnsi="Century Gothic" w:cs="Times New Roman"/>
          <w:color w:val="000000" w:themeColor="text1"/>
          <w:sz w:val="22"/>
          <w:lang w:eastAsia="en-AU"/>
        </w:rPr>
        <w:t>.</w:t>
      </w:r>
    </w:p>
    <w:p w:rsidR="00D829C3" w:rsidRPr="00FC1BF2" w:rsidRDefault="00081B7D" w:rsidP="00D829C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COVID-19 </w:t>
      </w:r>
      <w:r w:rsidR="00302841" w:rsidRPr="00FC1BF2">
        <w:rPr>
          <w:rFonts w:ascii="Century Gothic" w:eastAsia="Times New Roman" w:hAnsi="Century Gothic" w:cs="Times New Roman"/>
          <w:color w:val="000000" w:themeColor="text1"/>
          <w:sz w:val="22"/>
          <w:lang w:eastAsia="en-AU"/>
        </w:rPr>
        <w:t>pandemic</w:t>
      </w:r>
      <w:r w:rsidRPr="00FC1BF2">
        <w:rPr>
          <w:rFonts w:ascii="Century Gothic" w:eastAsia="Times New Roman" w:hAnsi="Century Gothic" w:cs="Times New Roman"/>
          <w:color w:val="000000" w:themeColor="text1"/>
          <w:sz w:val="22"/>
          <w:lang w:eastAsia="en-AU"/>
        </w:rPr>
        <w:t xml:space="preserve">, and public-health responses, delayed the </w:t>
      </w:r>
      <w:r w:rsidR="00D829C3" w:rsidRPr="00FC1BF2">
        <w:rPr>
          <w:rFonts w:ascii="Century Gothic" w:eastAsia="Times New Roman" w:hAnsi="Century Gothic" w:cs="Times New Roman"/>
          <w:color w:val="000000" w:themeColor="text1"/>
          <w:sz w:val="22"/>
          <w:lang w:eastAsia="en-AU"/>
        </w:rPr>
        <w:t>Initial Assessment</w:t>
      </w:r>
      <w:r w:rsidR="00467C46" w:rsidRPr="00FC1BF2">
        <w:rPr>
          <w:rFonts w:ascii="Century Gothic" w:eastAsia="Times New Roman" w:hAnsi="Century Gothic" w:cs="Times New Roman"/>
          <w:color w:val="000000" w:themeColor="text1"/>
          <w:sz w:val="22"/>
          <w:lang w:eastAsia="en-AU"/>
        </w:rPr>
        <w:t xml:space="preserve"> </w:t>
      </w:r>
      <w:r w:rsidR="00B54EA6" w:rsidRPr="00FC1BF2">
        <w:rPr>
          <w:rFonts w:ascii="Century Gothic" w:eastAsia="Times New Roman" w:hAnsi="Century Gothic" w:cs="Times New Roman"/>
          <w:color w:val="000000" w:themeColor="text1"/>
          <w:sz w:val="22"/>
          <w:lang w:eastAsia="en-AU"/>
        </w:rPr>
        <w:t>by</w:t>
      </w:r>
      <w:r w:rsidR="00DA7DD6" w:rsidRPr="00FC1BF2">
        <w:rPr>
          <w:rFonts w:ascii="Century Gothic" w:eastAsia="Times New Roman" w:hAnsi="Century Gothic" w:cs="Times New Roman"/>
          <w:color w:val="000000" w:themeColor="text1"/>
          <w:sz w:val="22"/>
          <w:lang w:eastAsia="en-AU"/>
        </w:rPr>
        <w:t xml:space="preserve"> affecting</w:t>
      </w:r>
      <w:r w:rsidR="00467C46" w:rsidRPr="00FC1BF2">
        <w:rPr>
          <w:rFonts w:ascii="Century Gothic" w:eastAsia="Times New Roman" w:hAnsi="Century Gothic" w:cs="Times New Roman"/>
          <w:color w:val="000000" w:themeColor="text1"/>
          <w:sz w:val="22"/>
          <w:lang w:eastAsia="en-AU"/>
        </w:rPr>
        <w:t xml:space="preserve"> the capacity of the parties and also the AusNCP’s staff and board.</w:t>
      </w:r>
      <w:r w:rsidRPr="00FC1BF2">
        <w:rPr>
          <w:rFonts w:ascii="Century Gothic" w:eastAsia="Times New Roman" w:hAnsi="Century Gothic" w:cs="Times New Roman"/>
          <w:color w:val="000000" w:themeColor="text1"/>
          <w:sz w:val="22"/>
          <w:lang w:eastAsia="en-AU"/>
        </w:rPr>
        <w:t xml:space="preserve"> The AusNCP </w:t>
      </w:r>
      <w:r w:rsidR="00467C46" w:rsidRPr="00FC1BF2">
        <w:rPr>
          <w:rFonts w:ascii="Century Gothic" w:eastAsia="Times New Roman" w:hAnsi="Century Gothic" w:cs="Times New Roman"/>
          <w:color w:val="000000" w:themeColor="text1"/>
          <w:sz w:val="22"/>
          <w:lang w:eastAsia="en-AU"/>
        </w:rPr>
        <w:t xml:space="preserve">has </w:t>
      </w:r>
      <w:r w:rsidRPr="00FC1BF2">
        <w:rPr>
          <w:rFonts w:ascii="Century Gothic" w:eastAsia="Times New Roman" w:hAnsi="Century Gothic" w:cs="Times New Roman"/>
          <w:color w:val="000000" w:themeColor="text1"/>
          <w:sz w:val="22"/>
          <w:lang w:eastAsia="en-AU"/>
        </w:rPr>
        <w:t>kept the parties informed</w:t>
      </w:r>
      <w:r w:rsidR="00B13762"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and </w:t>
      </w:r>
      <w:r w:rsidR="00B13762" w:rsidRPr="00FC1BF2">
        <w:rPr>
          <w:rFonts w:ascii="Century Gothic" w:eastAsia="Times New Roman" w:hAnsi="Century Gothic" w:cs="Times New Roman"/>
          <w:color w:val="000000" w:themeColor="text1"/>
          <w:sz w:val="22"/>
          <w:lang w:eastAsia="en-AU"/>
        </w:rPr>
        <w:t xml:space="preserve">has </w:t>
      </w:r>
      <w:r w:rsidRPr="00FC1BF2">
        <w:rPr>
          <w:rFonts w:ascii="Century Gothic" w:eastAsia="Times New Roman" w:hAnsi="Century Gothic" w:cs="Times New Roman"/>
          <w:color w:val="000000" w:themeColor="text1"/>
          <w:sz w:val="22"/>
          <w:lang w:eastAsia="en-AU"/>
        </w:rPr>
        <w:t xml:space="preserve">endeavoured to minimise </w:t>
      </w:r>
      <w:r w:rsidR="00467C46" w:rsidRPr="00FC1BF2">
        <w:rPr>
          <w:rFonts w:ascii="Century Gothic" w:eastAsia="Times New Roman" w:hAnsi="Century Gothic" w:cs="Times New Roman"/>
          <w:color w:val="000000" w:themeColor="text1"/>
          <w:sz w:val="22"/>
          <w:lang w:eastAsia="en-AU"/>
        </w:rPr>
        <w:t>divergence</w:t>
      </w:r>
      <w:r w:rsidRPr="00FC1BF2">
        <w:rPr>
          <w:rFonts w:ascii="Century Gothic" w:eastAsia="Times New Roman" w:hAnsi="Century Gothic" w:cs="Times New Roman"/>
          <w:color w:val="000000" w:themeColor="text1"/>
          <w:sz w:val="22"/>
          <w:lang w:eastAsia="en-AU"/>
        </w:rPr>
        <w:t xml:space="preserve"> from normal procedure and timing. </w:t>
      </w:r>
    </w:p>
    <w:p w:rsidR="00D829C3" w:rsidRPr="00FC1BF2" w:rsidRDefault="00081B7D" w:rsidP="00D829C3">
      <w:pPr>
        <w:pStyle w:val="OutlineNumbered1"/>
        <w:numPr>
          <w:ilvl w:val="1"/>
          <w:numId w:val="10"/>
        </w:numPr>
        <w:spacing w:before="24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Independent Examiner provided </w:t>
      </w:r>
      <w:r w:rsidR="006A7AAD" w:rsidRPr="00FC1BF2">
        <w:rPr>
          <w:rFonts w:ascii="Century Gothic" w:eastAsia="Times New Roman" w:hAnsi="Century Gothic" w:cs="Times New Roman"/>
          <w:color w:val="000000" w:themeColor="text1"/>
          <w:sz w:val="22"/>
          <w:lang w:eastAsia="en-AU"/>
        </w:rPr>
        <w:t>a</w:t>
      </w:r>
      <w:r w:rsidRPr="00FC1BF2">
        <w:rPr>
          <w:rFonts w:ascii="Century Gothic" w:eastAsia="Times New Roman" w:hAnsi="Century Gothic" w:cs="Times New Roman"/>
          <w:color w:val="000000" w:themeColor="text1"/>
          <w:sz w:val="22"/>
          <w:lang w:eastAsia="en-AU"/>
        </w:rPr>
        <w:t xml:space="preserve"> draft </w:t>
      </w:r>
      <w:r w:rsidR="00237856" w:rsidRPr="00FC1BF2">
        <w:rPr>
          <w:rFonts w:ascii="Century Gothic" w:eastAsia="Times New Roman" w:hAnsi="Century Gothic" w:cs="Times New Roman"/>
          <w:color w:val="000000" w:themeColor="text1"/>
          <w:sz w:val="22"/>
          <w:lang w:eastAsia="en-AU"/>
        </w:rPr>
        <w:t>assessment</w:t>
      </w:r>
      <w:r w:rsidR="0076722C" w:rsidRPr="00FC1BF2">
        <w:rPr>
          <w:rFonts w:ascii="Century Gothic" w:eastAsia="Times New Roman" w:hAnsi="Century Gothic" w:cs="Times New Roman"/>
          <w:color w:val="000000" w:themeColor="text1"/>
          <w:sz w:val="22"/>
          <w:lang w:eastAsia="en-AU"/>
        </w:rPr>
        <w:t>, for comment,</w:t>
      </w:r>
      <w:r w:rsidRPr="00FC1BF2">
        <w:rPr>
          <w:rFonts w:ascii="Century Gothic" w:eastAsia="Times New Roman" w:hAnsi="Century Gothic" w:cs="Times New Roman"/>
          <w:color w:val="000000" w:themeColor="text1"/>
          <w:sz w:val="22"/>
          <w:lang w:eastAsia="en-AU"/>
        </w:rPr>
        <w:t xml:space="preserve"> to the AusNCP Governance and Advisory Board</w:t>
      </w:r>
      <w:r w:rsidR="0076722C" w:rsidRPr="00FC1BF2">
        <w:rPr>
          <w:rFonts w:ascii="Century Gothic" w:eastAsia="Times New Roman" w:hAnsi="Century Gothic" w:cs="Times New Roman"/>
          <w:color w:val="000000" w:themeColor="text1"/>
          <w:sz w:val="22"/>
          <w:lang w:eastAsia="en-AU"/>
        </w:rPr>
        <w:t xml:space="preserve"> on 20 March 2020</w:t>
      </w:r>
      <w:r w:rsidR="00467C46" w:rsidRPr="00FC1BF2">
        <w:rPr>
          <w:rFonts w:ascii="Century Gothic" w:eastAsia="Times New Roman" w:hAnsi="Century Gothic" w:cs="Times New Roman"/>
          <w:color w:val="000000" w:themeColor="text1"/>
          <w:sz w:val="22"/>
          <w:lang w:eastAsia="en-AU"/>
        </w:rPr>
        <w:t xml:space="preserve"> and wrote to the parties on 27 March</w:t>
      </w:r>
      <w:r w:rsidR="00755C58" w:rsidRPr="00FC1BF2">
        <w:rPr>
          <w:rFonts w:ascii="Century Gothic" w:eastAsia="Times New Roman" w:hAnsi="Century Gothic" w:cs="Times New Roman"/>
          <w:color w:val="000000" w:themeColor="text1"/>
          <w:sz w:val="22"/>
          <w:lang w:eastAsia="en-AU"/>
        </w:rPr>
        <w:t xml:space="preserve">, explaining there would be a delay from the normal time-frame. </w:t>
      </w:r>
    </w:p>
    <w:p w:rsidR="00D829C3" w:rsidRPr="00FC1BF2" w:rsidRDefault="00467C46" w:rsidP="00D829C3">
      <w:pPr>
        <w:pStyle w:val="OutlineNumbered1"/>
        <w:numPr>
          <w:ilvl w:val="1"/>
          <w:numId w:val="10"/>
        </w:numPr>
        <w:spacing w:before="24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ANZ informed the AusNCP that, because of the </w:t>
      </w:r>
      <w:bookmarkStart w:id="7" w:name="_Hlk50026409"/>
      <w:r w:rsidRPr="00FC1BF2">
        <w:rPr>
          <w:rFonts w:ascii="Century Gothic" w:eastAsia="Times New Roman" w:hAnsi="Century Gothic" w:cs="Times New Roman"/>
          <w:color w:val="000000" w:themeColor="text1"/>
          <w:sz w:val="22"/>
          <w:lang w:eastAsia="en-AU"/>
        </w:rPr>
        <w:t>extensive impacts across the economy</w:t>
      </w:r>
      <w:r w:rsidR="00B54EA6" w:rsidRPr="00FC1BF2">
        <w:rPr>
          <w:rFonts w:ascii="Century Gothic" w:eastAsia="Times New Roman" w:hAnsi="Century Gothic" w:cs="Times New Roman"/>
          <w:color w:val="000000" w:themeColor="text1"/>
          <w:sz w:val="22"/>
          <w:lang w:eastAsia="en-AU"/>
        </w:rPr>
        <w:t xml:space="preserve">, there would be </w:t>
      </w:r>
      <w:bookmarkEnd w:id="7"/>
      <w:r w:rsidR="00B54EA6" w:rsidRPr="00FC1BF2">
        <w:rPr>
          <w:rFonts w:ascii="Century Gothic" w:eastAsia="Times New Roman" w:hAnsi="Century Gothic" w:cs="Times New Roman"/>
          <w:color w:val="000000" w:themeColor="text1"/>
          <w:sz w:val="22"/>
          <w:lang w:eastAsia="en-AU"/>
        </w:rPr>
        <w:t>d</w:t>
      </w:r>
      <w:r w:rsidRPr="00FC1BF2">
        <w:rPr>
          <w:rFonts w:ascii="Century Gothic" w:eastAsia="Times New Roman" w:hAnsi="Century Gothic" w:cs="Times New Roman"/>
          <w:color w:val="000000" w:themeColor="text1"/>
          <w:sz w:val="22"/>
          <w:lang w:eastAsia="en-AU"/>
        </w:rPr>
        <w:t>ifficult</w:t>
      </w:r>
      <w:r w:rsidR="00755C58" w:rsidRPr="00FC1BF2">
        <w:rPr>
          <w:rFonts w:ascii="Century Gothic" w:eastAsia="Times New Roman" w:hAnsi="Century Gothic" w:cs="Times New Roman"/>
          <w:color w:val="000000" w:themeColor="text1"/>
          <w:sz w:val="22"/>
          <w:lang w:eastAsia="en-AU"/>
        </w:rPr>
        <w:t>ies</w:t>
      </w:r>
      <w:r w:rsidRPr="00FC1BF2">
        <w:rPr>
          <w:rFonts w:ascii="Century Gothic" w:eastAsia="Times New Roman" w:hAnsi="Century Gothic" w:cs="Times New Roman"/>
          <w:color w:val="000000" w:themeColor="text1"/>
          <w:sz w:val="22"/>
          <w:lang w:eastAsia="en-AU"/>
        </w:rPr>
        <w:t xml:space="preserve"> </w:t>
      </w:r>
      <w:r w:rsidR="006A7AAD" w:rsidRPr="00FC1BF2">
        <w:rPr>
          <w:rFonts w:ascii="Century Gothic" w:eastAsia="Times New Roman" w:hAnsi="Century Gothic" w:cs="Times New Roman"/>
          <w:color w:val="000000" w:themeColor="text1"/>
          <w:sz w:val="22"/>
          <w:lang w:eastAsia="en-AU"/>
        </w:rPr>
        <w:t xml:space="preserve">for ANZ to </w:t>
      </w:r>
      <w:r w:rsidRPr="00FC1BF2">
        <w:rPr>
          <w:rFonts w:ascii="Century Gothic" w:eastAsia="Times New Roman" w:hAnsi="Century Gothic" w:cs="Times New Roman"/>
          <w:color w:val="000000" w:themeColor="text1"/>
          <w:sz w:val="22"/>
          <w:lang w:eastAsia="en-AU"/>
        </w:rPr>
        <w:t xml:space="preserve">properly </w:t>
      </w:r>
      <w:r w:rsidR="00B54EA6" w:rsidRPr="00FC1BF2">
        <w:rPr>
          <w:rFonts w:ascii="Century Gothic" w:eastAsia="Times New Roman" w:hAnsi="Century Gothic" w:cs="Times New Roman"/>
          <w:color w:val="000000" w:themeColor="text1"/>
          <w:sz w:val="22"/>
          <w:lang w:eastAsia="en-AU"/>
        </w:rPr>
        <w:t>engag</w:t>
      </w:r>
      <w:r w:rsidR="006A7AAD" w:rsidRPr="00FC1BF2">
        <w:rPr>
          <w:rFonts w:ascii="Century Gothic" w:eastAsia="Times New Roman" w:hAnsi="Century Gothic" w:cs="Times New Roman"/>
          <w:color w:val="000000" w:themeColor="text1"/>
          <w:sz w:val="22"/>
          <w:lang w:eastAsia="en-AU"/>
        </w:rPr>
        <w:t>e</w:t>
      </w:r>
      <w:r w:rsidR="00B54EA6" w:rsidRPr="00FC1BF2">
        <w:rPr>
          <w:rFonts w:ascii="Century Gothic" w:eastAsia="Times New Roman" w:hAnsi="Century Gothic" w:cs="Times New Roman"/>
          <w:color w:val="000000" w:themeColor="text1"/>
          <w:sz w:val="22"/>
          <w:lang w:eastAsia="en-AU"/>
        </w:rPr>
        <w:t xml:space="preserve"> </w:t>
      </w:r>
      <w:r w:rsidRPr="00FC1BF2">
        <w:rPr>
          <w:rFonts w:ascii="Century Gothic" w:eastAsia="Times New Roman" w:hAnsi="Century Gothic" w:cs="Times New Roman"/>
          <w:color w:val="000000" w:themeColor="text1"/>
          <w:sz w:val="22"/>
          <w:lang w:eastAsia="en-AU"/>
        </w:rPr>
        <w:t xml:space="preserve">at that time, and </w:t>
      </w:r>
      <w:r w:rsidR="00755C58" w:rsidRPr="00FC1BF2">
        <w:rPr>
          <w:rFonts w:ascii="Century Gothic" w:eastAsia="Times New Roman" w:hAnsi="Century Gothic" w:cs="Times New Roman"/>
          <w:color w:val="000000" w:themeColor="text1"/>
          <w:sz w:val="22"/>
          <w:lang w:eastAsia="en-AU"/>
        </w:rPr>
        <w:t>requested the matter be adjourned until 30 September 2020. That timing was consistent with positions of the various Australian Government agencies, which had announced the temporary suspensions of some policy and supervision initiatives in response to the impact of COVID-19.</w:t>
      </w:r>
      <w:r w:rsidR="00081B7D" w:rsidRPr="00FC1BF2">
        <w:rPr>
          <w:rFonts w:ascii="Century Gothic" w:eastAsia="Times New Roman" w:hAnsi="Century Gothic" w:cs="Times New Roman"/>
          <w:color w:val="000000" w:themeColor="text1"/>
          <w:sz w:val="22"/>
          <w:lang w:eastAsia="en-AU"/>
        </w:rPr>
        <w:t xml:space="preserve"> </w:t>
      </w:r>
      <w:r w:rsidR="00DA7DD6" w:rsidRPr="00FC1BF2">
        <w:rPr>
          <w:rFonts w:ascii="Century Gothic" w:eastAsia="Times New Roman" w:hAnsi="Century Gothic" w:cs="Times New Roman"/>
          <w:color w:val="000000" w:themeColor="text1"/>
          <w:sz w:val="22"/>
          <w:lang w:eastAsia="en-AU"/>
        </w:rPr>
        <w:t xml:space="preserve">The Independent Examiner informed </w:t>
      </w:r>
      <w:r w:rsidR="00FE5A88" w:rsidRPr="00FC1BF2">
        <w:rPr>
          <w:rFonts w:ascii="Century Gothic" w:eastAsia="Times New Roman" w:hAnsi="Century Gothic" w:cs="Times New Roman"/>
          <w:color w:val="000000" w:themeColor="text1"/>
          <w:sz w:val="22"/>
          <w:lang w:eastAsia="en-AU"/>
        </w:rPr>
        <w:t>the</w:t>
      </w:r>
      <w:r w:rsidR="00DA7DD6" w:rsidRPr="00FC1BF2">
        <w:rPr>
          <w:rFonts w:ascii="Century Gothic" w:eastAsia="Times New Roman" w:hAnsi="Century Gothic" w:cs="Times New Roman"/>
          <w:color w:val="000000" w:themeColor="text1"/>
          <w:sz w:val="22"/>
          <w:lang w:eastAsia="en-AU"/>
        </w:rPr>
        <w:t xml:space="preserve"> parties that the matter would be suspended until 30 September 2020</w:t>
      </w:r>
      <w:r w:rsidR="006A7AAD" w:rsidRPr="00FC1BF2">
        <w:rPr>
          <w:rFonts w:ascii="Century Gothic" w:eastAsia="Times New Roman" w:hAnsi="Century Gothic" w:cs="Times New Roman"/>
          <w:color w:val="000000" w:themeColor="text1"/>
          <w:sz w:val="22"/>
          <w:lang w:eastAsia="en-AU"/>
        </w:rPr>
        <w:t xml:space="preserve">, and provided </w:t>
      </w:r>
      <w:r w:rsidR="00237856" w:rsidRPr="00FC1BF2">
        <w:rPr>
          <w:rFonts w:ascii="Century Gothic" w:eastAsia="Times New Roman" w:hAnsi="Century Gothic" w:cs="Times New Roman"/>
          <w:color w:val="000000" w:themeColor="text1"/>
          <w:sz w:val="22"/>
          <w:lang w:eastAsia="en-AU"/>
        </w:rPr>
        <w:t>a</w:t>
      </w:r>
      <w:r w:rsidR="006A7AAD" w:rsidRPr="00FC1BF2">
        <w:rPr>
          <w:rFonts w:ascii="Century Gothic" w:eastAsia="Times New Roman" w:hAnsi="Century Gothic" w:cs="Times New Roman"/>
          <w:color w:val="000000" w:themeColor="text1"/>
          <w:sz w:val="22"/>
          <w:lang w:eastAsia="en-AU"/>
        </w:rPr>
        <w:t xml:space="preserve"> draft </w:t>
      </w:r>
      <w:r w:rsidR="00237856" w:rsidRPr="00FC1BF2">
        <w:rPr>
          <w:rFonts w:ascii="Century Gothic" w:eastAsia="Times New Roman" w:hAnsi="Century Gothic" w:cs="Times New Roman"/>
          <w:color w:val="000000" w:themeColor="text1"/>
          <w:sz w:val="22"/>
          <w:lang w:eastAsia="en-AU"/>
        </w:rPr>
        <w:t>assessment</w:t>
      </w:r>
      <w:r w:rsidR="006A7AAD" w:rsidRPr="00FC1BF2">
        <w:rPr>
          <w:rFonts w:ascii="Century Gothic" w:eastAsia="Times New Roman" w:hAnsi="Century Gothic" w:cs="Times New Roman"/>
          <w:color w:val="000000" w:themeColor="text1"/>
          <w:sz w:val="22"/>
          <w:lang w:eastAsia="en-AU"/>
        </w:rPr>
        <w:t xml:space="preserve"> to the parties</w:t>
      </w:r>
      <w:r w:rsidR="00DA7DD6" w:rsidRPr="00FC1BF2">
        <w:rPr>
          <w:rFonts w:ascii="Century Gothic" w:eastAsia="Times New Roman" w:hAnsi="Century Gothic" w:cs="Times New Roman"/>
          <w:color w:val="000000" w:themeColor="text1"/>
          <w:sz w:val="22"/>
          <w:lang w:eastAsia="en-AU"/>
        </w:rPr>
        <w:t xml:space="preserve">. </w:t>
      </w:r>
    </w:p>
    <w:p w:rsidR="00D829C3" w:rsidRPr="00FC1BF2" w:rsidRDefault="00D829C3" w:rsidP="00D829C3">
      <w:pPr>
        <w:pStyle w:val="OutlineNumbered1"/>
        <w:numPr>
          <w:ilvl w:val="1"/>
          <w:numId w:val="10"/>
        </w:numPr>
        <w:spacing w:before="24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early October 2020, on resumption of this matter, the Independent Examiner had contact with both parties. The Notifiers explained they had engaged with the Royal Commission and ASFI, but with little meaningful opportunity to address the issues identified in the </w:t>
      </w:r>
      <w:r w:rsidR="006A7AAD" w:rsidRPr="00FC1BF2">
        <w:rPr>
          <w:rFonts w:ascii="Century Gothic" w:eastAsia="Times New Roman" w:hAnsi="Century Gothic" w:cs="Times New Roman"/>
          <w:color w:val="000000" w:themeColor="text1"/>
          <w:sz w:val="22"/>
          <w:lang w:eastAsia="en-AU"/>
        </w:rPr>
        <w:t>C</w:t>
      </w:r>
      <w:r w:rsidRPr="00FC1BF2">
        <w:rPr>
          <w:rFonts w:ascii="Century Gothic" w:eastAsia="Times New Roman" w:hAnsi="Century Gothic" w:cs="Times New Roman"/>
          <w:color w:val="000000" w:themeColor="text1"/>
          <w:sz w:val="22"/>
          <w:lang w:eastAsia="en-AU"/>
        </w:rPr>
        <w:t>omplaint. ANZ explained its climate change policy has been reviewed, to be published in late October 2020, and that it welcomes dialogue with stakeholders regarding whether its “actions are appropriate to help support efforts to limit temperature increased to well below 2</w:t>
      </w:r>
      <w:r w:rsidR="00651509">
        <w:rPr>
          <w:rFonts w:ascii="Century Gothic" w:eastAsia="Times New Roman" w:hAnsi="Century Gothic" w:cs="Times New Roman"/>
          <w:color w:val="000000" w:themeColor="text1"/>
          <w:sz w:val="22"/>
          <w:lang w:eastAsia="en-AU"/>
        </w:rPr>
        <w:t xml:space="preserve"> degrees</w:t>
      </w:r>
      <w:r w:rsidRPr="00FC1BF2">
        <w:rPr>
          <w:rFonts w:ascii="Century Gothic" w:eastAsia="Times New Roman" w:hAnsi="Century Gothic" w:cs="Times New Roman"/>
          <w:color w:val="000000" w:themeColor="text1"/>
          <w:sz w:val="22"/>
          <w:lang w:eastAsia="en-AU"/>
        </w:rPr>
        <w:t xml:space="preserve"> in line with the Paris </w:t>
      </w:r>
      <w:r w:rsidR="00651509">
        <w:rPr>
          <w:rFonts w:ascii="Century Gothic" w:eastAsia="Times New Roman" w:hAnsi="Century Gothic" w:cs="Times New Roman"/>
          <w:color w:val="000000" w:themeColor="text1"/>
          <w:sz w:val="22"/>
          <w:lang w:eastAsia="en-AU"/>
        </w:rPr>
        <w:t>A</w:t>
      </w:r>
      <w:r w:rsidRPr="00FC1BF2">
        <w:rPr>
          <w:rFonts w:ascii="Century Gothic" w:eastAsia="Times New Roman" w:hAnsi="Century Gothic" w:cs="Times New Roman"/>
          <w:color w:val="000000" w:themeColor="text1"/>
          <w:sz w:val="22"/>
          <w:lang w:eastAsia="en-AU"/>
        </w:rPr>
        <w:t>greement”.</w:t>
      </w:r>
    </w:p>
    <w:p w:rsidR="00FD6E77" w:rsidRPr="00FC1BF2" w:rsidRDefault="00FD6E77" w:rsidP="00CA1C3B">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8" w:name="_Toc54942647"/>
      <w:r w:rsidRPr="00FC1BF2">
        <w:rPr>
          <w:rFonts w:ascii="Calibri" w:eastAsia="Times New Roman" w:hAnsi="Calibri" w:cs="Arial"/>
          <w:b/>
          <w:iCs/>
          <w:color w:val="000000" w:themeColor="text1"/>
          <w:kern w:val="32"/>
          <w:sz w:val="36"/>
          <w:szCs w:val="36"/>
          <w:lang w:eastAsia="en-AU"/>
        </w:rPr>
        <w:t>Assessment criteria</w:t>
      </w:r>
      <w:bookmarkEnd w:id="8"/>
    </w:p>
    <w:p w:rsidR="00FD6E77" w:rsidRPr="00FC1BF2" w:rsidRDefault="00FD6E77" w:rsidP="00DA7DD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OECD Guidelines require an NCP, when it receives a complaint, to conduct an ‘initial assessment’. This is to determine whether the issues are ‘bona fide’ (in other words real or authentic) and relevant to the implementation of the OECD Guidelines (in other words within their scope of coverage).</w:t>
      </w:r>
      <w:bookmarkStart w:id="9" w:name="_Ref35505814"/>
      <w:r w:rsidRPr="00FC1BF2">
        <w:rPr>
          <w:rStyle w:val="EndnoteReference"/>
          <w:rFonts w:ascii="Century Gothic" w:eastAsia="Times New Roman" w:hAnsi="Century Gothic" w:cs="Times New Roman"/>
          <w:color w:val="000000" w:themeColor="text1"/>
          <w:sz w:val="22"/>
          <w:lang w:eastAsia="en-AU"/>
        </w:rPr>
        <w:endnoteReference w:id="1"/>
      </w:r>
      <w:bookmarkEnd w:id="9"/>
      <w:r w:rsidRPr="00FC1BF2">
        <w:rPr>
          <w:rFonts w:ascii="Century Gothic" w:eastAsia="Times New Roman" w:hAnsi="Century Gothic" w:cs="Times New Roman"/>
          <w:color w:val="000000" w:themeColor="text1"/>
          <w:sz w:val="22"/>
          <w:lang w:eastAsia="en-AU"/>
        </w:rPr>
        <w:t xml:space="preserve"> The AusNCP has procedures,</w:t>
      </w:r>
      <w:bookmarkStart w:id="10" w:name="_Ref35349418"/>
      <w:r w:rsidRPr="00FC1BF2">
        <w:rPr>
          <w:rStyle w:val="EndnoteReference"/>
          <w:rFonts w:ascii="Century Gothic" w:eastAsia="Times New Roman" w:hAnsi="Century Gothic" w:cs="Times New Roman"/>
          <w:color w:val="000000" w:themeColor="text1"/>
          <w:sz w:val="22"/>
          <w:lang w:eastAsia="en-AU"/>
        </w:rPr>
        <w:endnoteReference w:id="2"/>
      </w:r>
      <w:bookmarkEnd w:id="10"/>
      <w:r w:rsidRPr="00FC1BF2">
        <w:rPr>
          <w:rFonts w:ascii="Century Gothic" w:eastAsia="Times New Roman" w:hAnsi="Century Gothic" w:cs="Times New Roman"/>
          <w:color w:val="000000" w:themeColor="text1"/>
          <w:sz w:val="22"/>
          <w:lang w:eastAsia="en-AU"/>
        </w:rPr>
        <w:t xml:space="preserve"> </w:t>
      </w:r>
      <w:r w:rsidRPr="00FC1BF2">
        <w:rPr>
          <w:rFonts w:ascii="Century Gothic" w:eastAsia="Times New Roman" w:hAnsi="Century Gothic" w:cs="Times New Roman"/>
          <w:color w:val="000000" w:themeColor="text1"/>
          <w:sz w:val="22"/>
          <w:lang w:eastAsia="en-AU"/>
        </w:rPr>
        <w:lastRenderedPageBreak/>
        <w:t xml:space="preserve">mirroring the OECD Guidelines, which specify that in deciding whether to accept a complaint, six admissibility criteria are assessed: </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identity of the party concerned and its interest in the matter;</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whether the issue is material and substantiated;</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whether there seems to be a link between the enterprise’s activities and the issue raised in the complaint;</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relevance of applicable law and procedures, including court rulings;</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how similar issues have been, or are being, treated in other domestic or international proceedings; and</w:t>
      </w:r>
    </w:p>
    <w:p w:rsidR="00FD6E77" w:rsidRPr="00FC1BF2" w:rsidRDefault="00FD6E77" w:rsidP="00DA7DD6">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whether the consideration of the complaint would contribute to the purposes and effectiveness of the OECD Guidelines.</w:t>
      </w:r>
      <w:r w:rsidRPr="00FC1BF2">
        <w:rPr>
          <w:rStyle w:val="EndnoteReference"/>
          <w:rFonts w:ascii="Century Gothic" w:eastAsia="Times New Roman" w:hAnsi="Century Gothic" w:cs="Times New Roman"/>
          <w:color w:val="000000" w:themeColor="text1"/>
          <w:sz w:val="22"/>
          <w:lang w:eastAsia="en-AU"/>
        </w:rPr>
        <w:endnoteReference w:id="3"/>
      </w:r>
    </w:p>
    <w:p w:rsidR="006A7AAD" w:rsidRPr="00FC1BF2" w:rsidRDefault="006A7AAD" w:rsidP="00DA7DD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Detailed observations regarding each of these criteria are contained in the Annexure to this Initial Assessment. The main points are </w:t>
      </w:r>
      <w:r w:rsidR="00340C22" w:rsidRPr="00FC1BF2">
        <w:rPr>
          <w:rFonts w:ascii="Century Gothic" w:eastAsia="Times New Roman" w:hAnsi="Century Gothic" w:cs="Times New Roman"/>
          <w:color w:val="000000" w:themeColor="text1"/>
          <w:sz w:val="22"/>
          <w:lang w:eastAsia="en-AU"/>
        </w:rPr>
        <w:t>summarised in the paragraphs below</w:t>
      </w:r>
      <w:r w:rsidRPr="00FC1BF2">
        <w:rPr>
          <w:rFonts w:ascii="Century Gothic" w:eastAsia="Times New Roman" w:hAnsi="Century Gothic" w:cs="Times New Roman"/>
          <w:color w:val="000000" w:themeColor="text1"/>
          <w:sz w:val="22"/>
          <w:lang w:eastAsia="en-AU"/>
        </w:rPr>
        <w:t>.</w:t>
      </w:r>
    </w:p>
    <w:p w:rsidR="00340C22" w:rsidRPr="00FC1BF2" w:rsidRDefault="00340C22" w:rsidP="0023785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w:t>
      </w:r>
      <w:r w:rsidR="00193385" w:rsidRPr="00FC1BF2">
        <w:rPr>
          <w:rFonts w:ascii="Century Gothic" w:eastAsia="Times New Roman" w:hAnsi="Century Gothic" w:cs="Times New Roman"/>
          <w:color w:val="000000" w:themeColor="text1"/>
          <w:sz w:val="22"/>
          <w:lang w:eastAsia="en-AU"/>
        </w:rPr>
        <w:t>i</w:t>
      </w:r>
      <w:r w:rsidRPr="00FC1BF2">
        <w:rPr>
          <w:rFonts w:ascii="Century Gothic" w:eastAsia="Times New Roman" w:hAnsi="Century Gothic" w:cs="Times New Roman"/>
          <w:color w:val="000000" w:themeColor="text1"/>
          <w:sz w:val="22"/>
          <w:lang w:eastAsia="en-AU"/>
        </w:rPr>
        <w:t xml:space="preserve">dentities and interests </w:t>
      </w:r>
      <w:r w:rsidR="00193385" w:rsidRPr="00FC1BF2">
        <w:rPr>
          <w:rFonts w:ascii="Century Gothic" w:eastAsia="Times New Roman" w:hAnsi="Century Gothic" w:cs="Times New Roman"/>
          <w:color w:val="000000" w:themeColor="text1"/>
          <w:sz w:val="22"/>
          <w:lang w:eastAsia="en-AU"/>
        </w:rPr>
        <w:t xml:space="preserve">of FoE and ANZ </w:t>
      </w:r>
      <w:r w:rsidRPr="00FC1BF2">
        <w:rPr>
          <w:rFonts w:ascii="Century Gothic" w:eastAsia="Times New Roman" w:hAnsi="Century Gothic" w:cs="Times New Roman"/>
          <w:color w:val="000000" w:themeColor="text1"/>
          <w:sz w:val="22"/>
          <w:lang w:eastAsia="en-AU"/>
        </w:rPr>
        <w:t xml:space="preserve">are suitable for a complaint to be addressed under the </w:t>
      </w:r>
      <w:r w:rsidR="00B13762" w:rsidRPr="00FC1BF2">
        <w:rPr>
          <w:rFonts w:ascii="Century Gothic" w:eastAsia="Times New Roman" w:hAnsi="Century Gothic" w:cs="Times New Roman"/>
          <w:color w:val="000000" w:themeColor="text1"/>
          <w:sz w:val="22"/>
          <w:lang w:eastAsia="en-AU"/>
        </w:rPr>
        <w:t xml:space="preserve">OECD </w:t>
      </w:r>
      <w:r w:rsidRPr="00FC1BF2">
        <w:rPr>
          <w:rFonts w:ascii="Century Gothic" w:eastAsia="Times New Roman" w:hAnsi="Century Gothic" w:cs="Times New Roman"/>
          <w:color w:val="000000" w:themeColor="text1"/>
          <w:sz w:val="22"/>
          <w:lang w:eastAsia="en-AU"/>
        </w:rPr>
        <w:t xml:space="preserve">Guidelines. </w:t>
      </w:r>
      <w:r w:rsidR="00193385" w:rsidRPr="00FC1BF2">
        <w:rPr>
          <w:rFonts w:ascii="Century Gothic" w:eastAsia="Times New Roman" w:hAnsi="Century Gothic" w:cs="Times New Roman"/>
          <w:color w:val="000000" w:themeColor="text1"/>
          <w:sz w:val="22"/>
          <w:lang w:eastAsia="en-AU"/>
        </w:rPr>
        <w:t>The Complaint is also made by three individuals who</w:t>
      </w:r>
      <w:r w:rsidR="00237856" w:rsidRPr="00FC1BF2">
        <w:rPr>
          <w:rFonts w:ascii="Century Gothic" w:eastAsia="Times New Roman" w:hAnsi="Century Gothic" w:cs="Times New Roman"/>
          <w:color w:val="000000" w:themeColor="text1"/>
          <w:sz w:val="22"/>
          <w:lang w:eastAsia="en-AU"/>
        </w:rPr>
        <w:t xml:space="preserve">se </w:t>
      </w:r>
      <w:r w:rsidR="00193385" w:rsidRPr="00FC1BF2">
        <w:rPr>
          <w:rFonts w:ascii="Century Gothic" w:eastAsia="Times New Roman" w:hAnsi="Century Gothic" w:cs="Times New Roman"/>
          <w:color w:val="000000" w:themeColor="text1"/>
          <w:sz w:val="22"/>
          <w:lang w:eastAsia="en-AU"/>
        </w:rPr>
        <w:t xml:space="preserve">properties </w:t>
      </w:r>
      <w:r w:rsidR="00237856" w:rsidRPr="00FC1BF2">
        <w:rPr>
          <w:rFonts w:ascii="Century Gothic" w:eastAsia="Times New Roman" w:hAnsi="Century Gothic" w:cs="Times New Roman"/>
          <w:color w:val="000000" w:themeColor="text1"/>
          <w:sz w:val="22"/>
          <w:lang w:eastAsia="en-AU"/>
        </w:rPr>
        <w:t>were</w:t>
      </w:r>
      <w:r w:rsidR="00193385" w:rsidRPr="00FC1BF2">
        <w:rPr>
          <w:rFonts w:ascii="Century Gothic" w:eastAsia="Times New Roman" w:hAnsi="Century Gothic" w:cs="Times New Roman"/>
          <w:color w:val="000000" w:themeColor="text1"/>
          <w:sz w:val="22"/>
          <w:lang w:eastAsia="en-AU"/>
        </w:rPr>
        <w:t xml:space="preserve"> damaged or destroyed by fires. The Complaint does not explain the interest(s) which these property owners have in ANZ’s disclosure practices, environmental standards and application of due diligence principles. </w:t>
      </w:r>
    </w:p>
    <w:p w:rsidR="00340C22" w:rsidRPr="00FC1BF2" w:rsidRDefault="00340C22" w:rsidP="00193385">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Issues of climate change, fossil fuels (and associated GHG) are sufficiently material to responsible business conduct understood by the OECD Guidelines. </w:t>
      </w:r>
      <w:r w:rsidR="00237856" w:rsidRPr="00FC1BF2">
        <w:rPr>
          <w:rFonts w:ascii="Century Gothic" w:eastAsia="Times New Roman" w:hAnsi="Century Gothic" w:cs="Times New Roman"/>
          <w:color w:val="000000" w:themeColor="text1"/>
          <w:sz w:val="22"/>
          <w:lang w:eastAsia="en-AU"/>
        </w:rPr>
        <w:t xml:space="preserve">The information in the Complaint is plausible and </w:t>
      </w:r>
      <w:r w:rsidR="00B13762" w:rsidRPr="00FC1BF2">
        <w:rPr>
          <w:rFonts w:ascii="Century Gothic" w:eastAsia="Times New Roman" w:hAnsi="Century Gothic" w:cs="Times New Roman"/>
          <w:color w:val="000000" w:themeColor="text1"/>
          <w:sz w:val="22"/>
          <w:lang w:eastAsia="en-AU"/>
        </w:rPr>
        <w:t xml:space="preserve">relevant </w:t>
      </w:r>
      <w:r w:rsidR="00237856" w:rsidRPr="00FC1BF2">
        <w:rPr>
          <w:rFonts w:ascii="Century Gothic" w:eastAsia="Times New Roman" w:hAnsi="Century Gothic" w:cs="Times New Roman"/>
          <w:color w:val="000000" w:themeColor="text1"/>
          <w:sz w:val="22"/>
          <w:lang w:eastAsia="en-AU"/>
        </w:rPr>
        <w:t>to the application of the OECD Guidelines.</w:t>
      </w:r>
    </w:p>
    <w:p w:rsidR="00193385" w:rsidRPr="00FC1BF2" w:rsidRDefault="00193385" w:rsidP="00193385">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relation to ‘a link between the enterprise’s activities and the issue raised in the complaint’, the ‘issue’ must concern provisions within the OECD Guidelines. The Complaint </w:t>
      </w:r>
      <w:r w:rsidR="00237856" w:rsidRPr="00FC1BF2">
        <w:rPr>
          <w:rFonts w:ascii="Century Gothic" w:eastAsia="Times New Roman" w:hAnsi="Century Gothic" w:cs="Times New Roman"/>
          <w:color w:val="000000" w:themeColor="text1"/>
          <w:sz w:val="22"/>
          <w:lang w:eastAsia="en-AU"/>
        </w:rPr>
        <w:t>encompasses</w:t>
      </w:r>
      <w:r w:rsidRPr="00FC1BF2">
        <w:rPr>
          <w:rFonts w:ascii="Century Gothic" w:eastAsia="Times New Roman" w:hAnsi="Century Gothic" w:cs="Times New Roman"/>
          <w:color w:val="000000" w:themeColor="text1"/>
          <w:sz w:val="22"/>
          <w:lang w:eastAsia="en-AU"/>
        </w:rPr>
        <w:t xml:space="preserve"> four types of claim: (1) disclosure, (2) target-setting, (3) scenario-analysis, and (4) divestment. The first three involve sufficient links between ANZ’</w:t>
      </w:r>
      <w:r w:rsidR="00E07BF8" w:rsidRPr="00FC1BF2">
        <w:rPr>
          <w:rFonts w:ascii="Century Gothic" w:eastAsia="Times New Roman" w:hAnsi="Century Gothic" w:cs="Times New Roman"/>
          <w:color w:val="000000" w:themeColor="text1"/>
          <w:sz w:val="22"/>
          <w:lang w:eastAsia="en-AU"/>
        </w:rPr>
        <w:t>s</w:t>
      </w:r>
      <w:r w:rsidRPr="00FC1BF2">
        <w:rPr>
          <w:rFonts w:ascii="Century Gothic" w:eastAsia="Times New Roman" w:hAnsi="Century Gothic" w:cs="Times New Roman"/>
          <w:color w:val="000000" w:themeColor="text1"/>
          <w:sz w:val="22"/>
          <w:lang w:eastAsia="en-AU"/>
        </w:rPr>
        <w:t xml:space="preserve"> activities and the issues raised in the </w:t>
      </w:r>
      <w:r w:rsidR="00B13762" w:rsidRPr="00FC1BF2">
        <w:rPr>
          <w:rFonts w:ascii="Century Gothic" w:eastAsia="Times New Roman" w:hAnsi="Century Gothic" w:cs="Times New Roman"/>
          <w:color w:val="000000" w:themeColor="text1"/>
          <w:sz w:val="22"/>
          <w:lang w:eastAsia="en-AU"/>
        </w:rPr>
        <w:t>C</w:t>
      </w:r>
      <w:r w:rsidRPr="00FC1BF2">
        <w:rPr>
          <w:rFonts w:ascii="Century Gothic" w:eastAsia="Times New Roman" w:hAnsi="Century Gothic" w:cs="Times New Roman"/>
          <w:color w:val="000000" w:themeColor="text1"/>
          <w:sz w:val="22"/>
          <w:lang w:eastAsia="en-AU"/>
        </w:rPr>
        <w:t>omplaint. However the divestment issue is different</w:t>
      </w:r>
      <w:r w:rsidR="00E07BF8" w:rsidRPr="00FC1BF2">
        <w:rPr>
          <w:rFonts w:ascii="Century Gothic" w:eastAsia="Times New Roman" w:hAnsi="Century Gothic" w:cs="Times New Roman"/>
          <w:color w:val="000000" w:themeColor="text1"/>
          <w:sz w:val="22"/>
          <w:lang w:eastAsia="en-AU"/>
        </w:rPr>
        <w:t xml:space="preserve"> because</w:t>
      </w:r>
      <w:r w:rsidRPr="00FC1BF2">
        <w:rPr>
          <w:rFonts w:ascii="Century Gothic" w:eastAsia="Times New Roman" w:hAnsi="Century Gothic" w:cs="Times New Roman"/>
          <w:color w:val="000000" w:themeColor="text1"/>
          <w:sz w:val="22"/>
          <w:lang w:eastAsia="en-AU"/>
        </w:rPr>
        <w:t xml:space="preserve"> divestment from fossil fuel is </w:t>
      </w:r>
      <w:r w:rsidR="00E07BF8" w:rsidRPr="00FC1BF2">
        <w:rPr>
          <w:rFonts w:ascii="Century Gothic" w:eastAsia="Times New Roman" w:hAnsi="Century Gothic" w:cs="Times New Roman"/>
          <w:color w:val="000000" w:themeColor="text1"/>
          <w:sz w:val="22"/>
          <w:lang w:eastAsia="en-AU"/>
        </w:rPr>
        <w:t>not</w:t>
      </w:r>
      <w:r w:rsidRPr="00FC1BF2">
        <w:rPr>
          <w:rFonts w:ascii="Century Gothic" w:eastAsia="Times New Roman" w:hAnsi="Century Gothic" w:cs="Times New Roman"/>
          <w:color w:val="000000" w:themeColor="text1"/>
          <w:sz w:val="22"/>
          <w:lang w:eastAsia="en-AU"/>
        </w:rPr>
        <w:t xml:space="preserve"> </w:t>
      </w:r>
      <w:r w:rsidR="00E07BF8" w:rsidRPr="00FC1BF2">
        <w:rPr>
          <w:rFonts w:ascii="Century Gothic" w:eastAsia="Times New Roman" w:hAnsi="Century Gothic" w:cs="Times New Roman"/>
          <w:color w:val="000000" w:themeColor="text1"/>
          <w:sz w:val="22"/>
          <w:lang w:eastAsia="en-AU"/>
        </w:rPr>
        <w:t xml:space="preserve">a </w:t>
      </w:r>
      <w:r w:rsidRPr="00FC1BF2">
        <w:rPr>
          <w:rFonts w:ascii="Century Gothic" w:eastAsia="Times New Roman" w:hAnsi="Century Gothic" w:cs="Times New Roman"/>
          <w:color w:val="000000" w:themeColor="text1"/>
          <w:sz w:val="22"/>
          <w:lang w:eastAsia="en-AU"/>
        </w:rPr>
        <w:t>require</w:t>
      </w:r>
      <w:r w:rsidR="00E07BF8" w:rsidRPr="00FC1BF2">
        <w:rPr>
          <w:rFonts w:ascii="Century Gothic" w:eastAsia="Times New Roman" w:hAnsi="Century Gothic" w:cs="Times New Roman"/>
          <w:color w:val="000000" w:themeColor="text1"/>
          <w:sz w:val="22"/>
          <w:lang w:eastAsia="en-AU"/>
        </w:rPr>
        <w:t>ment of</w:t>
      </w:r>
      <w:r w:rsidRPr="00FC1BF2">
        <w:rPr>
          <w:rFonts w:ascii="Century Gothic" w:eastAsia="Times New Roman" w:hAnsi="Century Gothic" w:cs="Times New Roman"/>
          <w:color w:val="000000" w:themeColor="text1"/>
          <w:sz w:val="22"/>
          <w:lang w:eastAsia="en-AU"/>
        </w:rPr>
        <w:t xml:space="preserve"> the OECD Guideline</w:t>
      </w:r>
      <w:r w:rsidR="00E07BF8" w:rsidRPr="00FC1BF2">
        <w:rPr>
          <w:rFonts w:ascii="Century Gothic" w:eastAsia="Times New Roman" w:hAnsi="Century Gothic" w:cs="Times New Roman"/>
          <w:color w:val="000000" w:themeColor="text1"/>
          <w:sz w:val="22"/>
          <w:lang w:eastAsia="en-AU"/>
        </w:rPr>
        <w:t>s. Th</w:t>
      </w:r>
      <w:r w:rsidR="00B13762" w:rsidRPr="00FC1BF2">
        <w:rPr>
          <w:rFonts w:ascii="Century Gothic" w:eastAsia="Times New Roman" w:hAnsi="Century Gothic" w:cs="Times New Roman"/>
          <w:color w:val="000000" w:themeColor="text1"/>
          <w:sz w:val="22"/>
          <w:lang w:eastAsia="en-AU"/>
        </w:rPr>
        <w:t>ose</w:t>
      </w:r>
      <w:r w:rsidR="00237856" w:rsidRPr="00FC1BF2">
        <w:rPr>
          <w:rFonts w:ascii="Century Gothic" w:eastAsia="Times New Roman" w:hAnsi="Century Gothic" w:cs="Times New Roman"/>
          <w:color w:val="000000" w:themeColor="text1"/>
          <w:sz w:val="22"/>
          <w:lang w:eastAsia="en-AU"/>
        </w:rPr>
        <w:t xml:space="preserve"> aspect</w:t>
      </w:r>
      <w:r w:rsidR="007660D7" w:rsidRPr="00FC1BF2">
        <w:rPr>
          <w:rFonts w:ascii="Century Gothic" w:eastAsia="Times New Roman" w:hAnsi="Century Gothic" w:cs="Times New Roman"/>
          <w:color w:val="000000" w:themeColor="text1"/>
          <w:sz w:val="22"/>
          <w:lang w:eastAsia="en-AU"/>
        </w:rPr>
        <w:t>s</w:t>
      </w:r>
      <w:r w:rsidR="00237856" w:rsidRPr="00FC1BF2">
        <w:rPr>
          <w:rFonts w:ascii="Century Gothic" w:eastAsia="Times New Roman" w:hAnsi="Century Gothic" w:cs="Times New Roman"/>
          <w:color w:val="000000" w:themeColor="text1"/>
          <w:sz w:val="22"/>
          <w:lang w:eastAsia="en-AU"/>
        </w:rPr>
        <w:t xml:space="preserve"> of the </w:t>
      </w:r>
      <w:r w:rsidR="00E07BF8" w:rsidRPr="00FC1BF2">
        <w:rPr>
          <w:rFonts w:ascii="Century Gothic" w:eastAsia="Times New Roman" w:hAnsi="Century Gothic" w:cs="Times New Roman"/>
          <w:color w:val="000000" w:themeColor="text1"/>
          <w:sz w:val="22"/>
          <w:lang w:eastAsia="en-AU"/>
        </w:rPr>
        <w:t xml:space="preserve">Complaint are not accepted </w:t>
      </w:r>
      <w:r w:rsidR="00C767BF">
        <w:rPr>
          <w:rFonts w:ascii="Century Gothic" w:eastAsia="Times New Roman" w:hAnsi="Century Gothic" w:cs="Times New Roman"/>
          <w:color w:val="000000" w:themeColor="text1"/>
          <w:sz w:val="22"/>
          <w:lang w:eastAsia="en-AU"/>
        </w:rPr>
        <w:t>to progress under</w:t>
      </w:r>
      <w:r w:rsidR="00E07BF8" w:rsidRPr="00FC1BF2">
        <w:rPr>
          <w:rFonts w:ascii="Century Gothic" w:eastAsia="Times New Roman" w:hAnsi="Century Gothic" w:cs="Times New Roman"/>
          <w:color w:val="000000" w:themeColor="text1"/>
          <w:sz w:val="22"/>
          <w:lang w:eastAsia="en-AU"/>
        </w:rPr>
        <w:t xml:space="preserve"> </w:t>
      </w:r>
      <w:r w:rsidR="00B13762" w:rsidRPr="00FC1BF2">
        <w:rPr>
          <w:rFonts w:ascii="Century Gothic" w:eastAsia="Times New Roman" w:hAnsi="Century Gothic" w:cs="Times New Roman"/>
          <w:color w:val="000000" w:themeColor="text1"/>
          <w:sz w:val="22"/>
          <w:lang w:eastAsia="en-AU"/>
        </w:rPr>
        <w:t xml:space="preserve">‘good offices’ </w:t>
      </w:r>
      <w:r w:rsidR="00E07BF8" w:rsidRPr="00FC1BF2">
        <w:rPr>
          <w:rFonts w:ascii="Century Gothic" w:eastAsia="Times New Roman" w:hAnsi="Century Gothic" w:cs="Times New Roman"/>
          <w:color w:val="000000" w:themeColor="text1"/>
          <w:sz w:val="22"/>
          <w:lang w:eastAsia="en-AU"/>
        </w:rPr>
        <w:t>.</w:t>
      </w:r>
    </w:p>
    <w:p w:rsidR="0093735A" w:rsidRPr="00FC1BF2" w:rsidRDefault="00237856" w:rsidP="0023785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Regarding ‘proceedings’ - t</w:t>
      </w:r>
      <w:r w:rsidR="00E07BF8" w:rsidRPr="00FC1BF2">
        <w:rPr>
          <w:rFonts w:ascii="Century Gothic" w:eastAsia="Times New Roman" w:hAnsi="Century Gothic" w:cs="Times New Roman"/>
          <w:color w:val="000000" w:themeColor="text1"/>
          <w:sz w:val="22"/>
          <w:lang w:eastAsia="en-AU"/>
        </w:rPr>
        <w:t>here are two other proce</w:t>
      </w:r>
      <w:r w:rsidR="0093735A" w:rsidRPr="00FC1BF2">
        <w:rPr>
          <w:rFonts w:ascii="Century Gothic" w:eastAsia="Times New Roman" w:hAnsi="Century Gothic" w:cs="Times New Roman"/>
          <w:color w:val="000000" w:themeColor="text1"/>
          <w:sz w:val="22"/>
          <w:lang w:eastAsia="en-AU"/>
        </w:rPr>
        <w:t>sses</w:t>
      </w:r>
      <w:r w:rsidR="00E07BF8" w:rsidRPr="00FC1BF2">
        <w:rPr>
          <w:rFonts w:ascii="Century Gothic" w:eastAsia="Times New Roman" w:hAnsi="Century Gothic" w:cs="Times New Roman"/>
          <w:color w:val="000000" w:themeColor="text1"/>
          <w:sz w:val="22"/>
          <w:lang w:eastAsia="en-AU"/>
        </w:rPr>
        <w:t xml:space="preserve"> </w:t>
      </w:r>
      <w:bookmarkStart w:id="11" w:name="_Hlk54941990"/>
      <w:r w:rsidR="009346C7">
        <w:rPr>
          <w:rFonts w:ascii="Century Gothic" w:eastAsia="Times New Roman" w:hAnsi="Century Gothic" w:cs="Times New Roman"/>
          <w:color w:val="000000" w:themeColor="text1"/>
          <w:sz w:val="22"/>
          <w:lang w:eastAsia="en-AU"/>
        </w:rPr>
        <w:t xml:space="preserve">which </w:t>
      </w:r>
      <w:r w:rsidR="007C24F4">
        <w:rPr>
          <w:rFonts w:ascii="Century Gothic" w:eastAsia="Times New Roman" w:hAnsi="Century Gothic" w:cs="Times New Roman"/>
          <w:color w:val="000000" w:themeColor="text1"/>
          <w:sz w:val="22"/>
          <w:lang w:eastAsia="en-AU"/>
        </w:rPr>
        <w:t xml:space="preserve">have been </w:t>
      </w:r>
      <w:r w:rsidR="00E07BF8" w:rsidRPr="00FC1BF2">
        <w:rPr>
          <w:rFonts w:ascii="Century Gothic" w:eastAsia="Times New Roman" w:hAnsi="Century Gothic" w:cs="Times New Roman"/>
          <w:color w:val="000000" w:themeColor="text1"/>
          <w:sz w:val="22"/>
          <w:lang w:eastAsia="en-AU"/>
        </w:rPr>
        <w:t>underway</w:t>
      </w:r>
      <w:r w:rsidR="009346C7">
        <w:rPr>
          <w:rFonts w:ascii="Century Gothic" w:eastAsia="Times New Roman" w:hAnsi="Century Gothic" w:cs="Times New Roman"/>
          <w:color w:val="000000" w:themeColor="text1"/>
          <w:sz w:val="22"/>
          <w:lang w:eastAsia="en-AU"/>
        </w:rPr>
        <w:t xml:space="preserve"> </w:t>
      </w:r>
      <w:bookmarkEnd w:id="11"/>
      <w:r w:rsidR="00E07BF8" w:rsidRPr="00FC1BF2">
        <w:rPr>
          <w:rFonts w:ascii="Century Gothic" w:eastAsia="Times New Roman" w:hAnsi="Century Gothic" w:cs="Times New Roman"/>
          <w:color w:val="000000" w:themeColor="text1"/>
          <w:sz w:val="22"/>
          <w:lang w:eastAsia="en-AU"/>
        </w:rPr>
        <w:t xml:space="preserve">in Australia </w:t>
      </w:r>
      <w:r w:rsidR="009346C7">
        <w:rPr>
          <w:rFonts w:ascii="Century Gothic" w:eastAsia="Times New Roman" w:hAnsi="Century Gothic" w:cs="Times New Roman"/>
          <w:color w:val="000000" w:themeColor="text1"/>
          <w:sz w:val="22"/>
          <w:lang w:eastAsia="en-AU"/>
        </w:rPr>
        <w:t xml:space="preserve">during the initial assessment process </w:t>
      </w:r>
      <w:r w:rsidR="00B13762" w:rsidRPr="00FC1BF2">
        <w:rPr>
          <w:rFonts w:ascii="Century Gothic" w:eastAsia="Times New Roman" w:hAnsi="Century Gothic" w:cs="Times New Roman"/>
          <w:color w:val="000000" w:themeColor="text1"/>
          <w:sz w:val="22"/>
          <w:lang w:eastAsia="en-AU"/>
        </w:rPr>
        <w:t>concerning</w:t>
      </w:r>
      <w:r w:rsidR="0096553A" w:rsidRPr="00FC1BF2">
        <w:rPr>
          <w:rFonts w:ascii="Century Gothic" w:eastAsia="Times New Roman" w:hAnsi="Century Gothic" w:cs="Times New Roman"/>
          <w:color w:val="000000" w:themeColor="text1"/>
          <w:sz w:val="22"/>
          <w:lang w:eastAsia="en-AU"/>
        </w:rPr>
        <w:t xml:space="preserve"> issues of </w:t>
      </w:r>
      <w:r w:rsidR="00E07BF8" w:rsidRPr="00FC1BF2">
        <w:rPr>
          <w:rFonts w:ascii="Century Gothic" w:eastAsia="Times New Roman" w:hAnsi="Century Gothic" w:cs="Times New Roman"/>
          <w:color w:val="000000" w:themeColor="text1"/>
          <w:sz w:val="22"/>
          <w:lang w:eastAsia="en-AU"/>
        </w:rPr>
        <w:t>climate change</w:t>
      </w:r>
      <w:r w:rsidR="0093735A" w:rsidRPr="00FC1BF2">
        <w:rPr>
          <w:rFonts w:ascii="Century Gothic" w:eastAsia="Times New Roman" w:hAnsi="Century Gothic" w:cs="Times New Roman"/>
          <w:color w:val="000000" w:themeColor="text1"/>
          <w:sz w:val="22"/>
          <w:lang w:eastAsia="en-AU"/>
        </w:rPr>
        <w:t>, fires, and</w:t>
      </w:r>
      <w:r w:rsidR="00E07BF8" w:rsidRPr="00FC1BF2">
        <w:rPr>
          <w:rFonts w:ascii="Century Gothic" w:eastAsia="Times New Roman" w:hAnsi="Century Gothic" w:cs="Times New Roman"/>
          <w:color w:val="000000" w:themeColor="text1"/>
          <w:sz w:val="22"/>
          <w:lang w:eastAsia="en-AU"/>
        </w:rPr>
        <w:t xml:space="preserve"> the need for change</w:t>
      </w:r>
      <w:r w:rsidR="0093735A" w:rsidRPr="00FC1BF2">
        <w:rPr>
          <w:rFonts w:ascii="Century Gothic" w:eastAsia="Times New Roman" w:hAnsi="Century Gothic" w:cs="Times New Roman"/>
          <w:color w:val="000000" w:themeColor="text1"/>
          <w:sz w:val="22"/>
          <w:lang w:eastAsia="en-AU"/>
        </w:rPr>
        <w:t xml:space="preserve">. These are the </w:t>
      </w:r>
      <w:r w:rsidR="009346C7">
        <w:rPr>
          <w:rFonts w:ascii="Century Gothic" w:eastAsia="Times New Roman" w:hAnsi="Century Gothic" w:cs="Times New Roman"/>
          <w:color w:val="000000" w:themeColor="text1"/>
          <w:sz w:val="22"/>
          <w:lang w:eastAsia="en-AU"/>
        </w:rPr>
        <w:t xml:space="preserve">recently completed </w:t>
      </w:r>
      <w:r w:rsidR="0093735A" w:rsidRPr="00FC1BF2">
        <w:rPr>
          <w:rFonts w:ascii="Century Gothic" w:eastAsia="Times New Roman" w:hAnsi="Century Gothic" w:cs="Times New Roman"/>
          <w:color w:val="000000" w:themeColor="text1"/>
          <w:sz w:val="22"/>
          <w:lang w:eastAsia="en-AU"/>
        </w:rPr>
        <w:t>Commonwealth Government’s Royal Commission into National Natural Disaster Arrangements (</w:t>
      </w:r>
      <w:r w:rsidR="0093735A" w:rsidRPr="00FC1BF2">
        <w:rPr>
          <w:rFonts w:ascii="Century Gothic" w:eastAsia="Times New Roman" w:hAnsi="Century Gothic" w:cs="Times New Roman"/>
          <w:b/>
          <w:bCs/>
          <w:color w:val="000000" w:themeColor="text1"/>
          <w:sz w:val="22"/>
          <w:lang w:eastAsia="en-AU"/>
        </w:rPr>
        <w:t>Royal Commission</w:t>
      </w:r>
      <w:r w:rsidR="0093735A" w:rsidRPr="00FC1BF2">
        <w:rPr>
          <w:rFonts w:ascii="Century Gothic" w:eastAsia="Times New Roman" w:hAnsi="Century Gothic" w:cs="Times New Roman"/>
          <w:color w:val="000000" w:themeColor="text1"/>
          <w:sz w:val="22"/>
          <w:lang w:eastAsia="en-AU"/>
        </w:rPr>
        <w:t xml:space="preserve">), and the </w:t>
      </w:r>
      <w:r w:rsidR="00E07BF8" w:rsidRPr="00FC1BF2">
        <w:rPr>
          <w:rFonts w:ascii="Century Gothic" w:eastAsia="Times New Roman" w:hAnsi="Century Gothic" w:cs="Times New Roman"/>
          <w:color w:val="000000" w:themeColor="text1"/>
          <w:sz w:val="22"/>
          <w:lang w:eastAsia="en-AU"/>
        </w:rPr>
        <w:t>multi-stakeholder Australian Sustainable Finance Initiative</w:t>
      </w:r>
      <w:r w:rsidR="00E07BF8" w:rsidRPr="00FC1BF2">
        <w:rPr>
          <w:rFonts w:ascii="Century Gothic" w:eastAsia="Times New Roman" w:hAnsi="Century Gothic" w:cs="Times New Roman"/>
          <w:i/>
          <w:iCs/>
          <w:color w:val="000000" w:themeColor="text1"/>
          <w:sz w:val="22"/>
          <w:lang w:eastAsia="en-AU"/>
        </w:rPr>
        <w:t xml:space="preserve"> </w:t>
      </w:r>
      <w:r w:rsidR="00E07BF8" w:rsidRPr="00FC1BF2">
        <w:rPr>
          <w:rFonts w:ascii="Century Gothic" w:eastAsia="Times New Roman" w:hAnsi="Century Gothic" w:cs="Times New Roman"/>
          <w:color w:val="000000" w:themeColor="text1"/>
          <w:sz w:val="22"/>
          <w:lang w:eastAsia="en-AU"/>
        </w:rPr>
        <w:t>(</w:t>
      </w:r>
      <w:r w:rsidR="00E07BF8" w:rsidRPr="00FC1BF2">
        <w:rPr>
          <w:rFonts w:ascii="Century Gothic" w:eastAsia="Times New Roman" w:hAnsi="Century Gothic" w:cs="Times New Roman"/>
          <w:b/>
          <w:bCs/>
          <w:color w:val="000000" w:themeColor="text1"/>
          <w:sz w:val="22"/>
          <w:lang w:eastAsia="en-AU"/>
        </w:rPr>
        <w:t>ASFI</w:t>
      </w:r>
      <w:r w:rsidR="00E07BF8" w:rsidRPr="00FC1BF2">
        <w:rPr>
          <w:rFonts w:ascii="Century Gothic" w:eastAsia="Times New Roman" w:hAnsi="Century Gothic" w:cs="Times New Roman"/>
          <w:color w:val="000000" w:themeColor="text1"/>
          <w:sz w:val="22"/>
          <w:lang w:eastAsia="en-AU"/>
        </w:rPr>
        <w:t xml:space="preserve">). </w:t>
      </w:r>
      <w:r w:rsidR="0093735A" w:rsidRPr="00FC1BF2">
        <w:rPr>
          <w:rFonts w:ascii="Century Gothic" w:eastAsia="Times New Roman" w:hAnsi="Century Gothic" w:cs="Times New Roman"/>
          <w:color w:val="000000" w:themeColor="text1"/>
          <w:sz w:val="22"/>
          <w:lang w:eastAsia="en-AU"/>
        </w:rPr>
        <w:t xml:space="preserve">Good offices </w:t>
      </w:r>
      <w:r w:rsidR="00B13762" w:rsidRPr="00FC1BF2">
        <w:rPr>
          <w:rFonts w:ascii="Century Gothic" w:eastAsia="Times New Roman" w:hAnsi="Century Gothic" w:cs="Times New Roman"/>
          <w:color w:val="000000" w:themeColor="text1"/>
          <w:sz w:val="22"/>
          <w:lang w:eastAsia="en-AU"/>
        </w:rPr>
        <w:t xml:space="preserve">by an NCP </w:t>
      </w:r>
      <w:r w:rsidR="00FB683C">
        <w:rPr>
          <w:rFonts w:ascii="Century Gothic" w:eastAsia="Times New Roman" w:hAnsi="Century Gothic" w:cs="Times New Roman"/>
          <w:color w:val="000000" w:themeColor="text1"/>
          <w:sz w:val="22"/>
          <w:lang w:eastAsia="en-AU"/>
        </w:rPr>
        <w:t>ought</w:t>
      </w:r>
      <w:r w:rsidR="0093735A" w:rsidRPr="00FC1BF2">
        <w:rPr>
          <w:rFonts w:ascii="Century Gothic" w:eastAsia="Times New Roman" w:hAnsi="Century Gothic" w:cs="Times New Roman"/>
          <w:color w:val="000000" w:themeColor="text1"/>
          <w:sz w:val="22"/>
          <w:lang w:eastAsia="en-AU"/>
        </w:rPr>
        <w:t xml:space="preserve"> not duplicate other proceedings where identical issues and exchanges are occurring. The Notifiers state they have engaged with both</w:t>
      </w:r>
      <w:r w:rsidR="0096553A" w:rsidRPr="00FC1BF2">
        <w:rPr>
          <w:rFonts w:ascii="Century Gothic" w:eastAsia="Times New Roman" w:hAnsi="Century Gothic" w:cs="Times New Roman"/>
          <w:color w:val="000000" w:themeColor="text1"/>
          <w:sz w:val="22"/>
          <w:lang w:eastAsia="en-AU"/>
        </w:rPr>
        <w:t xml:space="preserve"> </w:t>
      </w:r>
      <w:r w:rsidR="00B13762" w:rsidRPr="00FC1BF2">
        <w:rPr>
          <w:rFonts w:ascii="Century Gothic" w:eastAsia="Times New Roman" w:hAnsi="Century Gothic" w:cs="Times New Roman"/>
          <w:color w:val="000000" w:themeColor="text1"/>
          <w:sz w:val="22"/>
          <w:lang w:eastAsia="en-AU"/>
        </w:rPr>
        <w:t>ASFI and the</w:t>
      </w:r>
      <w:r w:rsidR="00B13762" w:rsidRPr="00FC1BF2">
        <w:t xml:space="preserve"> </w:t>
      </w:r>
      <w:r w:rsidR="00B13762" w:rsidRPr="00FC1BF2">
        <w:rPr>
          <w:rFonts w:ascii="Century Gothic" w:eastAsia="Times New Roman" w:hAnsi="Century Gothic" w:cs="Times New Roman"/>
          <w:color w:val="000000" w:themeColor="text1"/>
          <w:sz w:val="22"/>
          <w:lang w:eastAsia="en-AU"/>
        </w:rPr>
        <w:t xml:space="preserve">Royal Commission, </w:t>
      </w:r>
      <w:r w:rsidR="0096553A" w:rsidRPr="00FC1BF2">
        <w:rPr>
          <w:rFonts w:ascii="Century Gothic" w:eastAsia="Times New Roman" w:hAnsi="Century Gothic" w:cs="Times New Roman"/>
          <w:color w:val="000000" w:themeColor="text1"/>
          <w:sz w:val="22"/>
          <w:lang w:eastAsia="en-AU"/>
        </w:rPr>
        <w:t xml:space="preserve">but have had </w:t>
      </w:r>
      <w:r w:rsidR="0093735A" w:rsidRPr="00FC1BF2">
        <w:rPr>
          <w:rFonts w:ascii="Century Gothic" w:eastAsia="Times New Roman" w:hAnsi="Century Gothic" w:cs="Times New Roman"/>
          <w:color w:val="000000" w:themeColor="text1"/>
          <w:sz w:val="22"/>
          <w:lang w:eastAsia="en-AU"/>
        </w:rPr>
        <w:t xml:space="preserve">little opportunity to address the main focus of the Complaint. </w:t>
      </w:r>
      <w:r w:rsidR="0096553A" w:rsidRPr="00FC1BF2">
        <w:rPr>
          <w:rFonts w:ascii="Century Gothic" w:eastAsia="Times New Roman" w:hAnsi="Century Gothic" w:cs="Times New Roman"/>
          <w:color w:val="000000" w:themeColor="text1"/>
          <w:sz w:val="22"/>
          <w:lang w:eastAsia="en-AU"/>
        </w:rPr>
        <w:t xml:space="preserve">The Independent Examiner </w:t>
      </w:r>
      <w:r w:rsidR="009346C7">
        <w:rPr>
          <w:rFonts w:ascii="Century Gothic" w:eastAsia="Times New Roman" w:hAnsi="Century Gothic" w:cs="Times New Roman"/>
          <w:color w:val="000000" w:themeColor="text1"/>
          <w:sz w:val="22"/>
          <w:lang w:eastAsia="en-AU"/>
        </w:rPr>
        <w:t>will provide</w:t>
      </w:r>
      <w:r w:rsidR="0096553A" w:rsidRPr="00FC1BF2">
        <w:rPr>
          <w:rFonts w:ascii="Century Gothic" w:eastAsia="Times New Roman" w:hAnsi="Century Gothic" w:cs="Times New Roman"/>
          <w:color w:val="000000" w:themeColor="text1"/>
          <w:sz w:val="22"/>
          <w:lang w:eastAsia="en-AU"/>
        </w:rPr>
        <w:t xml:space="preserve"> this Initial Assessment, when published, to ASFI because there are relevant issues for their consideration. The</w:t>
      </w:r>
      <w:r w:rsidRPr="00FC1BF2">
        <w:rPr>
          <w:rFonts w:ascii="Century Gothic" w:eastAsia="Times New Roman" w:hAnsi="Century Gothic" w:cs="Times New Roman"/>
          <w:color w:val="000000" w:themeColor="text1"/>
          <w:sz w:val="22"/>
          <w:lang w:eastAsia="en-AU"/>
        </w:rPr>
        <w:t xml:space="preserve"> ASFI and Royal Commission </w:t>
      </w:r>
      <w:r w:rsidR="0096553A" w:rsidRPr="00FC1BF2">
        <w:rPr>
          <w:rFonts w:ascii="Century Gothic" w:eastAsia="Times New Roman" w:hAnsi="Century Gothic" w:cs="Times New Roman"/>
          <w:color w:val="000000" w:themeColor="text1"/>
          <w:sz w:val="22"/>
          <w:lang w:eastAsia="en-AU"/>
        </w:rPr>
        <w:t xml:space="preserve">proceedings do not </w:t>
      </w:r>
      <w:r w:rsidRPr="00FC1BF2">
        <w:rPr>
          <w:rFonts w:ascii="Century Gothic" w:eastAsia="Times New Roman" w:hAnsi="Century Gothic" w:cs="Times New Roman"/>
          <w:color w:val="000000" w:themeColor="text1"/>
          <w:sz w:val="22"/>
          <w:lang w:eastAsia="en-AU"/>
        </w:rPr>
        <w:t xml:space="preserve">preclude an NCP’s ‘good offices’ process. </w:t>
      </w:r>
    </w:p>
    <w:p w:rsidR="00FD6E77" w:rsidRPr="00FC1BF2" w:rsidRDefault="00237856" w:rsidP="00360681">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As for the Guidelines’ purpose and effectiveness – NCP’s can provide a forum for discussion and to assist the parties concerned to address the issues raised. By </w:t>
      </w:r>
      <w:r w:rsidRPr="00FC1BF2">
        <w:rPr>
          <w:rFonts w:ascii="Century Gothic" w:eastAsia="Times New Roman" w:hAnsi="Century Gothic" w:cs="Times New Roman"/>
          <w:color w:val="000000" w:themeColor="text1"/>
          <w:sz w:val="22"/>
          <w:lang w:eastAsia="en-AU"/>
        </w:rPr>
        <w:lastRenderedPageBreak/>
        <w:t xml:space="preserve">accepting this </w:t>
      </w:r>
      <w:r w:rsidR="00B13762" w:rsidRPr="00FC1BF2">
        <w:rPr>
          <w:rFonts w:ascii="Century Gothic" w:eastAsia="Times New Roman" w:hAnsi="Century Gothic" w:cs="Times New Roman"/>
          <w:color w:val="000000" w:themeColor="text1"/>
          <w:sz w:val="22"/>
          <w:lang w:eastAsia="en-AU"/>
        </w:rPr>
        <w:t>Complaint,</w:t>
      </w:r>
      <w:r w:rsidRPr="00FC1BF2">
        <w:rPr>
          <w:rFonts w:ascii="Century Gothic" w:eastAsia="Times New Roman" w:hAnsi="Century Gothic" w:cs="Times New Roman"/>
          <w:color w:val="000000" w:themeColor="text1"/>
          <w:sz w:val="22"/>
          <w:lang w:eastAsia="en-AU"/>
        </w:rPr>
        <w:t xml:space="preserve"> and offering a confidential conciliation, the AusNCP could help the parties reach a mutually acceptable outcome concerning the issues raised</w:t>
      </w:r>
      <w:r w:rsidR="00360681"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w:t>
      </w:r>
    </w:p>
    <w:p w:rsidR="00FD6E77" w:rsidRPr="00FC1BF2" w:rsidRDefault="00FD6E77" w:rsidP="0077238F">
      <w:pPr>
        <w:keepNext/>
        <w:spacing w:before="240" w:after="0" w:line="240" w:lineRule="auto"/>
        <w:outlineLvl w:val="1"/>
        <w:rPr>
          <w:rFonts w:ascii="Calibri" w:eastAsia="Times New Roman" w:hAnsi="Calibri" w:cs="Arial"/>
          <w:b/>
          <w:iCs/>
          <w:color w:val="000000" w:themeColor="text1"/>
          <w:kern w:val="32"/>
          <w:sz w:val="36"/>
          <w:szCs w:val="36"/>
          <w:lang w:eastAsia="en-AU"/>
        </w:rPr>
      </w:pPr>
      <w:bookmarkStart w:id="12" w:name="_Toc54942648"/>
      <w:r w:rsidRPr="00FC1BF2">
        <w:rPr>
          <w:rFonts w:ascii="Calibri" w:eastAsia="Times New Roman" w:hAnsi="Calibri" w:cs="Arial"/>
          <w:b/>
          <w:iCs/>
          <w:color w:val="000000" w:themeColor="text1"/>
          <w:kern w:val="32"/>
          <w:sz w:val="36"/>
          <w:szCs w:val="36"/>
          <w:lang w:eastAsia="en-AU"/>
        </w:rPr>
        <w:t>Conclusion</w:t>
      </w:r>
      <w:bookmarkEnd w:id="12"/>
    </w:p>
    <w:p w:rsidR="001743BA" w:rsidRPr="00FC1BF2" w:rsidRDefault="00D829C3" w:rsidP="0077238F">
      <w:pPr>
        <w:pStyle w:val="OutlineNumbered1"/>
        <w:numPr>
          <w:ilvl w:val="0"/>
          <w:numId w:val="10"/>
        </w:numPr>
        <w:spacing w:before="12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the circumstances, the Independent Examiner considers this </w:t>
      </w:r>
      <w:r w:rsidR="001743BA" w:rsidRPr="00FC1BF2">
        <w:rPr>
          <w:rFonts w:ascii="Century Gothic" w:eastAsia="Times New Roman" w:hAnsi="Century Gothic" w:cs="Times New Roman"/>
          <w:color w:val="000000" w:themeColor="text1"/>
          <w:sz w:val="22"/>
          <w:lang w:eastAsia="en-AU"/>
        </w:rPr>
        <w:t>C</w:t>
      </w:r>
      <w:r w:rsidRPr="00FC1BF2">
        <w:rPr>
          <w:rFonts w:ascii="Century Gothic" w:eastAsia="Times New Roman" w:hAnsi="Century Gothic" w:cs="Times New Roman"/>
          <w:color w:val="000000" w:themeColor="text1"/>
          <w:sz w:val="22"/>
          <w:lang w:eastAsia="en-AU"/>
        </w:rPr>
        <w:t xml:space="preserve">omplaint merits further consideration. The AusNCP will offer </w:t>
      </w:r>
      <w:r w:rsidR="00B13762" w:rsidRPr="00FC1BF2">
        <w:rPr>
          <w:rFonts w:ascii="Century Gothic" w:eastAsia="Times New Roman" w:hAnsi="Century Gothic" w:cs="Times New Roman"/>
          <w:color w:val="000000" w:themeColor="text1"/>
          <w:sz w:val="22"/>
          <w:lang w:eastAsia="en-AU"/>
        </w:rPr>
        <w:t>its ‘</w:t>
      </w:r>
      <w:r w:rsidRPr="00FC1BF2">
        <w:rPr>
          <w:rFonts w:ascii="Century Gothic" w:eastAsia="Times New Roman" w:hAnsi="Century Gothic" w:cs="Times New Roman"/>
          <w:color w:val="000000" w:themeColor="text1"/>
          <w:sz w:val="22"/>
          <w:lang w:eastAsia="en-AU"/>
        </w:rPr>
        <w:t>good offices</w:t>
      </w:r>
      <w:r w:rsidR="00B13762"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within the OECD </w:t>
      </w:r>
      <w:r w:rsidR="001743BA" w:rsidRPr="00FC1BF2">
        <w:rPr>
          <w:rFonts w:ascii="Century Gothic" w:eastAsia="Times New Roman" w:hAnsi="Century Gothic" w:cs="Times New Roman"/>
          <w:color w:val="000000" w:themeColor="text1"/>
          <w:sz w:val="22"/>
          <w:lang w:eastAsia="en-AU"/>
        </w:rPr>
        <w:t>G</w:t>
      </w:r>
      <w:r w:rsidRPr="00FC1BF2">
        <w:rPr>
          <w:rFonts w:ascii="Century Gothic" w:eastAsia="Times New Roman" w:hAnsi="Century Gothic" w:cs="Times New Roman"/>
          <w:color w:val="000000" w:themeColor="text1"/>
          <w:sz w:val="22"/>
          <w:lang w:eastAsia="en-AU"/>
        </w:rPr>
        <w:t xml:space="preserve">uidelines, and </w:t>
      </w:r>
      <w:r w:rsidR="00C767BF" w:rsidRPr="00C767BF">
        <w:rPr>
          <w:rFonts w:ascii="Century Gothic" w:eastAsia="Times New Roman" w:hAnsi="Century Gothic" w:cs="Times New Roman"/>
          <w:color w:val="000000" w:themeColor="text1"/>
          <w:sz w:val="22"/>
          <w:lang w:eastAsia="en-AU"/>
        </w:rPr>
        <w:t>to facilitate the exchange of information between the parties</w:t>
      </w:r>
      <w:r w:rsidR="00C767BF">
        <w:rPr>
          <w:rFonts w:ascii="Century Gothic" w:eastAsia="Times New Roman" w:hAnsi="Century Gothic" w:cs="Times New Roman"/>
          <w:color w:val="000000" w:themeColor="text1"/>
          <w:sz w:val="22"/>
          <w:lang w:eastAsia="en-AU"/>
        </w:rPr>
        <w:t xml:space="preserve"> (which can </w:t>
      </w:r>
      <w:r w:rsidR="00C767BF" w:rsidRPr="00C767BF">
        <w:rPr>
          <w:rFonts w:ascii="Century Gothic" w:eastAsia="Times New Roman" w:hAnsi="Century Gothic" w:cs="Times New Roman"/>
          <w:color w:val="000000" w:themeColor="text1"/>
          <w:sz w:val="22"/>
          <w:lang w:eastAsia="en-AU"/>
        </w:rPr>
        <w:t>includ</w:t>
      </w:r>
      <w:r w:rsidR="00C767BF">
        <w:rPr>
          <w:rFonts w:ascii="Century Gothic" w:eastAsia="Times New Roman" w:hAnsi="Century Gothic" w:cs="Times New Roman"/>
          <w:color w:val="000000" w:themeColor="text1"/>
          <w:sz w:val="22"/>
          <w:lang w:eastAsia="en-AU"/>
        </w:rPr>
        <w:t>e</w:t>
      </w:r>
      <w:r w:rsidR="00C767BF" w:rsidRPr="00C767BF">
        <w:rPr>
          <w:rFonts w:ascii="Century Gothic" w:eastAsia="Times New Roman" w:hAnsi="Century Gothic" w:cs="Times New Roman"/>
          <w:color w:val="000000" w:themeColor="text1"/>
          <w:sz w:val="22"/>
          <w:lang w:eastAsia="en-AU"/>
        </w:rPr>
        <w:t xml:space="preserve"> conciliation, formal mediation or facilitated discussions</w:t>
      </w:r>
      <w:r w:rsidR="00C767BF">
        <w:rPr>
          <w:rFonts w:ascii="Century Gothic" w:eastAsia="Times New Roman" w:hAnsi="Century Gothic" w:cs="Times New Roman"/>
          <w:color w:val="000000" w:themeColor="text1"/>
          <w:sz w:val="22"/>
          <w:lang w:eastAsia="en-AU"/>
        </w:rPr>
        <w:t>)</w:t>
      </w:r>
      <w:r w:rsidR="00C767BF" w:rsidRPr="00C767BF">
        <w:rPr>
          <w:rFonts w:ascii="Century Gothic" w:eastAsia="Times New Roman" w:hAnsi="Century Gothic" w:cs="Times New Roman"/>
          <w:color w:val="000000" w:themeColor="text1"/>
          <w:sz w:val="22"/>
          <w:lang w:eastAsia="en-AU"/>
        </w:rPr>
        <w:t xml:space="preserve"> with the aim of arriving at a mutually agreed resolution;</w:t>
      </w:r>
      <w:r w:rsidRPr="00FC1BF2">
        <w:rPr>
          <w:rFonts w:ascii="Century Gothic" w:eastAsia="Times New Roman" w:hAnsi="Century Gothic" w:cs="Times New Roman"/>
          <w:color w:val="000000" w:themeColor="text1"/>
          <w:sz w:val="22"/>
          <w:lang w:eastAsia="en-AU"/>
        </w:rPr>
        <w:t xml:space="preserve">. </w:t>
      </w:r>
    </w:p>
    <w:p w:rsidR="00237856" w:rsidRPr="00FC1BF2" w:rsidRDefault="00B13762" w:rsidP="0077238F">
      <w:pPr>
        <w:pStyle w:val="OutlineNumbered1"/>
        <w:numPr>
          <w:ilvl w:val="1"/>
          <w:numId w:val="10"/>
        </w:numPr>
        <w:spacing w:before="12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Any </w:t>
      </w:r>
      <w:r w:rsidR="00C767BF">
        <w:rPr>
          <w:rFonts w:ascii="Century Gothic" w:eastAsia="Times New Roman" w:hAnsi="Century Gothic" w:cs="Times New Roman"/>
          <w:color w:val="000000" w:themeColor="text1"/>
          <w:sz w:val="22"/>
          <w:lang w:eastAsia="en-AU"/>
        </w:rPr>
        <w:t xml:space="preserve">engagement </w:t>
      </w:r>
      <w:r w:rsidR="00E07BF8" w:rsidRPr="00FC1BF2">
        <w:rPr>
          <w:rFonts w:ascii="Century Gothic" w:eastAsia="Times New Roman" w:hAnsi="Century Gothic" w:cs="Times New Roman"/>
          <w:color w:val="000000" w:themeColor="text1"/>
          <w:sz w:val="22"/>
          <w:lang w:eastAsia="en-AU"/>
        </w:rPr>
        <w:t>would</w:t>
      </w:r>
      <w:r w:rsidR="00D829C3" w:rsidRPr="00FC1BF2">
        <w:rPr>
          <w:rFonts w:ascii="Century Gothic" w:eastAsia="Times New Roman" w:hAnsi="Century Gothic" w:cs="Times New Roman"/>
          <w:color w:val="000000" w:themeColor="text1"/>
          <w:sz w:val="22"/>
          <w:lang w:eastAsia="en-AU"/>
        </w:rPr>
        <w:t xml:space="preserve"> be facilitated by the </w:t>
      </w:r>
      <w:r w:rsidR="001743BA" w:rsidRPr="00FC1BF2">
        <w:rPr>
          <w:rFonts w:ascii="Century Gothic" w:eastAsia="Times New Roman" w:hAnsi="Century Gothic" w:cs="Times New Roman"/>
          <w:color w:val="000000" w:themeColor="text1"/>
          <w:sz w:val="22"/>
          <w:lang w:eastAsia="en-AU"/>
        </w:rPr>
        <w:t>I</w:t>
      </w:r>
      <w:r w:rsidR="00D829C3" w:rsidRPr="00FC1BF2">
        <w:rPr>
          <w:rFonts w:ascii="Century Gothic" w:eastAsia="Times New Roman" w:hAnsi="Century Gothic" w:cs="Times New Roman"/>
          <w:color w:val="000000" w:themeColor="text1"/>
          <w:sz w:val="22"/>
          <w:lang w:eastAsia="en-AU"/>
        </w:rPr>
        <w:t xml:space="preserve">ndependent </w:t>
      </w:r>
      <w:r w:rsidR="001743BA" w:rsidRPr="00FC1BF2">
        <w:rPr>
          <w:rFonts w:ascii="Century Gothic" w:eastAsia="Times New Roman" w:hAnsi="Century Gothic" w:cs="Times New Roman"/>
          <w:color w:val="000000" w:themeColor="text1"/>
          <w:sz w:val="22"/>
          <w:lang w:eastAsia="en-AU"/>
        </w:rPr>
        <w:t>E</w:t>
      </w:r>
      <w:r w:rsidR="00D829C3" w:rsidRPr="00FC1BF2">
        <w:rPr>
          <w:rFonts w:ascii="Century Gothic" w:eastAsia="Times New Roman" w:hAnsi="Century Gothic" w:cs="Times New Roman"/>
          <w:color w:val="000000" w:themeColor="text1"/>
          <w:sz w:val="22"/>
          <w:lang w:eastAsia="en-AU"/>
        </w:rPr>
        <w:t xml:space="preserve">xaminer, and focus on the disclosure, target setting and scenario analysis claims. </w:t>
      </w:r>
      <w:r w:rsidR="00237856" w:rsidRPr="00FC1BF2">
        <w:rPr>
          <w:rFonts w:ascii="Century Gothic" w:eastAsia="Times New Roman" w:hAnsi="Century Gothic" w:cs="Times New Roman"/>
          <w:color w:val="000000" w:themeColor="text1"/>
          <w:sz w:val="22"/>
          <w:lang w:eastAsia="en-AU"/>
        </w:rPr>
        <w:t xml:space="preserve">The aim of the </w:t>
      </w:r>
      <w:r w:rsidR="00C767BF">
        <w:rPr>
          <w:rFonts w:ascii="Century Gothic" w:eastAsia="Times New Roman" w:hAnsi="Century Gothic" w:cs="Times New Roman"/>
          <w:color w:val="000000" w:themeColor="text1"/>
          <w:sz w:val="22"/>
          <w:lang w:eastAsia="en-AU"/>
        </w:rPr>
        <w:t>’good offices’ process</w:t>
      </w:r>
      <w:r w:rsidR="00237856" w:rsidRPr="00FC1BF2">
        <w:rPr>
          <w:rFonts w:ascii="Century Gothic" w:eastAsia="Times New Roman" w:hAnsi="Century Gothic" w:cs="Times New Roman"/>
          <w:color w:val="000000" w:themeColor="text1"/>
          <w:sz w:val="22"/>
          <w:lang w:eastAsia="en-AU"/>
        </w:rPr>
        <w:t xml:space="preserve"> would be to help the parties’ exchange and determine whether there is agreement regarding any of these claims, consistent with the OECD Guidelines.</w:t>
      </w:r>
    </w:p>
    <w:p w:rsidR="001743BA" w:rsidRPr="00FC1BF2" w:rsidRDefault="005F2520" w:rsidP="0077238F">
      <w:pPr>
        <w:pStyle w:val="OutlineNumbered1"/>
        <w:numPr>
          <w:ilvl w:val="1"/>
          <w:numId w:val="10"/>
        </w:numPr>
        <w:spacing w:before="12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Divestment </w:t>
      </w:r>
      <w:r w:rsidR="00D829C3" w:rsidRPr="00FC1BF2">
        <w:rPr>
          <w:rFonts w:ascii="Century Gothic" w:eastAsia="Times New Roman" w:hAnsi="Century Gothic" w:cs="Times New Roman"/>
          <w:color w:val="000000" w:themeColor="text1"/>
          <w:sz w:val="22"/>
          <w:lang w:eastAsia="en-AU"/>
        </w:rPr>
        <w:t xml:space="preserve">from all fossil fuels is not something required by the OECD </w:t>
      </w:r>
      <w:r w:rsidR="001743BA" w:rsidRPr="00FC1BF2">
        <w:rPr>
          <w:rFonts w:ascii="Century Gothic" w:eastAsia="Times New Roman" w:hAnsi="Century Gothic" w:cs="Times New Roman"/>
          <w:color w:val="000000" w:themeColor="text1"/>
          <w:sz w:val="22"/>
          <w:lang w:eastAsia="en-AU"/>
        </w:rPr>
        <w:t>G</w:t>
      </w:r>
      <w:r w:rsidR="00D829C3" w:rsidRPr="00FC1BF2">
        <w:rPr>
          <w:rFonts w:ascii="Century Gothic" w:eastAsia="Times New Roman" w:hAnsi="Century Gothic" w:cs="Times New Roman"/>
          <w:color w:val="000000" w:themeColor="text1"/>
          <w:sz w:val="22"/>
          <w:lang w:eastAsia="en-AU"/>
        </w:rPr>
        <w:t>uidelines</w:t>
      </w:r>
      <w:r w:rsidR="001743BA" w:rsidRPr="00FC1BF2">
        <w:rPr>
          <w:rFonts w:ascii="Century Gothic" w:eastAsia="Times New Roman" w:hAnsi="Century Gothic" w:cs="Times New Roman"/>
          <w:color w:val="000000" w:themeColor="text1"/>
          <w:sz w:val="22"/>
          <w:lang w:eastAsia="en-AU"/>
        </w:rPr>
        <w:t xml:space="preserve">. Accordingly, </w:t>
      </w:r>
      <w:r w:rsidR="00237856" w:rsidRPr="00FC1BF2">
        <w:rPr>
          <w:rFonts w:ascii="Century Gothic" w:eastAsia="Times New Roman" w:hAnsi="Century Gothic" w:cs="Times New Roman"/>
          <w:color w:val="000000" w:themeColor="text1"/>
          <w:sz w:val="22"/>
          <w:lang w:eastAsia="en-AU"/>
        </w:rPr>
        <w:t xml:space="preserve">the Notifiers’ </w:t>
      </w:r>
      <w:r w:rsidR="001743BA" w:rsidRPr="00FC1BF2">
        <w:rPr>
          <w:rFonts w:ascii="Century Gothic" w:eastAsia="Times New Roman" w:hAnsi="Century Gothic" w:cs="Times New Roman"/>
          <w:color w:val="000000" w:themeColor="text1"/>
          <w:sz w:val="22"/>
          <w:lang w:eastAsia="en-AU"/>
        </w:rPr>
        <w:t xml:space="preserve">claims which address only that outcome </w:t>
      </w:r>
      <w:r w:rsidR="00EE2D35">
        <w:rPr>
          <w:rFonts w:ascii="Century Gothic" w:eastAsia="Times New Roman" w:hAnsi="Century Gothic" w:cs="Times New Roman"/>
          <w:color w:val="000000" w:themeColor="text1"/>
          <w:sz w:val="22"/>
          <w:lang w:eastAsia="en-AU"/>
        </w:rPr>
        <w:t>are</w:t>
      </w:r>
      <w:r w:rsidR="001743BA" w:rsidRPr="00FC1BF2">
        <w:rPr>
          <w:rFonts w:ascii="Century Gothic" w:eastAsia="Times New Roman" w:hAnsi="Century Gothic" w:cs="Times New Roman"/>
          <w:color w:val="000000" w:themeColor="text1"/>
          <w:sz w:val="22"/>
          <w:lang w:eastAsia="en-AU"/>
        </w:rPr>
        <w:t xml:space="preserve"> not </w:t>
      </w:r>
      <w:r w:rsidR="00EE2D35">
        <w:rPr>
          <w:rFonts w:ascii="Century Gothic" w:eastAsia="Times New Roman" w:hAnsi="Century Gothic" w:cs="Times New Roman"/>
          <w:color w:val="000000" w:themeColor="text1"/>
          <w:sz w:val="22"/>
          <w:lang w:eastAsia="en-AU"/>
        </w:rPr>
        <w:t xml:space="preserve">proposed to </w:t>
      </w:r>
      <w:r w:rsidR="001743BA" w:rsidRPr="00FC1BF2">
        <w:rPr>
          <w:rFonts w:ascii="Century Gothic" w:eastAsia="Times New Roman" w:hAnsi="Century Gothic" w:cs="Times New Roman"/>
          <w:color w:val="000000" w:themeColor="text1"/>
          <w:sz w:val="22"/>
          <w:lang w:eastAsia="en-AU"/>
        </w:rPr>
        <w:t>be facilitated through th</w:t>
      </w:r>
      <w:r w:rsidR="00C767BF">
        <w:rPr>
          <w:rFonts w:ascii="Century Gothic" w:eastAsia="Times New Roman" w:hAnsi="Century Gothic" w:cs="Times New Roman"/>
          <w:color w:val="000000" w:themeColor="text1"/>
          <w:sz w:val="22"/>
          <w:lang w:eastAsia="en-AU"/>
        </w:rPr>
        <w:t>e ‘good offices’ process</w:t>
      </w:r>
      <w:r w:rsidR="001743BA" w:rsidRPr="00FC1BF2">
        <w:rPr>
          <w:rFonts w:ascii="Century Gothic" w:eastAsia="Times New Roman" w:hAnsi="Century Gothic" w:cs="Times New Roman"/>
          <w:color w:val="000000" w:themeColor="text1"/>
          <w:sz w:val="22"/>
          <w:lang w:eastAsia="en-AU"/>
        </w:rPr>
        <w:t>.</w:t>
      </w:r>
    </w:p>
    <w:p w:rsidR="006870C9" w:rsidRPr="00FC1BF2" w:rsidRDefault="006870C9" w:rsidP="0077238F">
      <w:pPr>
        <w:pStyle w:val="OutlineNumbered1"/>
        <w:numPr>
          <w:ilvl w:val="1"/>
          <w:numId w:val="10"/>
        </w:numPr>
        <w:spacing w:before="12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w:t>
      </w:r>
      <w:r w:rsidR="000E4B7E" w:rsidRPr="00FC1BF2">
        <w:rPr>
          <w:rFonts w:ascii="Century Gothic" w:eastAsia="Times New Roman" w:hAnsi="Century Gothic" w:cs="Times New Roman"/>
          <w:color w:val="000000" w:themeColor="text1"/>
          <w:sz w:val="22"/>
          <w:lang w:eastAsia="en-AU"/>
        </w:rPr>
        <w:t xml:space="preserve">AusNCP </w:t>
      </w:r>
      <w:r w:rsidRPr="00FC1BF2">
        <w:rPr>
          <w:rFonts w:ascii="Century Gothic" w:eastAsia="Times New Roman" w:hAnsi="Century Gothic" w:cs="Times New Roman"/>
          <w:color w:val="000000" w:themeColor="text1"/>
          <w:sz w:val="22"/>
          <w:lang w:eastAsia="en-AU"/>
        </w:rPr>
        <w:t xml:space="preserve">will formally ask the parties whether they are willing to engage in </w:t>
      </w:r>
      <w:r w:rsidR="00C767BF">
        <w:rPr>
          <w:rFonts w:ascii="Century Gothic" w:eastAsia="Times New Roman" w:hAnsi="Century Gothic" w:cs="Times New Roman"/>
          <w:color w:val="000000" w:themeColor="text1"/>
          <w:sz w:val="22"/>
          <w:lang w:eastAsia="en-AU"/>
        </w:rPr>
        <w:t xml:space="preserve">the ‘good offices’ process. This would involve </w:t>
      </w:r>
      <w:r w:rsidR="00C767BF" w:rsidRPr="00C767BF">
        <w:rPr>
          <w:rFonts w:ascii="Century Gothic" w:eastAsia="Times New Roman" w:hAnsi="Century Gothic" w:cs="Times New Roman"/>
          <w:color w:val="000000" w:themeColor="text1"/>
          <w:sz w:val="22"/>
          <w:lang w:eastAsia="en-AU"/>
        </w:rPr>
        <w:t xml:space="preserve">the </w:t>
      </w:r>
      <w:r w:rsidR="00397E23">
        <w:rPr>
          <w:rFonts w:ascii="Century Gothic" w:eastAsia="Times New Roman" w:hAnsi="Century Gothic" w:cs="Times New Roman"/>
          <w:color w:val="000000" w:themeColor="text1"/>
          <w:sz w:val="22"/>
          <w:lang w:eastAsia="en-AU"/>
        </w:rPr>
        <w:t xml:space="preserve">Independent </w:t>
      </w:r>
      <w:r w:rsidR="00C767BF" w:rsidRPr="00C767BF">
        <w:rPr>
          <w:rFonts w:ascii="Century Gothic" w:eastAsia="Times New Roman" w:hAnsi="Century Gothic" w:cs="Times New Roman"/>
          <w:color w:val="000000" w:themeColor="text1"/>
          <w:sz w:val="22"/>
          <w:lang w:eastAsia="en-AU"/>
        </w:rPr>
        <w:t>Examiner provid</w:t>
      </w:r>
      <w:r w:rsidR="00397E23">
        <w:rPr>
          <w:rFonts w:ascii="Century Gothic" w:eastAsia="Times New Roman" w:hAnsi="Century Gothic" w:cs="Times New Roman"/>
          <w:color w:val="000000" w:themeColor="text1"/>
          <w:sz w:val="22"/>
          <w:lang w:eastAsia="en-AU"/>
        </w:rPr>
        <w:t>ing</w:t>
      </w:r>
      <w:r w:rsidR="00C767BF" w:rsidRPr="00C767BF">
        <w:rPr>
          <w:rFonts w:ascii="Century Gothic" w:eastAsia="Times New Roman" w:hAnsi="Century Gothic" w:cs="Times New Roman"/>
          <w:color w:val="000000" w:themeColor="text1"/>
          <w:sz w:val="22"/>
          <w:lang w:eastAsia="en-AU"/>
        </w:rPr>
        <w:t xml:space="preserve"> information to the parties on the complaint process and prepare a framework for handling any conciliation, mediation or facilitated discussions. </w:t>
      </w:r>
      <w:r w:rsidR="00C767BF">
        <w:rPr>
          <w:rFonts w:ascii="Century Gothic" w:eastAsia="Times New Roman" w:hAnsi="Century Gothic" w:cs="Times New Roman"/>
          <w:color w:val="000000" w:themeColor="text1"/>
          <w:sz w:val="22"/>
          <w:lang w:eastAsia="en-AU"/>
        </w:rPr>
        <w:t xml:space="preserve"> </w:t>
      </w:r>
      <w:r w:rsidRPr="00FC1BF2">
        <w:rPr>
          <w:rFonts w:ascii="Century Gothic" w:eastAsia="Times New Roman" w:hAnsi="Century Gothic" w:cs="Times New Roman"/>
          <w:color w:val="000000" w:themeColor="text1"/>
          <w:sz w:val="22"/>
          <w:lang w:eastAsia="en-AU"/>
        </w:rPr>
        <w:t xml:space="preserve">Subject to their response, the </w:t>
      </w:r>
      <w:r w:rsidR="000E4B7E" w:rsidRPr="00FC1BF2">
        <w:rPr>
          <w:rFonts w:ascii="Century Gothic" w:eastAsia="Times New Roman" w:hAnsi="Century Gothic" w:cs="Times New Roman"/>
          <w:color w:val="000000" w:themeColor="text1"/>
          <w:sz w:val="22"/>
          <w:lang w:eastAsia="en-AU"/>
        </w:rPr>
        <w:t xml:space="preserve">Independent Examiner </w:t>
      </w:r>
      <w:r w:rsidRPr="00FC1BF2">
        <w:rPr>
          <w:rFonts w:ascii="Century Gothic" w:eastAsia="Times New Roman" w:hAnsi="Century Gothic" w:cs="Times New Roman"/>
          <w:color w:val="000000" w:themeColor="text1"/>
          <w:sz w:val="22"/>
          <w:lang w:eastAsia="en-AU"/>
        </w:rPr>
        <w:t xml:space="preserve">will liaise with the parties to arrange </w:t>
      </w:r>
      <w:r w:rsidR="00397E23">
        <w:rPr>
          <w:rFonts w:ascii="Century Gothic" w:eastAsia="Times New Roman" w:hAnsi="Century Gothic" w:cs="Times New Roman"/>
          <w:color w:val="000000" w:themeColor="text1"/>
          <w:sz w:val="22"/>
          <w:lang w:eastAsia="en-AU"/>
        </w:rPr>
        <w:t>the how the ‘good offices’ will proceed</w:t>
      </w:r>
      <w:r w:rsidRPr="00FC1BF2">
        <w:rPr>
          <w:rFonts w:ascii="Century Gothic" w:eastAsia="Times New Roman" w:hAnsi="Century Gothic" w:cs="Times New Roman"/>
          <w:color w:val="000000" w:themeColor="text1"/>
          <w:sz w:val="22"/>
          <w:lang w:eastAsia="en-AU"/>
        </w:rPr>
        <w:t xml:space="preserve">. </w:t>
      </w:r>
    </w:p>
    <w:p w:rsidR="00360681" w:rsidRPr="00FC1BF2" w:rsidRDefault="00360681" w:rsidP="0077238F">
      <w:pPr>
        <w:pStyle w:val="OutlineNumbered1"/>
        <w:numPr>
          <w:ilvl w:val="1"/>
          <w:numId w:val="10"/>
        </w:numPr>
        <w:spacing w:before="12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If the parties reach an agreement, the AusNCP will </w:t>
      </w:r>
      <w:r w:rsidR="00B13762" w:rsidRPr="00FC1BF2">
        <w:rPr>
          <w:rFonts w:ascii="Century Gothic" w:eastAsia="Times New Roman" w:hAnsi="Century Gothic" w:cs="Times New Roman"/>
          <w:color w:val="000000" w:themeColor="text1"/>
          <w:sz w:val="22"/>
          <w:lang w:eastAsia="en-AU"/>
        </w:rPr>
        <w:t>publish</w:t>
      </w:r>
      <w:r w:rsidRPr="00FC1BF2">
        <w:rPr>
          <w:rFonts w:ascii="Century Gothic" w:eastAsia="Times New Roman" w:hAnsi="Century Gothic" w:cs="Times New Roman"/>
          <w:color w:val="000000" w:themeColor="text1"/>
          <w:sz w:val="22"/>
          <w:lang w:eastAsia="en-AU"/>
        </w:rPr>
        <w:t xml:space="preserve"> a final statement with the results of the proceedings. Information regarding the </w:t>
      </w:r>
      <w:r w:rsidRPr="007C24F4">
        <w:rPr>
          <w:rFonts w:ascii="Century Gothic" w:eastAsia="Times New Roman" w:hAnsi="Century Gothic" w:cs="Times New Roman"/>
          <w:i/>
          <w:color w:val="000000" w:themeColor="text1"/>
          <w:sz w:val="22"/>
          <w:lang w:eastAsia="en-AU"/>
        </w:rPr>
        <w:t>contents</w:t>
      </w:r>
      <w:r w:rsidRPr="00FC1BF2">
        <w:rPr>
          <w:rFonts w:ascii="Century Gothic" w:eastAsia="Times New Roman" w:hAnsi="Century Gothic" w:cs="Times New Roman"/>
          <w:color w:val="000000" w:themeColor="text1"/>
          <w:sz w:val="22"/>
          <w:lang w:eastAsia="en-AU"/>
        </w:rPr>
        <w:t xml:space="preserve"> of the discussions and the agreement </w:t>
      </w:r>
      <w:r w:rsidR="00B13762" w:rsidRPr="00FC1BF2">
        <w:rPr>
          <w:rFonts w:ascii="Century Gothic" w:eastAsia="Times New Roman" w:hAnsi="Century Gothic" w:cs="Times New Roman"/>
          <w:color w:val="000000" w:themeColor="text1"/>
          <w:sz w:val="22"/>
          <w:lang w:eastAsia="en-AU"/>
        </w:rPr>
        <w:t>would</w:t>
      </w:r>
      <w:r w:rsidRPr="00FC1BF2">
        <w:rPr>
          <w:rFonts w:ascii="Century Gothic" w:eastAsia="Times New Roman" w:hAnsi="Century Gothic" w:cs="Times New Roman"/>
          <w:color w:val="000000" w:themeColor="text1"/>
          <w:sz w:val="22"/>
          <w:lang w:eastAsia="en-AU"/>
        </w:rPr>
        <w:t xml:space="preserve"> only be published with the consent of the parties involved.</w:t>
      </w:r>
    </w:p>
    <w:p w:rsidR="00360681" w:rsidRPr="00FC1BF2" w:rsidRDefault="00360681" w:rsidP="0077238F">
      <w:pPr>
        <w:pStyle w:val="OutlineNumbered1"/>
        <w:numPr>
          <w:ilvl w:val="1"/>
          <w:numId w:val="10"/>
        </w:numPr>
        <w:spacing w:before="120" w:line="280" w:lineRule="exact"/>
        <w:ind w:left="1134"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If no agreement is reached</w:t>
      </w:r>
      <w:r w:rsidR="00B13762"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or one of the parties is not willing to take part in the proceedings, the AusNCP</w:t>
      </w:r>
      <w:r w:rsidR="00B13762" w:rsidRPr="00FC1BF2">
        <w:rPr>
          <w:rFonts w:ascii="Century Gothic" w:eastAsia="Times New Roman" w:hAnsi="Century Gothic" w:cs="Times New Roman"/>
          <w:color w:val="000000" w:themeColor="text1"/>
          <w:sz w:val="22"/>
          <w:lang w:eastAsia="en-AU"/>
        </w:rPr>
        <w:t xml:space="preserve">’s procedures require that to be identified in </w:t>
      </w:r>
      <w:r w:rsidRPr="00FC1BF2">
        <w:rPr>
          <w:rFonts w:ascii="Century Gothic" w:eastAsia="Times New Roman" w:hAnsi="Century Gothic" w:cs="Times New Roman"/>
          <w:color w:val="000000" w:themeColor="text1"/>
          <w:sz w:val="22"/>
          <w:lang w:eastAsia="en-AU"/>
        </w:rPr>
        <w:t>a</w:t>
      </w:r>
      <w:r w:rsidR="005F2520" w:rsidRPr="00FC1BF2">
        <w:rPr>
          <w:rFonts w:ascii="Century Gothic" w:eastAsia="Times New Roman" w:hAnsi="Century Gothic" w:cs="Times New Roman"/>
          <w:color w:val="000000" w:themeColor="text1"/>
          <w:sz w:val="22"/>
          <w:lang w:eastAsia="en-AU"/>
        </w:rPr>
        <w:t xml:space="preserve"> published</w:t>
      </w:r>
      <w:r w:rsidRPr="00FC1BF2">
        <w:rPr>
          <w:rFonts w:ascii="Century Gothic" w:eastAsia="Times New Roman" w:hAnsi="Century Gothic" w:cs="Times New Roman"/>
          <w:color w:val="000000" w:themeColor="text1"/>
          <w:sz w:val="22"/>
          <w:lang w:eastAsia="en-AU"/>
        </w:rPr>
        <w:t xml:space="preserve"> final statement. </w:t>
      </w:r>
      <w:r w:rsidR="00B13762" w:rsidRPr="00FC1BF2">
        <w:rPr>
          <w:rFonts w:ascii="Century Gothic" w:eastAsia="Times New Roman" w:hAnsi="Century Gothic" w:cs="Times New Roman"/>
          <w:color w:val="000000" w:themeColor="text1"/>
          <w:sz w:val="22"/>
          <w:lang w:eastAsia="en-AU"/>
        </w:rPr>
        <w:t xml:space="preserve">The final statement, </w:t>
      </w:r>
      <w:r w:rsidRPr="00FC1BF2">
        <w:rPr>
          <w:rFonts w:ascii="Century Gothic" w:eastAsia="Times New Roman" w:hAnsi="Century Gothic" w:cs="Times New Roman"/>
          <w:color w:val="000000" w:themeColor="text1"/>
          <w:sz w:val="22"/>
          <w:lang w:eastAsia="en-AU"/>
        </w:rPr>
        <w:t>by the Independent Examiner</w:t>
      </w:r>
      <w:r w:rsidR="00B13762"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color w:val="000000" w:themeColor="text1"/>
          <w:sz w:val="22"/>
          <w:lang w:eastAsia="en-AU"/>
        </w:rPr>
        <w:t xml:space="preserve"> would include analysis of the issue and whether the enterprise’s actions were consistent with the OECD Guidelines. It may also include recommendations to the enterprise or other relevant bodies where appropriate.</w:t>
      </w:r>
    </w:p>
    <w:p w:rsidR="00FD6E77" w:rsidRPr="00FC1BF2" w:rsidRDefault="00FD6E77" w:rsidP="00DA7DD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 draft of this</w:t>
      </w:r>
      <w:r w:rsidR="00360681" w:rsidRPr="00FC1BF2">
        <w:rPr>
          <w:rFonts w:ascii="Century Gothic" w:eastAsia="Times New Roman" w:hAnsi="Century Gothic" w:cs="Times New Roman"/>
          <w:color w:val="000000" w:themeColor="text1"/>
          <w:sz w:val="22"/>
          <w:lang w:eastAsia="en-AU"/>
        </w:rPr>
        <w:t xml:space="preserve"> Initial Assessment</w:t>
      </w:r>
      <w:r w:rsidRPr="00FC1BF2">
        <w:rPr>
          <w:rFonts w:ascii="Century Gothic" w:eastAsia="Times New Roman" w:hAnsi="Century Gothic" w:cs="Times New Roman"/>
          <w:color w:val="000000" w:themeColor="text1"/>
          <w:sz w:val="22"/>
          <w:lang w:eastAsia="en-AU"/>
        </w:rPr>
        <w:t xml:space="preserve"> was provided, for comment, to the AusNCP’s Governance and Advisory Board, and then to the </w:t>
      </w:r>
      <w:r w:rsidR="00B13762" w:rsidRPr="00FC1BF2">
        <w:rPr>
          <w:rFonts w:ascii="Century Gothic" w:eastAsia="Times New Roman" w:hAnsi="Century Gothic" w:cs="Times New Roman"/>
          <w:color w:val="000000" w:themeColor="text1"/>
          <w:sz w:val="22"/>
          <w:lang w:eastAsia="en-AU"/>
        </w:rPr>
        <w:t>parties</w:t>
      </w:r>
      <w:r w:rsidRPr="00FC1BF2">
        <w:rPr>
          <w:rFonts w:ascii="Century Gothic" w:eastAsia="Times New Roman" w:hAnsi="Century Gothic" w:cs="Times New Roman"/>
          <w:color w:val="000000" w:themeColor="text1"/>
          <w:sz w:val="22"/>
          <w:lang w:eastAsia="en-AU"/>
        </w:rPr>
        <w:t>.</w:t>
      </w:r>
    </w:p>
    <w:p w:rsidR="008A3E6A" w:rsidRPr="00FC1BF2" w:rsidRDefault="008A3E6A" w:rsidP="00DA7DD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AusNCP Procedures specify that ‘acceptance or rejection of a complaint </w:t>
      </w:r>
      <w:bookmarkStart w:id="13" w:name="_Hlk38478589"/>
      <w:r w:rsidRPr="00FC1BF2">
        <w:rPr>
          <w:rFonts w:ascii="Century Gothic" w:eastAsia="Times New Roman" w:hAnsi="Century Gothic" w:cs="Times New Roman"/>
          <w:color w:val="000000" w:themeColor="text1"/>
          <w:sz w:val="22"/>
          <w:lang w:eastAsia="en-AU"/>
        </w:rPr>
        <w:t>is not an assessment of whether the enterprise’s actions are consistent with the OECD Guidelines’.</w:t>
      </w:r>
      <w:r w:rsidRPr="00FC1BF2">
        <w:rPr>
          <w:rStyle w:val="EndnoteReference"/>
          <w:rFonts w:ascii="Century Gothic" w:eastAsia="Times New Roman" w:hAnsi="Century Gothic" w:cs="Times New Roman"/>
          <w:color w:val="000000" w:themeColor="text1"/>
          <w:sz w:val="22"/>
          <w:lang w:eastAsia="en-AU"/>
        </w:rPr>
        <w:endnoteReference w:id="4"/>
      </w:r>
    </w:p>
    <w:bookmarkEnd w:id="13"/>
    <w:p w:rsidR="00FD6E77" w:rsidRPr="00FC1BF2" w:rsidRDefault="00FD6E77" w:rsidP="0019588C">
      <w:pPr>
        <w:pStyle w:val="OutlineNumbered1"/>
        <w:spacing w:before="240" w:after="240" w:line="280" w:lineRule="exact"/>
        <w:jc w:val="both"/>
        <w:rPr>
          <w:rFonts w:ascii="Century Gothic" w:hAnsi="Century Gothic"/>
          <w:color w:val="000000" w:themeColor="text1"/>
          <w:sz w:val="22"/>
        </w:rPr>
      </w:pPr>
    </w:p>
    <w:p w:rsidR="00FD6E77" w:rsidRPr="00FC1BF2" w:rsidRDefault="00FD6E77" w:rsidP="0077238F">
      <w:pPr>
        <w:spacing w:after="0" w:line="280" w:lineRule="exact"/>
        <w:rPr>
          <w:rFonts w:ascii="Century Gothic" w:hAnsi="Century Gothic"/>
          <w:color w:val="000000" w:themeColor="text1"/>
        </w:rPr>
      </w:pPr>
      <w:r w:rsidRPr="00FC1BF2">
        <w:rPr>
          <w:rFonts w:ascii="Century Gothic" w:eastAsia="Times New Roman" w:hAnsi="Century Gothic" w:cs="Times New Roman"/>
          <w:color w:val="000000" w:themeColor="text1"/>
          <w:lang w:eastAsia="en-AU"/>
        </w:rPr>
        <w:t>John Southalan</w:t>
      </w:r>
      <w:r w:rsidRPr="00FC1BF2">
        <w:rPr>
          <w:rFonts w:ascii="Century Gothic" w:eastAsia="Times New Roman" w:hAnsi="Century Gothic" w:cs="Times New Roman"/>
          <w:color w:val="000000" w:themeColor="text1"/>
          <w:lang w:eastAsia="en-AU"/>
        </w:rPr>
        <w:br/>
      </w:r>
      <w:r w:rsidRPr="00FC1BF2">
        <w:rPr>
          <w:rFonts w:ascii="Century Gothic" w:eastAsia="Times New Roman" w:hAnsi="Century Gothic" w:cs="Times New Roman"/>
          <w:b/>
          <w:color w:val="000000" w:themeColor="text1"/>
          <w:lang w:eastAsia="en-AU"/>
        </w:rPr>
        <w:t>Independent Examiner</w:t>
      </w:r>
      <w:r w:rsidRPr="00FC1BF2">
        <w:rPr>
          <w:rFonts w:ascii="Century Gothic" w:eastAsia="Times New Roman" w:hAnsi="Century Gothic" w:cs="Times New Roman"/>
          <w:b/>
          <w:color w:val="000000" w:themeColor="text1"/>
          <w:lang w:eastAsia="en-AU"/>
        </w:rPr>
        <w:br/>
      </w:r>
      <w:r w:rsidRPr="00FC1BF2">
        <w:rPr>
          <w:rFonts w:ascii="Century Gothic" w:eastAsia="Times New Roman" w:hAnsi="Century Gothic" w:cs="Times New Roman"/>
          <w:color w:val="000000" w:themeColor="text1"/>
          <w:lang w:eastAsia="en-AU"/>
        </w:rPr>
        <w:t>Australian National Contact Point</w:t>
      </w:r>
      <w:r w:rsidRPr="00FC1BF2">
        <w:rPr>
          <w:rFonts w:ascii="Century Gothic" w:eastAsia="Times New Roman" w:hAnsi="Century Gothic" w:cs="Times New Roman"/>
          <w:color w:val="000000" w:themeColor="text1"/>
          <w:lang w:eastAsia="en-AU"/>
        </w:rPr>
        <w:br/>
        <w:t>OECD Guidelines for Multinational Enterprises</w:t>
      </w:r>
      <w:r w:rsidRPr="00FC1BF2">
        <w:rPr>
          <w:rFonts w:ascii="Century Gothic" w:eastAsia="Times New Roman" w:hAnsi="Century Gothic" w:cs="Times New Roman"/>
          <w:color w:val="FF0000"/>
          <w:lang w:eastAsia="en-AU"/>
        </w:rPr>
        <w:br/>
      </w:r>
      <w:r w:rsidRPr="00FC1BF2">
        <w:rPr>
          <w:rFonts w:ascii="Century Gothic" w:eastAsia="Times New Roman" w:hAnsi="Century Gothic" w:cs="Times New Roman"/>
          <w:color w:val="000000" w:themeColor="text1"/>
          <w:lang w:eastAsia="en-AU"/>
        </w:rPr>
        <w:t xml:space="preserve">Email: </w:t>
      </w:r>
      <w:hyperlink r:id="rId20" w:history="1">
        <w:r w:rsidRPr="00FC1BF2">
          <w:rPr>
            <w:rFonts w:ascii="Century Gothic" w:eastAsia="Times New Roman" w:hAnsi="Century Gothic" w:cs="Times New Roman"/>
            <w:color w:val="3A87C8"/>
            <w:lang w:eastAsia="en-AU"/>
          </w:rPr>
          <w:t>IndependentExaminer@AusNCP.gov.au</w:t>
        </w:r>
      </w:hyperlink>
    </w:p>
    <w:p w:rsidR="00340C22" w:rsidRPr="00FC1BF2" w:rsidRDefault="00340C22" w:rsidP="00CA1C3B">
      <w:pPr>
        <w:pStyle w:val="Heading1"/>
        <w:keepLines w:val="0"/>
        <w:pageBreakBefore/>
        <w:pBdr>
          <w:bottom w:val="single" w:sz="12" w:space="10" w:color="3A87C8"/>
        </w:pBdr>
        <w:spacing w:before="360" w:line="240" w:lineRule="auto"/>
        <w:rPr>
          <w:rFonts w:ascii="Calibri" w:eastAsia="Times New Roman" w:hAnsi="Calibri" w:cs="Arial"/>
          <w:bCs w:val="0"/>
          <w:caps/>
          <w:color w:val="3A87C8"/>
          <w:kern w:val="32"/>
          <w:sz w:val="44"/>
          <w:szCs w:val="36"/>
          <w:lang w:eastAsia="en-AU"/>
        </w:rPr>
      </w:pPr>
      <w:bookmarkStart w:id="14" w:name="_Toc54942649"/>
      <w:bookmarkStart w:id="15" w:name="_Toc34208522"/>
      <w:r w:rsidRPr="00FC1BF2">
        <w:rPr>
          <w:rFonts w:ascii="Calibri" w:eastAsia="Times New Roman" w:hAnsi="Calibri" w:cs="Arial"/>
          <w:bCs w:val="0"/>
          <w:caps/>
          <w:color w:val="3A87C8"/>
          <w:kern w:val="32"/>
          <w:sz w:val="44"/>
          <w:szCs w:val="36"/>
          <w:lang w:eastAsia="en-AU"/>
        </w:rPr>
        <w:lastRenderedPageBreak/>
        <w:t>ANNEXURES</w:t>
      </w:r>
      <w:bookmarkEnd w:id="14"/>
    </w:p>
    <w:p w:rsidR="00FD6E77" w:rsidRPr="00FC1BF2" w:rsidDel="00317F26" w:rsidRDefault="00FD6E77" w:rsidP="00340C22">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16" w:name="_Toc54942650"/>
      <w:r w:rsidRPr="00FC1BF2" w:rsidDel="00317F26">
        <w:rPr>
          <w:rFonts w:ascii="Calibri" w:eastAsia="Times New Roman" w:hAnsi="Calibri" w:cs="Arial"/>
          <w:b/>
          <w:iCs/>
          <w:color w:val="000000" w:themeColor="text1"/>
          <w:kern w:val="32"/>
          <w:sz w:val="36"/>
          <w:szCs w:val="36"/>
          <w:lang w:eastAsia="en-AU"/>
        </w:rPr>
        <w:t>Schedule of events</w:t>
      </w:r>
      <w:bookmarkEnd w:id="16"/>
      <w:r w:rsidRPr="00FC1BF2" w:rsidDel="00317F26">
        <w:rPr>
          <w:rFonts w:ascii="Calibri" w:eastAsia="Times New Roman" w:hAnsi="Calibri" w:cs="Arial"/>
          <w:b/>
          <w:iCs/>
          <w:color w:val="000000" w:themeColor="text1"/>
          <w:kern w:val="32"/>
          <w:sz w:val="36"/>
          <w:szCs w:val="36"/>
          <w:lang w:eastAsia="en-AU"/>
        </w:rPr>
        <w:t xml:space="preserve"> </w:t>
      </w:r>
      <w:bookmarkEnd w:id="15"/>
    </w:p>
    <w:p w:rsidR="00FD6E77" w:rsidRPr="00FC1BF2" w:rsidRDefault="00FD6E77" w:rsidP="0019588C">
      <w:pPr>
        <w:rPr>
          <w:lang w:eastAsia="en-AU"/>
        </w:rPr>
      </w:pPr>
    </w:p>
    <w:tbl>
      <w:tblPr>
        <w:tblW w:w="9322" w:type="dxa"/>
        <w:tblLayout w:type="fixed"/>
        <w:tblLook w:val="04A0" w:firstRow="1" w:lastRow="0" w:firstColumn="1" w:lastColumn="0" w:noHBand="0" w:noVBand="1"/>
      </w:tblPr>
      <w:tblGrid>
        <w:gridCol w:w="7230"/>
        <w:gridCol w:w="2092"/>
      </w:tblGrid>
      <w:tr w:rsidR="00FD6E77" w:rsidRPr="00FC1BF2" w:rsidTr="00CA1C3B">
        <w:trPr>
          <w:trHeight w:val="275"/>
        </w:trPr>
        <w:tc>
          <w:tcPr>
            <w:tcW w:w="7230" w:type="dxa"/>
            <w:shd w:val="clear" w:color="auto" w:fill="3A87C8"/>
          </w:tcPr>
          <w:p w:rsidR="00FD6E77" w:rsidRPr="00FC1BF2" w:rsidRDefault="00FD6E77" w:rsidP="0019588C">
            <w:pPr>
              <w:spacing w:before="60" w:after="60" w:line="240" w:lineRule="auto"/>
              <w:rPr>
                <w:rFonts w:ascii="Century Gothic" w:eastAsia="Times New Roman" w:hAnsi="Century Gothic" w:cs="Times New Roman"/>
                <w:b/>
                <w:color w:val="FFFFFF" w:themeColor="background1"/>
                <w:lang w:eastAsia="en-AU"/>
              </w:rPr>
            </w:pPr>
            <w:r w:rsidRPr="00FC1BF2">
              <w:rPr>
                <w:rFonts w:ascii="Century Gothic" w:eastAsia="Times New Roman" w:hAnsi="Century Gothic" w:cs="Times New Roman"/>
                <w:b/>
                <w:color w:val="FFFFFF" w:themeColor="background1"/>
                <w:lang w:eastAsia="en-AU"/>
              </w:rPr>
              <w:t>Submission</w:t>
            </w:r>
          </w:p>
        </w:tc>
        <w:tc>
          <w:tcPr>
            <w:tcW w:w="2092" w:type="dxa"/>
            <w:shd w:val="clear" w:color="auto" w:fill="3A87C8"/>
          </w:tcPr>
          <w:p w:rsidR="00FD6E77" w:rsidRPr="00FC1BF2" w:rsidRDefault="00FD6E77" w:rsidP="0019588C">
            <w:pPr>
              <w:spacing w:before="60" w:after="60" w:line="240" w:lineRule="auto"/>
              <w:rPr>
                <w:rFonts w:ascii="Century Gothic" w:eastAsia="Times New Roman" w:hAnsi="Century Gothic" w:cs="Times New Roman"/>
                <w:b/>
                <w:color w:val="FFFFFF" w:themeColor="background1"/>
                <w:lang w:eastAsia="en-AU"/>
              </w:rPr>
            </w:pPr>
            <w:r w:rsidRPr="00FC1BF2">
              <w:rPr>
                <w:rFonts w:ascii="Century Gothic" w:eastAsia="Times New Roman" w:hAnsi="Century Gothic" w:cs="Times New Roman"/>
                <w:b/>
                <w:color w:val="FFFFFF" w:themeColor="background1"/>
                <w:lang w:eastAsia="en-AU"/>
              </w:rPr>
              <w:t>Date</w:t>
            </w:r>
          </w:p>
        </w:tc>
      </w:tr>
      <w:tr w:rsidR="00FD6E77" w:rsidRPr="00FC1BF2" w:rsidTr="00CA1C3B">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Complaint submitted to the AusNCP.</w:t>
            </w:r>
          </w:p>
        </w:tc>
        <w:tc>
          <w:tcPr>
            <w:tcW w:w="2092" w:type="dxa"/>
            <w:shd w:val="clear" w:color="auto" w:fill="auto"/>
          </w:tcPr>
          <w:p w:rsidR="00FD6E77" w:rsidRPr="00FC1BF2" w:rsidRDefault="00CA1C3B" w:rsidP="0019588C">
            <w:pPr>
              <w:spacing w:before="60" w:after="60" w:line="240" w:lineRule="auto"/>
              <w:rPr>
                <w:rFonts w:ascii="Century Gothic" w:hAnsi="Century Gothic"/>
              </w:rPr>
            </w:pPr>
            <w:r w:rsidRPr="00FC1BF2">
              <w:rPr>
                <w:rFonts w:ascii="Century Gothic" w:hAnsi="Century Gothic"/>
              </w:rPr>
              <w:t>30 January, 2020</w:t>
            </w:r>
          </w:p>
        </w:tc>
      </w:tr>
      <w:tr w:rsidR="00FD6E77" w:rsidRPr="00FC1BF2" w:rsidTr="00CA1C3B">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Complaint acknowledged by the AusNCP and further information sought.</w:t>
            </w:r>
          </w:p>
        </w:tc>
        <w:tc>
          <w:tcPr>
            <w:tcW w:w="2092" w:type="dxa"/>
            <w:shd w:val="clear" w:color="auto" w:fill="auto"/>
          </w:tcPr>
          <w:p w:rsidR="00FD6E77" w:rsidRPr="00FC1BF2" w:rsidRDefault="00D224D6" w:rsidP="0019588C">
            <w:pPr>
              <w:spacing w:before="60" w:after="60" w:line="240" w:lineRule="auto"/>
              <w:rPr>
                <w:rFonts w:ascii="Century Gothic" w:hAnsi="Century Gothic"/>
              </w:rPr>
            </w:pPr>
            <w:r w:rsidRPr="00FC1BF2">
              <w:rPr>
                <w:rFonts w:ascii="Century Gothic" w:hAnsi="Century Gothic"/>
              </w:rPr>
              <w:t>3 February, 2020</w:t>
            </w:r>
          </w:p>
        </w:tc>
      </w:tr>
      <w:tr w:rsidR="00FD6E77" w:rsidRPr="00FC1BF2" w:rsidTr="00CA1C3B">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AusNCP notified the MNE.</w:t>
            </w:r>
          </w:p>
        </w:tc>
        <w:tc>
          <w:tcPr>
            <w:tcW w:w="2092" w:type="dxa"/>
            <w:shd w:val="clear" w:color="auto" w:fill="auto"/>
          </w:tcPr>
          <w:p w:rsidR="00FD6E77" w:rsidRPr="00FC1BF2" w:rsidRDefault="007E5495" w:rsidP="0019588C">
            <w:pPr>
              <w:spacing w:before="60" w:after="60" w:line="240" w:lineRule="auto"/>
              <w:rPr>
                <w:rFonts w:ascii="Century Gothic" w:hAnsi="Century Gothic"/>
              </w:rPr>
            </w:pPr>
            <w:r w:rsidRPr="00FC1BF2">
              <w:rPr>
                <w:rFonts w:ascii="Century Gothic" w:hAnsi="Century Gothic"/>
              </w:rPr>
              <w:t>4 February, 2020</w:t>
            </w:r>
          </w:p>
        </w:tc>
      </w:tr>
      <w:tr w:rsidR="00FD6E77" w:rsidRPr="00FC1BF2" w:rsidTr="00CA1C3B">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Governance and Advisory Board notified by the AusNCP.</w:t>
            </w:r>
          </w:p>
        </w:tc>
        <w:tc>
          <w:tcPr>
            <w:tcW w:w="2092" w:type="dxa"/>
            <w:shd w:val="clear" w:color="auto" w:fill="auto"/>
          </w:tcPr>
          <w:p w:rsidR="00FD6E77" w:rsidRPr="00FC1BF2" w:rsidRDefault="007E5495" w:rsidP="007E5495">
            <w:pPr>
              <w:spacing w:before="60" w:after="60" w:line="240" w:lineRule="auto"/>
              <w:rPr>
                <w:rFonts w:ascii="Century Gothic" w:hAnsi="Century Gothic"/>
              </w:rPr>
            </w:pPr>
            <w:r w:rsidRPr="00FC1BF2">
              <w:rPr>
                <w:rFonts w:ascii="Century Gothic" w:hAnsi="Century Gothic"/>
              </w:rPr>
              <w:t>12 February, 2020</w:t>
            </w:r>
          </w:p>
        </w:tc>
      </w:tr>
      <w:tr w:rsidR="00FD6E77" w:rsidRPr="00FC1BF2" w:rsidTr="00CA1C3B">
        <w:trPr>
          <w:trHeight w:val="275"/>
        </w:trPr>
        <w:tc>
          <w:tcPr>
            <w:tcW w:w="7230" w:type="dxa"/>
            <w:shd w:val="clear" w:color="auto" w:fill="3A87C8"/>
          </w:tcPr>
          <w:p w:rsidR="00FD6E77" w:rsidRPr="00FC1BF2" w:rsidRDefault="00FD6E77" w:rsidP="0019588C">
            <w:pPr>
              <w:spacing w:before="60" w:after="60" w:line="240" w:lineRule="auto"/>
              <w:rPr>
                <w:rFonts w:ascii="Century Gothic" w:eastAsia="Times New Roman" w:hAnsi="Century Gothic" w:cs="Times New Roman"/>
                <w:b/>
                <w:color w:val="FFFFFF" w:themeColor="background1"/>
                <w:lang w:eastAsia="en-AU"/>
              </w:rPr>
            </w:pPr>
            <w:r w:rsidRPr="00FC1BF2">
              <w:rPr>
                <w:rFonts w:ascii="Century Gothic" w:eastAsia="Times New Roman" w:hAnsi="Century Gothic" w:cs="Times New Roman"/>
                <w:b/>
                <w:color w:val="FFFFFF" w:themeColor="background1"/>
                <w:lang w:eastAsia="en-AU"/>
              </w:rPr>
              <w:t xml:space="preserve">Initial Assessment </w:t>
            </w:r>
          </w:p>
        </w:tc>
        <w:tc>
          <w:tcPr>
            <w:tcW w:w="2092" w:type="dxa"/>
            <w:shd w:val="clear" w:color="auto" w:fill="auto"/>
          </w:tcPr>
          <w:p w:rsidR="00FD6E77" w:rsidRPr="00FC1BF2" w:rsidRDefault="00FD6E77" w:rsidP="0019588C">
            <w:pPr>
              <w:spacing w:before="60" w:after="60" w:line="240" w:lineRule="auto"/>
              <w:rPr>
                <w:rFonts w:ascii="Century Gothic" w:eastAsia="Times New Roman" w:hAnsi="Century Gothic" w:cs="Times New Roman"/>
                <w:b/>
                <w:color w:val="FFFFFF" w:themeColor="background1"/>
                <w:lang w:eastAsia="en-AU"/>
              </w:rPr>
            </w:pPr>
          </w:p>
        </w:tc>
      </w:tr>
      <w:tr w:rsidR="00FD6E77" w:rsidRPr="00FC1BF2" w:rsidTr="00CA1C3B">
        <w:trPr>
          <w:trHeight w:val="275"/>
        </w:trPr>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 xml:space="preserve">Draft </w:t>
            </w:r>
            <w:r w:rsidR="00B13762" w:rsidRPr="00FC1BF2">
              <w:rPr>
                <w:rFonts w:ascii="Century Gothic" w:eastAsia="Times New Roman" w:hAnsi="Century Gothic" w:cs="Times New Roman"/>
                <w:color w:val="000000" w:themeColor="text1"/>
                <w:lang w:eastAsia="en-AU"/>
              </w:rPr>
              <w:t xml:space="preserve">assessment, by Independent Examiner, </w:t>
            </w:r>
            <w:r w:rsidRPr="00FC1BF2">
              <w:rPr>
                <w:rFonts w:ascii="Century Gothic" w:eastAsia="Times New Roman" w:hAnsi="Century Gothic" w:cs="Times New Roman"/>
                <w:color w:val="000000" w:themeColor="text1"/>
                <w:lang w:eastAsia="en-AU"/>
              </w:rPr>
              <w:t>provided to the Governance and Advisory Board for review and advice.</w:t>
            </w:r>
          </w:p>
        </w:tc>
        <w:tc>
          <w:tcPr>
            <w:tcW w:w="2092" w:type="dxa"/>
            <w:shd w:val="clear" w:color="auto" w:fill="auto"/>
          </w:tcPr>
          <w:p w:rsidR="00FD6E77" w:rsidRPr="00FC1BF2" w:rsidRDefault="00E44C7F" w:rsidP="0019588C">
            <w:pPr>
              <w:spacing w:before="60" w:after="60" w:line="240" w:lineRule="auto"/>
              <w:rPr>
                <w:rFonts w:ascii="Century Gothic" w:hAnsi="Century Gothic"/>
              </w:rPr>
            </w:pPr>
            <w:r w:rsidRPr="00FC1BF2">
              <w:rPr>
                <w:rFonts w:ascii="Century Gothic" w:hAnsi="Century Gothic"/>
              </w:rPr>
              <w:t>20 March, 2020</w:t>
            </w:r>
          </w:p>
        </w:tc>
      </w:tr>
      <w:tr w:rsidR="00FD6E77" w:rsidRPr="00FC1BF2" w:rsidTr="00CA1C3B">
        <w:trPr>
          <w:trHeight w:val="275"/>
        </w:trPr>
        <w:tc>
          <w:tcPr>
            <w:tcW w:w="7230" w:type="dxa"/>
            <w:shd w:val="clear" w:color="auto" w:fill="auto"/>
          </w:tcPr>
          <w:p w:rsidR="00FD6E77" w:rsidRPr="00FC1BF2" w:rsidRDefault="00FD6E77"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 xml:space="preserve">Draft </w:t>
            </w:r>
            <w:r w:rsidR="00B13762" w:rsidRPr="00FC1BF2">
              <w:rPr>
                <w:rFonts w:ascii="Century Gothic" w:eastAsia="Times New Roman" w:hAnsi="Century Gothic" w:cs="Times New Roman"/>
                <w:color w:val="000000" w:themeColor="text1"/>
                <w:lang w:eastAsia="en-AU"/>
              </w:rPr>
              <w:t xml:space="preserve">assessment </w:t>
            </w:r>
            <w:r w:rsidRPr="00FC1BF2">
              <w:rPr>
                <w:rFonts w:ascii="Century Gothic" w:eastAsia="Times New Roman" w:hAnsi="Century Gothic" w:cs="Times New Roman"/>
                <w:color w:val="000000" w:themeColor="text1"/>
                <w:lang w:eastAsia="en-AU"/>
              </w:rPr>
              <w:t>provided to the parties for comment</w:t>
            </w:r>
            <w:r w:rsidR="00FF704F" w:rsidRPr="00FC1BF2">
              <w:rPr>
                <w:rFonts w:ascii="Century Gothic" w:eastAsia="Times New Roman" w:hAnsi="Century Gothic" w:cs="Times New Roman"/>
                <w:color w:val="000000" w:themeColor="text1"/>
                <w:lang w:eastAsia="en-AU"/>
              </w:rPr>
              <w:t>; and matter adjourned due to COVID responses and impact</w:t>
            </w:r>
          </w:p>
        </w:tc>
        <w:tc>
          <w:tcPr>
            <w:tcW w:w="2092" w:type="dxa"/>
            <w:shd w:val="clear" w:color="auto" w:fill="auto"/>
          </w:tcPr>
          <w:p w:rsidR="00FD6E77" w:rsidRPr="00FC1BF2" w:rsidRDefault="003C477F" w:rsidP="0019588C">
            <w:pPr>
              <w:spacing w:before="60" w:after="60" w:line="240" w:lineRule="auto"/>
              <w:rPr>
                <w:rFonts w:ascii="Century Gothic" w:hAnsi="Century Gothic"/>
              </w:rPr>
            </w:pPr>
            <w:r w:rsidRPr="00FC1BF2">
              <w:rPr>
                <w:rFonts w:ascii="Century Gothic" w:hAnsi="Century Gothic"/>
              </w:rPr>
              <w:t>24 April, 2020</w:t>
            </w:r>
          </w:p>
        </w:tc>
      </w:tr>
      <w:tr w:rsidR="00B13762" w:rsidRPr="00FC1BF2" w:rsidTr="00CA1C3B">
        <w:trPr>
          <w:trHeight w:val="275"/>
        </w:trPr>
        <w:tc>
          <w:tcPr>
            <w:tcW w:w="7230" w:type="dxa"/>
            <w:shd w:val="clear" w:color="auto" w:fill="auto"/>
          </w:tcPr>
          <w:p w:rsidR="00B13762" w:rsidRPr="00FC1BF2" w:rsidRDefault="00B13762"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Independent Examiner engaged with the parties</w:t>
            </w:r>
          </w:p>
        </w:tc>
        <w:tc>
          <w:tcPr>
            <w:tcW w:w="2092" w:type="dxa"/>
            <w:shd w:val="clear" w:color="auto" w:fill="auto"/>
          </w:tcPr>
          <w:p w:rsidR="00B13762" w:rsidRPr="00FC1BF2" w:rsidRDefault="00B13762" w:rsidP="0019588C">
            <w:pPr>
              <w:spacing w:before="60" w:after="60" w:line="240" w:lineRule="auto"/>
              <w:rPr>
                <w:rFonts w:ascii="Century Gothic" w:hAnsi="Century Gothic"/>
              </w:rPr>
            </w:pPr>
            <w:r w:rsidRPr="00FC1BF2">
              <w:rPr>
                <w:rFonts w:ascii="Century Gothic" w:hAnsi="Century Gothic"/>
              </w:rPr>
              <w:t>Sep/Oct 2020</w:t>
            </w:r>
          </w:p>
        </w:tc>
      </w:tr>
      <w:tr w:rsidR="00FD6E77" w:rsidRPr="00FC1BF2" w:rsidTr="00CA1C3B">
        <w:trPr>
          <w:trHeight w:val="275"/>
        </w:trPr>
        <w:tc>
          <w:tcPr>
            <w:tcW w:w="7230" w:type="dxa"/>
            <w:shd w:val="clear" w:color="auto" w:fill="auto"/>
          </w:tcPr>
          <w:p w:rsidR="00FD6E77" w:rsidRPr="00FC1BF2" w:rsidRDefault="006870C9"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I</w:t>
            </w:r>
            <w:r w:rsidR="00B13762" w:rsidRPr="00FC1BF2">
              <w:rPr>
                <w:rFonts w:ascii="Century Gothic" w:eastAsia="Times New Roman" w:hAnsi="Century Gothic" w:cs="Times New Roman"/>
                <w:color w:val="000000" w:themeColor="text1"/>
                <w:lang w:eastAsia="en-AU"/>
              </w:rPr>
              <w:t>nitial Assessment, by Independent Examiner, provided to the Governance and Advisory Board for review and advice</w:t>
            </w:r>
            <w:r w:rsidR="00FD6E77" w:rsidRPr="00FC1BF2">
              <w:rPr>
                <w:rFonts w:ascii="Century Gothic" w:eastAsia="Times New Roman" w:hAnsi="Century Gothic" w:cs="Times New Roman"/>
                <w:color w:val="000000" w:themeColor="text1"/>
                <w:lang w:eastAsia="en-AU"/>
              </w:rPr>
              <w:t>.</w:t>
            </w:r>
          </w:p>
        </w:tc>
        <w:tc>
          <w:tcPr>
            <w:tcW w:w="2092" w:type="dxa"/>
            <w:shd w:val="clear" w:color="auto" w:fill="auto"/>
          </w:tcPr>
          <w:p w:rsidR="00FD6E77" w:rsidRPr="00FC1BF2" w:rsidRDefault="00E923A4">
            <w:pPr>
              <w:spacing w:before="60" w:after="60" w:line="240" w:lineRule="auto"/>
              <w:rPr>
                <w:rFonts w:ascii="Century Gothic" w:hAnsi="Century Gothic"/>
              </w:rPr>
            </w:pPr>
            <w:r>
              <w:rPr>
                <w:rFonts w:ascii="Century Gothic" w:hAnsi="Century Gothic"/>
              </w:rPr>
              <w:t>19 October 2020</w:t>
            </w:r>
          </w:p>
        </w:tc>
      </w:tr>
      <w:tr w:rsidR="006870C9" w:rsidRPr="00FC1BF2" w:rsidTr="00CA1C3B">
        <w:trPr>
          <w:trHeight w:val="275"/>
        </w:trPr>
        <w:tc>
          <w:tcPr>
            <w:tcW w:w="7230" w:type="dxa"/>
            <w:shd w:val="clear" w:color="auto" w:fill="auto"/>
          </w:tcPr>
          <w:p w:rsidR="006870C9" w:rsidRPr="00FC1BF2" w:rsidRDefault="006870C9"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AusNCP finalised Initial Assessment and provided an advance copy to the parties and the Governance and Advisory Board.</w:t>
            </w:r>
          </w:p>
        </w:tc>
        <w:tc>
          <w:tcPr>
            <w:tcW w:w="2092" w:type="dxa"/>
            <w:shd w:val="clear" w:color="auto" w:fill="auto"/>
          </w:tcPr>
          <w:p w:rsidR="006870C9" w:rsidRPr="00AB78BB" w:rsidRDefault="00B01EE3" w:rsidP="0019588C">
            <w:pPr>
              <w:spacing w:before="60" w:after="60" w:line="240" w:lineRule="auto"/>
              <w:rPr>
                <w:rFonts w:ascii="Century Gothic" w:hAnsi="Century Gothic"/>
                <w:highlight w:val="yellow"/>
              </w:rPr>
            </w:pPr>
            <w:r>
              <w:rPr>
                <w:rFonts w:ascii="Century Gothic" w:hAnsi="Century Gothic"/>
              </w:rPr>
              <w:t xml:space="preserve">17 </w:t>
            </w:r>
            <w:r w:rsidR="00397E23" w:rsidRPr="0077238F">
              <w:rPr>
                <w:rFonts w:ascii="Century Gothic" w:hAnsi="Century Gothic"/>
              </w:rPr>
              <w:t>November 2020</w:t>
            </w:r>
          </w:p>
        </w:tc>
      </w:tr>
      <w:tr w:rsidR="00FD6E77" w:rsidRPr="00FC1BF2" w:rsidTr="00CA1C3B">
        <w:trPr>
          <w:trHeight w:val="275"/>
        </w:trPr>
        <w:tc>
          <w:tcPr>
            <w:tcW w:w="7230" w:type="dxa"/>
            <w:shd w:val="clear" w:color="auto" w:fill="auto"/>
          </w:tcPr>
          <w:p w:rsidR="00FD6E77" w:rsidRPr="00FC1BF2" w:rsidRDefault="006870C9" w:rsidP="0019588C">
            <w:pPr>
              <w:pStyle w:val="ListParagraph"/>
              <w:numPr>
                <w:ilvl w:val="0"/>
                <w:numId w:val="23"/>
              </w:numPr>
              <w:tabs>
                <w:tab w:val="left" w:pos="425"/>
              </w:tabs>
              <w:spacing w:before="60" w:after="60" w:line="240" w:lineRule="auto"/>
              <w:ind w:left="321"/>
              <w:contextualSpacing w:val="0"/>
              <w:rPr>
                <w:rFonts w:ascii="Century Gothic" w:eastAsia="Times New Roman" w:hAnsi="Century Gothic" w:cs="Times New Roman"/>
                <w:color w:val="000000" w:themeColor="text1"/>
                <w:lang w:eastAsia="en-AU"/>
              </w:rPr>
            </w:pPr>
            <w:r w:rsidRPr="00FC1BF2">
              <w:rPr>
                <w:rFonts w:ascii="Century Gothic" w:eastAsia="Times New Roman" w:hAnsi="Century Gothic" w:cs="Times New Roman"/>
                <w:color w:val="000000" w:themeColor="text1"/>
                <w:lang w:eastAsia="en-AU"/>
              </w:rPr>
              <w:t>Initial Assessment</w:t>
            </w:r>
            <w:r w:rsidR="00FD6E77" w:rsidRPr="00FC1BF2">
              <w:rPr>
                <w:rFonts w:ascii="Century Gothic" w:eastAsia="Times New Roman" w:hAnsi="Century Gothic" w:cs="Times New Roman"/>
                <w:color w:val="000000" w:themeColor="text1"/>
                <w:lang w:eastAsia="en-AU"/>
              </w:rPr>
              <w:t xml:space="preserve"> published on </w:t>
            </w:r>
            <w:r w:rsidR="00FD6E77" w:rsidRPr="00FC1BF2">
              <w:rPr>
                <w:rFonts w:ascii="Century Gothic" w:hAnsi="Century Gothic"/>
                <w:color w:val="000000" w:themeColor="text1"/>
                <w:lang w:eastAsia="en-AU"/>
              </w:rPr>
              <w:t>www.AusNCP.gov.au</w:t>
            </w:r>
            <w:r w:rsidR="00FD6E77" w:rsidRPr="00FC1BF2">
              <w:rPr>
                <w:rFonts w:ascii="Century Gothic" w:eastAsia="Times New Roman" w:hAnsi="Century Gothic" w:cs="Times New Roman"/>
                <w:color w:val="000000" w:themeColor="text1"/>
                <w:lang w:eastAsia="en-AU"/>
              </w:rPr>
              <w:t xml:space="preserve"> and reported to the OECD.</w:t>
            </w:r>
          </w:p>
        </w:tc>
        <w:tc>
          <w:tcPr>
            <w:tcW w:w="2092" w:type="dxa"/>
            <w:shd w:val="clear" w:color="auto" w:fill="auto"/>
          </w:tcPr>
          <w:p w:rsidR="00FD6E77" w:rsidRPr="00AB78BB" w:rsidRDefault="00B01EE3" w:rsidP="0019588C">
            <w:pPr>
              <w:spacing w:before="60" w:after="60" w:line="240" w:lineRule="auto"/>
              <w:rPr>
                <w:rFonts w:ascii="Century Gothic" w:hAnsi="Century Gothic"/>
                <w:highlight w:val="yellow"/>
              </w:rPr>
            </w:pPr>
            <w:r>
              <w:rPr>
                <w:rFonts w:ascii="Century Gothic" w:hAnsi="Century Gothic"/>
              </w:rPr>
              <w:t xml:space="preserve">24 </w:t>
            </w:r>
            <w:r w:rsidR="00397E23" w:rsidRPr="0077238F">
              <w:rPr>
                <w:rFonts w:ascii="Century Gothic" w:hAnsi="Century Gothic"/>
              </w:rPr>
              <w:t>November 2020</w:t>
            </w:r>
          </w:p>
        </w:tc>
      </w:tr>
    </w:tbl>
    <w:p w:rsidR="00FD6E77" w:rsidRPr="00FC1BF2" w:rsidDel="00317F26" w:rsidRDefault="00FD6E77" w:rsidP="0019588C">
      <w:pPr>
        <w:spacing w:after="240" w:line="280" w:lineRule="exact"/>
        <w:jc w:val="both"/>
        <w:rPr>
          <w:rFonts w:ascii="Century Gothic" w:eastAsia="Times New Roman" w:hAnsi="Century Gothic" w:cs="Times New Roman"/>
          <w:color w:val="000000" w:themeColor="text1"/>
          <w:lang w:eastAsia="en-AU"/>
        </w:rPr>
      </w:pPr>
    </w:p>
    <w:p w:rsidR="00FD6E77" w:rsidRPr="00FC1BF2" w:rsidDel="00317F26" w:rsidRDefault="00FD6E77" w:rsidP="0019588C">
      <w:pPr>
        <w:spacing w:after="240" w:line="280" w:lineRule="exact"/>
        <w:jc w:val="both"/>
        <w:rPr>
          <w:rFonts w:ascii="Century Gothic" w:eastAsia="Times New Roman" w:hAnsi="Century Gothic" w:cs="Times New Roman"/>
          <w:b/>
          <w:iCs/>
          <w:color w:val="000000" w:themeColor="text1"/>
          <w:lang w:eastAsia="en-AU"/>
        </w:rPr>
      </w:pPr>
      <w:r w:rsidRPr="00FC1BF2" w:rsidDel="00317F26">
        <w:rPr>
          <w:rFonts w:ascii="Century Gothic" w:eastAsia="Times New Roman" w:hAnsi="Century Gothic" w:cs="Times New Roman"/>
          <w:b/>
          <w:iCs/>
          <w:color w:val="000000" w:themeColor="text1"/>
          <w:lang w:eastAsia="en-AU"/>
        </w:rPr>
        <w:t xml:space="preserve">Publications </w:t>
      </w:r>
    </w:p>
    <w:p w:rsidR="00FD6E77" w:rsidRPr="00FC1BF2" w:rsidDel="00317F26" w:rsidRDefault="00E03964" w:rsidP="0019588C">
      <w:pPr>
        <w:spacing w:after="240" w:line="280" w:lineRule="exact"/>
        <w:jc w:val="both"/>
        <w:rPr>
          <w:rFonts w:ascii="Century Gothic" w:eastAsia="Times New Roman" w:hAnsi="Century Gothic" w:cs="Times New Roman"/>
          <w:b/>
          <w:color w:val="000000" w:themeColor="text1"/>
          <w:lang w:eastAsia="en-AU"/>
        </w:rPr>
      </w:pPr>
      <w:hyperlink r:id="rId21" w:history="1">
        <w:r w:rsidR="00FD6E77" w:rsidRPr="00FC1BF2" w:rsidDel="00317F26">
          <w:rPr>
            <w:rFonts w:ascii="Century Gothic" w:eastAsia="Times New Roman" w:hAnsi="Century Gothic" w:cs="Times New Roman"/>
            <w:color w:val="3A87C8"/>
            <w:lang w:eastAsia="en-AU"/>
          </w:rPr>
          <w:t>http://mneguidelines.oecd.org/database/</w:t>
        </w:r>
      </w:hyperlink>
      <w:r w:rsidR="00FD6E77" w:rsidRPr="00FC1BF2" w:rsidDel="00317F26">
        <w:rPr>
          <w:rFonts w:ascii="Century Gothic" w:eastAsia="Times New Roman" w:hAnsi="Century Gothic" w:cs="Times New Roman"/>
          <w:b/>
          <w:color w:val="000000" w:themeColor="text1"/>
          <w:lang w:eastAsia="en-AU"/>
        </w:rPr>
        <w:t xml:space="preserve"> </w:t>
      </w:r>
    </w:p>
    <w:p w:rsidR="00FD6E77" w:rsidRPr="00FC1BF2" w:rsidDel="00317F26" w:rsidRDefault="00FD6E77" w:rsidP="0019588C">
      <w:pPr>
        <w:spacing w:after="240" w:line="280" w:lineRule="exact"/>
        <w:jc w:val="both"/>
        <w:rPr>
          <w:rFonts w:ascii="Century Gothic" w:eastAsia="Times New Roman" w:hAnsi="Century Gothic" w:cs="Times New Roman"/>
          <w:color w:val="3A87C8"/>
          <w:lang w:eastAsia="en-AU"/>
        </w:rPr>
      </w:pPr>
      <w:r w:rsidRPr="00FC1BF2" w:rsidDel="00317F26">
        <w:rPr>
          <w:rFonts w:ascii="Century Gothic" w:eastAsia="Times New Roman" w:hAnsi="Century Gothic" w:cs="Times New Roman"/>
          <w:color w:val="3A87C8"/>
          <w:lang w:eastAsia="en-AU"/>
        </w:rPr>
        <w:t>https://ausncp.gov.au/complaints/view-closed-complaint</w:t>
      </w:r>
    </w:p>
    <w:p w:rsidR="00FD6E77" w:rsidRPr="00FC1BF2" w:rsidDel="00317F26" w:rsidRDefault="00FD6E77" w:rsidP="00340C22">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17" w:name="_Toc54942651"/>
      <w:r w:rsidRPr="00FC1BF2" w:rsidDel="00317F26">
        <w:rPr>
          <w:rFonts w:ascii="Calibri" w:eastAsia="Times New Roman" w:hAnsi="Calibri" w:cs="Arial"/>
          <w:b/>
          <w:iCs/>
          <w:color w:val="000000" w:themeColor="text1"/>
          <w:kern w:val="32"/>
          <w:sz w:val="36"/>
          <w:szCs w:val="36"/>
          <w:lang w:eastAsia="en-AU"/>
        </w:rPr>
        <w:t>Institutional arrangements and Governance of the AusNCP</w:t>
      </w:r>
      <w:bookmarkEnd w:id="17"/>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The Australian Government is committed to promoting the use of the OECD Guidelines and implementing them effectively and consistently. Through business cooperation and support, the OECD Guidelines can positively influence business conduct and ultimately economic, environmental and social progress.</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The </w:t>
      </w:r>
      <w:r w:rsidRPr="00FC1BF2" w:rsidDel="00317F26">
        <w:rPr>
          <w:rFonts w:ascii="Century Gothic" w:eastAsia="Times New Roman" w:hAnsi="Century Gothic" w:cs="Times New Roman"/>
          <w:color w:val="000000" w:themeColor="text1"/>
          <w:sz w:val="22"/>
          <w:lang w:eastAsia="en-AU"/>
        </w:rPr>
        <w:t>OECD</w:t>
      </w:r>
      <w:r w:rsidRPr="00FC1BF2" w:rsidDel="00317F26">
        <w:rPr>
          <w:rFonts w:ascii="Century Gothic" w:eastAsia="Times New Roman" w:hAnsi="Century Gothic" w:cs="Times New Roman"/>
          <w:color w:val="595959" w:themeColor="text1" w:themeTint="A6"/>
          <w:sz w:val="22"/>
          <w:lang w:eastAsia="en-AU"/>
        </w:rPr>
        <w:t xml:space="preserve"> Guidelines are recommendations on responsible business conduct addressed by governments, including Australia, to multinational enterprises. Importantly, while the OECD Guidelines have been endorsed within the OECD international forum, they are not a substitute for, nor do they override, Australian or international law. They represent standards of behaviour that supplement Australian law and therefore do not create conflicting requirements.</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lastRenderedPageBreak/>
        <w:t>Companies</w:t>
      </w:r>
      <w:r w:rsidRPr="00FC1BF2" w:rsidDel="00317F26">
        <w:rPr>
          <w:rFonts w:ascii="Century Gothic" w:eastAsia="Times New Roman" w:hAnsi="Century Gothic" w:cs="Times New Roman"/>
          <w:color w:val="595959" w:themeColor="text1" w:themeTint="A6"/>
          <w:sz w:val="22"/>
          <w:lang w:eastAsia="en-AU"/>
        </w:rPr>
        <w:t xml:space="preserve"> operating in Australia and Australian companies operating overseas are expected to act in accordance with the principles set out in the OECD Guidelines and to perform to — at minimum — the standards they recommend.</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The </w:t>
      </w:r>
      <w:r w:rsidRPr="00FC1BF2" w:rsidDel="00317F26">
        <w:rPr>
          <w:rFonts w:ascii="Century Gothic" w:eastAsia="Times New Roman" w:hAnsi="Century Gothic" w:cs="Times New Roman"/>
          <w:color w:val="000000" w:themeColor="text1"/>
          <w:sz w:val="22"/>
          <w:lang w:eastAsia="en-AU"/>
        </w:rPr>
        <w:t>OECD</w:t>
      </w:r>
      <w:r w:rsidRPr="00FC1BF2" w:rsidDel="00317F26">
        <w:rPr>
          <w:rFonts w:ascii="Century Gothic" w:eastAsia="Times New Roman" w:hAnsi="Century Gothic" w:cs="Times New Roman"/>
          <w:color w:val="595959" w:themeColor="text1" w:themeTint="A6"/>
          <w:sz w:val="22"/>
          <w:lang w:eastAsia="en-AU"/>
        </w:rPr>
        <w:t xml:space="preserve"> Guidelines can be seen as:</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a </w:t>
      </w:r>
      <w:r w:rsidRPr="00FC1BF2" w:rsidDel="00317F26">
        <w:rPr>
          <w:rFonts w:ascii="Century Gothic" w:eastAsia="Times New Roman" w:hAnsi="Century Gothic" w:cs="Times New Roman"/>
          <w:color w:val="000000" w:themeColor="text1"/>
          <w:sz w:val="22"/>
          <w:lang w:eastAsia="en-AU"/>
        </w:rPr>
        <w:t>useful</w:t>
      </w:r>
      <w:r w:rsidRPr="00FC1BF2" w:rsidDel="00317F26">
        <w:rPr>
          <w:rFonts w:ascii="Century Gothic" w:eastAsia="Times New Roman" w:hAnsi="Century Gothic" w:cs="Times New Roman"/>
          <w:color w:val="595959" w:themeColor="text1" w:themeTint="A6"/>
          <w:sz w:val="22"/>
          <w:lang w:eastAsia="en-AU"/>
        </w:rPr>
        <w:t xml:space="preserve"> aid to business in developing their own code of conduct (they are not aimed at replacing or preventing companies from developing their own codes);</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t>complementary</w:t>
      </w:r>
      <w:r w:rsidRPr="00FC1BF2" w:rsidDel="00317F26">
        <w:rPr>
          <w:rFonts w:ascii="Century Gothic" w:eastAsia="Times New Roman" w:hAnsi="Century Gothic" w:cs="Times New Roman"/>
          <w:color w:val="595959" w:themeColor="text1" w:themeTint="A6"/>
          <w:sz w:val="22"/>
          <w:lang w:eastAsia="en-AU"/>
        </w:rPr>
        <w:t xml:space="preserve"> to other business, national and international initiatives on corporate responsibility, including domestic and international law in specific areas such as human rights and bribery; and</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t>providing</w:t>
      </w:r>
      <w:r w:rsidRPr="00FC1BF2" w:rsidDel="00317F26">
        <w:rPr>
          <w:rFonts w:ascii="Century Gothic" w:eastAsia="Times New Roman" w:hAnsi="Century Gothic" w:cs="Times New Roman"/>
          <w:color w:val="595959" w:themeColor="text1" w:themeTint="A6"/>
          <w:sz w:val="22"/>
          <w:lang w:eastAsia="en-AU"/>
        </w:rPr>
        <w:t xml:space="preserve"> an informal structure for resolving issues that may arise in relation to implementation of the OECD Guidelines in complaints.</w:t>
      </w:r>
    </w:p>
    <w:p w:rsidR="00FD6E77" w:rsidRPr="00FC1BF2" w:rsidDel="00317F26" w:rsidRDefault="00FD6E77" w:rsidP="0019588C">
      <w:pPr>
        <w:spacing w:before="360" w:after="0"/>
        <w:rPr>
          <w:rFonts w:ascii="Century Gothic" w:hAnsi="Century Gothic"/>
          <w:b/>
          <w:bCs/>
          <w:sz w:val="26"/>
          <w:szCs w:val="26"/>
          <w:lang w:eastAsia="en-AU"/>
        </w:rPr>
      </w:pPr>
      <w:r w:rsidRPr="00FC1BF2" w:rsidDel="00317F26">
        <w:rPr>
          <w:rFonts w:ascii="Century Gothic" w:hAnsi="Century Gothic"/>
          <w:b/>
          <w:bCs/>
          <w:sz w:val="26"/>
          <w:szCs w:val="26"/>
          <w:lang w:eastAsia="en-AU"/>
        </w:rPr>
        <w:t>Governance</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t>Countries</w:t>
      </w:r>
      <w:r w:rsidRPr="00FC1BF2" w:rsidDel="00317F26">
        <w:rPr>
          <w:rFonts w:ascii="Century Gothic" w:eastAsia="Times New Roman" w:hAnsi="Century Gothic" w:cs="Times New Roman"/>
          <w:color w:val="595959" w:themeColor="text1" w:themeTint="A6"/>
          <w:sz w:val="22"/>
          <w:lang w:eastAsia="en-AU"/>
        </w:rPr>
        <w:t xml:space="preserve"> adhering to the OECD Guidelines have flexibility in organising their National Contact Points (NCPs) and in seeking the active support of social partners, including the business community, worker organisations, other non-governmental organisations, and other interested parties.</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t>Accordingly</w:t>
      </w:r>
      <w:r w:rsidRPr="00FC1BF2" w:rsidDel="00317F26">
        <w:rPr>
          <w:rFonts w:ascii="Century Gothic" w:eastAsia="Times New Roman" w:hAnsi="Century Gothic" w:cs="Times New Roman"/>
          <w:color w:val="595959" w:themeColor="text1" w:themeTint="A6"/>
          <w:sz w:val="22"/>
          <w:lang w:eastAsia="en-AU"/>
        </w:rPr>
        <w:t xml:space="preserve">, the OECD Guidelines stipulate that NCPs: </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will be composed and organised such that they provide an effective basis for dealing with the broad range of issues covered by the OECD Guidelines and enable the NCP to operate in an impartial manner while maintaining an adequate level of accountability to the adhering government;</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can use different forms of organisation to meet this objective. An NCP can consist </w:t>
      </w:r>
      <w:r w:rsidRPr="00FC1BF2" w:rsidDel="00317F26">
        <w:rPr>
          <w:rFonts w:ascii="Century Gothic" w:eastAsia="Times New Roman" w:hAnsi="Century Gothic" w:cs="Times New Roman"/>
          <w:color w:val="000000" w:themeColor="text1"/>
          <w:sz w:val="22"/>
          <w:lang w:eastAsia="en-AU"/>
        </w:rPr>
        <w:t>of</w:t>
      </w:r>
      <w:r w:rsidRPr="00FC1BF2" w:rsidDel="00317F26">
        <w:rPr>
          <w:rFonts w:ascii="Century Gothic" w:eastAsia="Times New Roman" w:hAnsi="Century Gothic" w:cs="Times New Roman"/>
          <w:color w:val="595959" w:themeColor="text1" w:themeTint="A6"/>
          <w:sz w:val="22"/>
          <w:lang w:eastAsia="en-AU"/>
        </w:rPr>
        <w:t xml:space="preserve"> senior representatives from one or more ministries, may be a senior government official or a government office headed by a senior official, be an interagency group, or one that contains independent experts. Representatives of the business community, worker organisations and other non-governmental organisations may also be included; and</w:t>
      </w:r>
    </w:p>
    <w:p w:rsidR="00FD6E77" w:rsidRPr="00FC1BF2" w:rsidDel="00317F26" w:rsidRDefault="00FD6E77" w:rsidP="006870C9">
      <w:pPr>
        <w:pStyle w:val="OutlineNumbered1"/>
        <w:numPr>
          <w:ilvl w:val="1"/>
          <w:numId w:val="10"/>
        </w:numPr>
        <w:spacing w:before="120" w:line="280" w:lineRule="exact"/>
        <w:ind w:left="1134" w:hanging="567"/>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will develop and maintain relations with representatives of the business </w:t>
      </w:r>
      <w:r w:rsidRPr="00FC1BF2" w:rsidDel="00317F26">
        <w:rPr>
          <w:rFonts w:ascii="Century Gothic" w:eastAsia="Times New Roman" w:hAnsi="Century Gothic" w:cs="Times New Roman"/>
          <w:color w:val="000000" w:themeColor="text1"/>
          <w:sz w:val="22"/>
          <w:lang w:eastAsia="en-AU"/>
        </w:rPr>
        <w:t>community</w:t>
      </w:r>
      <w:r w:rsidRPr="00FC1BF2" w:rsidDel="00317F26">
        <w:rPr>
          <w:rFonts w:ascii="Century Gothic" w:eastAsia="Times New Roman" w:hAnsi="Century Gothic" w:cs="Times New Roman"/>
          <w:color w:val="595959" w:themeColor="text1" w:themeTint="A6"/>
          <w:sz w:val="22"/>
          <w:lang w:eastAsia="en-AU"/>
        </w:rPr>
        <w:t>, worker organisations and other interested parties that are able to contribute to the effective functioning of the OECD Guidelines.</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The </w:t>
      </w:r>
      <w:hyperlink r:id="rId22" w:history="1">
        <w:r w:rsidRPr="00FC1BF2" w:rsidDel="00317F26">
          <w:rPr>
            <w:rFonts w:ascii="Century Gothic" w:eastAsia="Times New Roman" w:hAnsi="Century Gothic" w:cs="Times New Roman"/>
            <w:color w:val="595959" w:themeColor="text1" w:themeTint="A6"/>
            <w:sz w:val="22"/>
            <w:lang w:eastAsia="en-AU"/>
          </w:rPr>
          <w:t>AusNCP Governance and Advisory Board</w:t>
        </w:r>
      </w:hyperlink>
      <w:r w:rsidRPr="00FC1BF2" w:rsidDel="00317F26">
        <w:rPr>
          <w:rFonts w:ascii="Century Gothic" w:eastAsia="Times New Roman" w:hAnsi="Century Gothic" w:cs="Times New Roman"/>
          <w:color w:val="595959" w:themeColor="text1" w:themeTint="A6"/>
          <w:sz w:val="22"/>
          <w:lang w:eastAsia="en-AU"/>
        </w:rPr>
        <w:t xml:space="preserve"> (the Board), which includes non-</w:t>
      </w:r>
      <w:r w:rsidRPr="00FC1BF2" w:rsidDel="00317F26">
        <w:rPr>
          <w:rFonts w:ascii="Century Gothic" w:eastAsia="Times New Roman" w:hAnsi="Century Gothic" w:cs="Times New Roman"/>
          <w:color w:val="000000" w:themeColor="text1"/>
          <w:sz w:val="22"/>
          <w:lang w:eastAsia="en-AU"/>
        </w:rPr>
        <w:t>government</w:t>
      </w:r>
      <w:r w:rsidRPr="00FC1BF2" w:rsidDel="00317F26">
        <w:rPr>
          <w:rFonts w:ascii="Century Gothic" w:eastAsia="Times New Roman" w:hAnsi="Century Gothic" w:cs="Times New Roman"/>
          <w:color w:val="595959" w:themeColor="text1" w:themeTint="A6"/>
          <w:sz w:val="22"/>
          <w:lang w:eastAsia="en-AU"/>
        </w:rPr>
        <w:t xml:space="preserve"> members as well as representatives from key government agencies, provides advice and assistance to the AusNCP Secretariat in relation to the handling of complaints. The Board was consulted in the development of this statement. </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The Board helps to ensure that the AusNCP is visible, accessible, transparent and </w:t>
      </w:r>
      <w:r w:rsidRPr="00FC1BF2" w:rsidDel="00317F26">
        <w:rPr>
          <w:rFonts w:ascii="Century Gothic" w:eastAsia="Times New Roman" w:hAnsi="Century Gothic" w:cs="Times New Roman"/>
          <w:color w:val="000000" w:themeColor="text1"/>
          <w:sz w:val="22"/>
          <w:lang w:eastAsia="en-AU"/>
        </w:rPr>
        <w:t>accountable</w:t>
      </w:r>
      <w:r w:rsidRPr="00FC1BF2" w:rsidDel="00317F26">
        <w:rPr>
          <w:rFonts w:ascii="Century Gothic" w:eastAsia="Times New Roman" w:hAnsi="Century Gothic" w:cs="Times New Roman"/>
          <w:color w:val="595959" w:themeColor="text1" w:themeTint="A6"/>
          <w:sz w:val="22"/>
          <w:lang w:eastAsia="en-AU"/>
        </w:rPr>
        <w:t xml:space="preserve">, in accordance with its obligations under the OECD Guidelines for Multinational Enterprises. Members may be called on to conduct procedural reviews of AusNCP complaints and may be consulted on various operational and administrative matters as needed. </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000000" w:themeColor="text1"/>
          <w:sz w:val="22"/>
          <w:lang w:eastAsia="en-AU"/>
        </w:rPr>
        <w:t>Conflicts</w:t>
      </w:r>
      <w:r w:rsidRPr="00FC1BF2" w:rsidDel="00317F26">
        <w:rPr>
          <w:rFonts w:ascii="Century Gothic" w:eastAsia="Times New Roman" w:hAnsi="Century Gothic" w:cs="Times New Roman"/>
          <w:color w:val="595959" w:themeColor="text1" w:themeTint="A6"/>
          <w:sz w:val="22"/>
          <w:lang w:eastAsia="en-AU"/>
        </w:rPr>
        <w:t xml:space="preserve"> of interest are managed through the AusNCP Complaint Procedures and the Governance and Advisory Board Terms of Reference. Before assessing this complaint, </w:t>
      </w:r>
      <w:r w:rsidRPr="00FC1BF2" w:rsidDel="00317F26">
        <w:rPr>
          <w:rFonts w:ascii="Century Gothic" w:eastAsia="Times New Roman" w:hAnsi="Century Gothic" w:cs="Times New Roman"/>
          <w:color w:val="595959" w:themeColor="text1" w:themeTint="A6"/>
          <w:sz w:val="22"/>
          <w:lang w:eastAsia="en-AU"/>
        </w:rPr>
        <w:lastRenderedPageBreak/>
        <w:t>the Independent Examiner checked any actual or perceived conflicts of interest with the parties and received no objections.</w:t>
      </w:r>
    </w:p>
    <w:p w:rsidR="00FD6E77" w:rsidRPr="00FC1BF2" w:rsidDel="00317F26" w:rsidRDefault="00FD6E77"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FC1BF2" w:rsidDel="00317F26">
        <w:rPr>
          <w:rFonts w:ascii="Century Gothic" w:eastAsia="Times New Roman" w:hAnsi="Century Gothic" w:cs="Times New Roman"/>
          <w:color w:val="595959" w:themeColor="text1" w:themeTint="A6"/>
          <w:sz w:val="22"/>
          <w:lang w:eastAsia="en-AU"/>
        </w:rPr>
        <w:t xml:space="preserve">From </w:t>
      </w:r>
      <w:r w:rsidRPr="00FC1BF2" w:rsidDel="00317F26">
        <w:rPr>
          <w:rFonts w:ascii="Century Gothic" w:eastAsia="Times New Roman" w:hAnsi="Century Gothic" w:cs="Times New Roman"/>
          <w:color w:val="000000" w:themeColor="text1"/>
          <w:sz w:val="22"/>
          <w:lang w:eastAsia="en-AU"/>
        </w:rPr>
        <w:t>September</w:t>
      </w:r>
      <w:r w:rsidRPr="00FC1BF2" w:rsidDel="00317F26">
        <w:rPr>
          <w:rFonts w:ascii="Century Gothic" w:eastAsia="Times New Roman" w:hAnsi="Century Gothic" w:cs="Times New Roman"/>
          <w:color w:val="595959" w:themeColor="text1" w:themeTint="A6"/>
          <w:sz w:val="22"/>
          <w:lang w:eastAsia="en-AU"/>
        </w:rPr>
        <w:t xml:space="preserve"> 2019, all new cases are managed by an Independent Examiner, who is supported by the AusNCP Secretariat and the Board. The Australian National Contact Point, held by a Senior Executive official in the Treasury, retains responsibility for complaints submitted prior to September 2019.</w:t>
      </w:r>
    </w:p>
    <w:p w:rsidR="00D829C3" w:rsidRPr="00FC1BF2" w:rsidDel="00317F26" w:rsidRDefault="00D829C3" w:rsidP="00D829C3">
      <w:pPr>
        <w:pStyle w:val="OutlineNumbered1"/>
        <w:spacing w:before="240" w:line="280" w:lineRule="exact"/>
        <w:jc w:val="both"/>
        <w:rPr>
          <w:rFonts w:ascii="Century Gothic" w:eastAsia="Times New Roman" w:hAnsi="Century Gothic" w:cs="Times New Roman"/>
          <w:color w:val="595959" w:themeColor="text1" w:themeTint="A6"/>
          <w:sz w:val="22"/>
          <w:lang w:eastAsia="en-AU"/>
        </w:rPr>
      </w:pPr>
    </w:p>
    <w:p w:rsidR="00D829C3" w:rsidRPr="00FC1BF2" w:rsidRDefault="00D829C3" w:rsidP="00340C22">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18" w:name="_Toc54942652"/>
      <w:r w:rsidRPr="00FC1BF2">
        <w:rPr>
          <w:rFonts w:ascii="Calibri" w:eastAsia="Times New Roman" w:hAnsi="Calibri" w:cs="Arial"/>
          <w:b/>
          <w:iCs/>
          <w:color w:val="000000" w:themeColor="text1"/>
          <w:kern w:val="32"/>
          <w:sz w:val="36"/>
          <w:szCs w:val="36"/>
          <w:lang w:eastAsia="en-AU"/>
        </w:rPr>
        <w:t xml:space="preserve">Observations regarding </w:t>
      </w:r>
      <w:r w:rsidR="00B13762" w:rsidRPr="00FC1BF2">
        <w:rPr>
          <w:rFonts w:ascii="Calibri" w:eastAsia="Times New Roman" w:hAnsi="Calibri" w:cs="Arial"/>
          <w:b/>
          <w:iCs/>
          <w:color w:val="000000" w:themeColor="text1"/>
          <w:kern w:val="32"/>
          <w:sz w:val="36"/>
          <w:szCs w:val="36"/>
          <w:lang w:eastAsia="en-AU"/>
        </w:rPr>
        <w:t>Guidelines a</w:t>
      </w:r>
      <w:r w:rsidRPr="00FC1BF2">
        <w:rPr>
          <w:rFonts w:ascii="Calibri" w:eastAsia="Times New Roman" w:hAnsi="Calibri" w:cs="Arial"/>
          <w:b/>
          <w:iCs/>
          <w:color w:val="000000" w:themeColor="text1"/>
          <w:kern w:val="32"/>
          <w:sz w:val="36"/>
          <w:szCs w:val="36"/>
          <w:lang w:eastAsia="en-AU"/>
        </w:rPr>
        <w:t>ssessment criteria</w:t>
      </w:r>
      <w:bookmarkEnd w:id="18"/>
    </w:p>
    <w:p w:rsidR="006A7AAD" w:rsidRPr="00FC1BF2" w:rsidRDefault="006A7AAD" w:rsidP="00340C22">
      <w:pPr>
        <w:pStyle w:val="Heading3"/>
        <w:numPr>
          <w:ilvl w:val="0"/>
          <w:numId w:val="0"/>
        </w:numPr>
        <w:rPr>
          <w:rFonts w:asciiTheme="minorHAnsi" w:eastAsia="Times New Roman" w:hAnsiTheme="minorHAnsi" w:cstheme="minorHAnsi"/>
          <w:b w:val="0"/>
          <w:bCs w:val="0"/>
          <w:i/>
          <w:iCs/>
          <w:color w:val="000000" w:themeColor="text1"/>
          <w:sz w:val="36"/>
          <w:szCs w:val="36"/>
          <w:lang w:eastAsia="en-AU"/>
        </w:rPr>
      </w:pPr>
      <w:bookmarkStart w:id="19" w:name="_Toc34504300"/>
      <w:bookmarkStart w:id="20" w:name="_Toc54942653"/>
      <w:r w:rsidRPr="00FC1BF2">
        <w:rPr>
          <w:rFonts w:asciiTheme="minorHAnsi" w:eastAsia="Times New Roman" w:hAnsiTheme="minorHAnsi" w:cstheme="minorHAnsi"/>
          <w:b w:val="0"/>
          <w:bCs w:val="0"/>
          <w:i/>
          <w:iCs/>
          <w:color w:val="000000" w:themeColor="text1"/>
          <w:sz w:val="36"/>
          <w:szCs w:val="36"/>
          <w:lang w:eastAsia="en-AU"/>
        </w:rPr>
        <w:t>Criterion 1: Parties’ identities and interests</w:t>
      </w:r>
      <w:bookmarkEnd w:id="19"/>
      <w:bookmarkEnd w:id="20"/>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first admissibility criteria is ‘the identity of the party concerned and its interest in the matter’. The parties submitting a complaint ‘should have some interest in the matters they raise in their submissions’.</w:t>
      </w:r>
      <w:r w:rsidRPr="00FC1BF2">
        <w:rPr>
          <w:rStyle w:val="EndnoteReference"/>
          <w:rFonts w:ascii="Century Gothic" w:eastAsia="Times New Roman" w:hAnsi="Century Gothic" w:cs="Times New Roman"/>
          <w:color w:val="000000" w:themeColor="text1"/>
          <w:sz w:val="22"/>
          <w:lang w:eastAsia="en-AU"/>
        </w:rPr>
        <w:endnoteReference w:id="5"/>
      </w:r>
      <w:r w:rsidRPr="00FC1BF2">
        <w:rPr>
          <w:rFonts w:ascii="Century Gothic" w:eastAsia="Times New Roman" w:hAnsi="Century Gothic" w:cs="Times New Roman"/>
          <w:color w:val="000000" w:themeColor="text1"/>
          <w:sz w:val="22"/>
          <w:lang w:eastAsia="en-AU"/>
        </w:rPr>
        <w:t xml:space="preserve"> </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This criteria is present here.</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states FOE has engaged with ANZ for more than five years, through the project ‘MarketForces’ which ‘has campaigned ANZ to divest from fossil fuels and support Australia’s transition to a low carbon economy’. FOE, and its international associates, have long interest and involvement in carbon emissions, climate change and related business activities. Organisations which have a mandate or objectives related to issues in the OECD Guidelines may have the requisite interest.</w:t>
      </w:r>
      <w:r w:rsidRPr="00FC1BF2">
        <w:rPr>
          <w:rStyle w:val="EndnoteReference"/>
          <w:rFonts w:ascii="Century Gothic" w:eastAsia="Times New Roman" w:hAnsi="Century Gothic" w:cs="Times New Roman"/>
          <w:color w:val="000000" w:themeColor="text1"/>
          <w:sz w:val="22"/>
          <w:lang w:eastAsia="en-AU"/>
        </w:rPr>
        <w:endnoteReference w:id="6"/>
      </w:r>
      <w:r w:rsidRPr="00FC1BF2">
        <w:rPr>
          <w:rFonts w:ascii="Century Gothic" w:eastAsia="Times New Roman" w:hAnsi="Century Gothic" w:cs="Times New Roman"/>
          <w:color w:val="000000" w:themeColor="text1"/>
          <w:sz w:val="22"/>
          <w:lang w:eastAsia="en-AU"/>
        </w:rPr>
        <w:t xml:space="preserve"> FOE has a legitimate interest in this Complaint.</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is also made by three individuals who described their properties as lost or badly burnt by fires in 2019 (in ‘catastrophic Australian bushfires’) and 2018 (in ‘fire due to unprecedented weather conditions which fanned sparks from power lines’). The Complaint does not explain the interest(s) which these property owners have in ANZ’s disclosure practices, environmental standards and application of due diligence principles. However, the Complaint asserts ANZ’s financing of fossil fuels has ‘indirect environmental impact’ and repeatedly refers to the ‘Bank’s climate impact’.</w:t>
      </w:r>
    </w:p>
    <w:p w:rsidR="006A7AAD" w:rsidRPr="00FC1BF2" w:rsidRDefault="006A7AAD" w:rsidP="00340C22">
      <w:pPr>
        <w:pStyle w:val="Heading3"/>
        <w:numPr>
          <w:ilvl w:val="0"/>
          <w:numId w:val="0"/>
        </w:numPr>
        <w:rPr>
          <w:rFonts w:asciiTheme="minorHAnsi" w:eastAsia="Times New Roman" w:hAnsiTheme="minorHAnsi" w:cstheme="minorHAnsi"/>
          <w:b w:val="0"/>
          <w:bCs w:val="0"/>
          <w:i/>
          <w:iCs/>
          <w:color w:val="000000" w:themeColor="text1"/>
          <w:sz w:val="36"/>
          <w:szCs w:val="36"/>
          <w:lang w:eastAsia="en-AU"/>
        </w:rPr>
      </w:pPr>
      <w:bookmarkStart w:id="21" w:name="_Toc34504301"/>
      <w:bookmarkStart w:id="22" w:name="_Toc54942654"/>
      <w:r w:rsidRPr="00FC1BF2">
        <w:rPr>
          <w:rFonts w:asciiTheme="minorHAnsi" w:eastAsia="Times New Roman" w:hAnsiTheme="minorHAnsi" w:cstheme="minorHAnsi"/>
          <w:b w:val="0"/>
          <w:bCs w:val="0"/>
          <w:i/>
          <w:iCs/>
          <w:color w:val="000000" w:themeColor="text1"/>
          <w:sz w:val="36"/>
          <w:szCs w:val="36"/>
          <w:lang w:eastAsia="en-AU"/>
        </w:rPr>
        <w:t>Criterion 2: Is the issue material and substantiated?</w:t>
      </w:r>
      <w:bookmarkEnd w:id="21"/>
      <w:bookmarkEnd w:id="22"/>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second of the admissibility criteria is ‘whether the issue is material and substantiated’, assessing whether ‘the issues are plausible and related to the application of the OECD Guidelines, and that there is a plausible link between the enterprise’s activities and the issues raised’.</w:t>
      </w:r>
      <w:r w:rsidRPr="00FC1BF2">
        <w:rPr>
          <w:rStyle w:val="EndnoteReference"/>
          <w:rFonts w:ascii="Century Gothic" w:eastAsia="Times New Roman" w:hAnsi="Century Gothic" w:cs="Times New Roman"/>
          <w:color w:val="000000" w:themeColor="text1"/>
          <w:sz w:val="22"/>
          <w:lang w:eastAsia="en-AU"/>
        </w:rPr>
        <w:endnoteReference w:id="7"/>
      </w:r>
      <w:r w:rsidRPr="00FC1BF2">
        <w:rPr>
          <w:rFonts w:ascii="Century Gothic" w:eastAsia="Times New Roman" w:hAnsi="Century Gothic" w:cs="Times New Roman"/>
          <w:color w:val="000000" w:themeColor="text1"/>
          <w:sz w:val="22"/>
          <w:lang w:eastAsia="en-AU"/>
        </w:rPr>
        <w:t xml:space="preserve"> The materiality of issues is assessed against the recommendations and standards of the OECD Guidelines, not in relation to Australian law.</w:t>
      </w:r>
      <w:r w:rsidRPr="00FC1BF2">
        <w:rPr>
          <w:rStyle w:val="EndnoteReference"/>
          <w:rFonts w:ascii="Century Gothic" w:eastAsia="Times New Roman" w:hAnsi="Century Gothic" w:cs="Times New Roman"/>
          <w:color w:val="000000" w:themeColor="text1"/>
          <w:sz w:val="22"/>
          <w:lang w:eastAsia="en-AU"/>
        </w:rPr>
        <w:endnoteReference w:id="8"/>
      </w:r>
      <w:r w:rsidRPr="00FC1BF2">
        <w:rPr>
          <w:rFonts w:ascii="Century Gothic" w:eastAsia="Times New Roman" w:hAnsi="Century Gothic" w:cs="Times New Roman"/>
          <w:color w:val="000000" w:themeColor="text1"/>
          <w:sz w:val="22"/>
          <w:lang w:eastAsia="en-AU"/>
        </w:rPr>
        <w:t xml:space="preserve"> There is no need, at the initial assessment stage, for a complaint to provide formal evidence of a causal link between the enterprise and the issues.</w:t>
      </w:r>
      <w:r w:rsidRPr="00FC1BF2">
        <w:rPr>
          <w:rStyle w:val="EndnoteReference"/>
          <w:rFonts w:ascii="Century Gothic" w:eastAsia="Times New Roman" w:hAnsi="Century Gothic" w:cs="Times New Roman"/>
          <w:color w:val="000000" w:themeColor="text1"/>
          <w:sz w:val="22"/>
          <w:lang w:eastAsia="en-AU"/>
        </w:rPr>
        <w:endnoteReference w:id="9"/>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lodged in January 2020, referenced an ANZ ‘Climate Change Statement of February 2019.</w:t>
      </w:r>
      <w:r w:rsidRPr="00FC1BF2">
        <w:rPr>
          <w:rFonts w:ascii="Century Gothic" w:hAnsi="Century Gothic"/>
          <w:color w:val="000000" w:themeColor="text1"/>
          <w:sz w:val="22"/>
          <w:vertAlign w:val="superscript"/>
        </w:rPr>
        <w:endnoteReference w:id="10"/>
      </w:r>
      <w:r w:rsidRPr="00FC1BF2">
        <w:rPr>
          <w:rFonts w:ascii="Century Gothic" w:eastAsia="Times New Roman" w:hAnsi="Century Gothic" w:cs="Times New Roman"/>
          <w:color w:val="000000" w:themeColor="text1"/>
          <w:sz w:val="22"/>
          <w:lang w:eastAsia="en-AU"/>
        </w:rPr>
        <w:t xml:space="preserve"> ANZ has a, publicly available, updated statement from 1 October 2019,</w:t>
      </w:r>
      <w:bookmarkStart w:id="23" w:name="_Ref35359150"/>
      <w:r w:rsidRPr="00FC1BF2">
        <w:rPr>
          <w:rStyle w:val="EndnoteReference"/>
          <w:rFonts w:ascii="Century Gothic" w:eastAsia="Times New Roman" w:hAnsi="Century Gothic" w:cs="Times New Roman"/>
          <w:color w:val="000000" w:themeColor="text1"/>
          <w:sz w:val="22"/>
          <w:lang w:eastAsia="en-AU"/>
        </w:rPr>
        <w:endnoteReference w:id="11"/>
      </w:r>
      <w:bookmarkEnd w:id="23"/>
      <w:r w:rsidRPr="00FC1BF2">
        <w:rPr>
          <w:rFonts w:ascii="Century Gothic" w:eastAsia="Times New Roman" w:hAnsi="Century Gothic" w:cs="Times New Roman"/>
          <w:color w:val="000000" w:themeColor="text1"/>
          <w:sz w:val="22"/>
          <w:lang w:eastAsia="en-AU"/>
        </w:rPr>
        <w:t xml:space="preserve"> and that has been used in assessing the Complaint.</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24" w:name="_Ref35343864"/>
      <w:r w:rsidRPr="00FC1BF2">
        <w:rPr>
          <w:rFonts w:ascii="Century Gothic" w:eastAsia="Times New Roman" w:hAnsi="Century Gothic" w:cs="Times New Roman"/>
          <w:color w:val="000000" w:themeColor="text1"/>
          <w:sz w:val="22"/>
          <w:lang w:eastAsia="en-AU"/>
        </w:rPr>
        <w:lastRenderedPageBreak/>
        <w:t>The OECD Guidelines do not explicitly mention ‘climate change’ but there is brief reference to GHG ‘emissions’,</w:t>
      </w:r>
      <w:r w:rsidRPr="00FC1BF2">
        <w:rPr>
          <w:rStyle w:val="EndnoteReference"/>
          <w:rFonts w:ascii="Century Gothic" w:eastAsia="Times New Roman" w:hAnsi="Century Gothic" w:cs="Times New Roman"/>
          <w:color w:val="000000" w:themeColor="text1"/>
          <w:sz w:val="22"/>
          <w:lang w:eastAsia="en-AU"/>
        </w:rPr>
        <w:endnoteReference w:id="12"/>
      </w:r>
      <w:r w:rsidRPr="00FC1BF2">
        <w:rPr>
          <w:rFonts w:ascii="Century Gothic" w:eastAsia="Times New Roman" w:hAnsi="Century Gothic" w:cs="Times New Roman"/>
          <w:color w:val="000000" w:themeColor="text1"/>
          <w:sz w:val="22"/>
          <w:lang w:eastAsia="en-AU"/>
        </w:rPr>
        <w:t xml:space="preserve"> and these issues should be part of a company’s due diligence, particularly in relation to potential environmental and human rights impacts.</w:t>
      </w:r>
      <w:bookmarkStart w:id="25" w:name="_Ref35508459"/>
      <w:r w:rsidRPr="00FC1BF2">
        <w:rPr>
          <w:rStyle w:val="EndnoteReference"/>
          <w:rFonts w:ascii="Century Gothic" w:eastAsia="Times New Roman" w:hAnsi="Century Gothic" w:cs="Times New Roman"/>
          <w:color w:val="000000" w:themeColor="text1"/>
          <w:sz w:val="22"/>
          <w:lang w:eastAsia="en-AU"/>
        </w:rPr>
        <w:endnoteReference w:id="13"/>
      </w:r>
      <w:bookmarkEnd w:id="25"/>
      <w:r w:rsidRPr="00FC1BF2">
        <w:rPr>
          <w:rFonts w:ascii="Century Gothic" w:eastAsia="Times New Roman" w:hAnsi="Century Gothic" w:cs="Times New Roman"/>
          <w:color w:val="000000" w:themeColor="text1"/>
          <w:sz w:val="22"/>
          <w:lang w:eastAsia="en-AU"/>
        </w:rPr>
        <w:t xml:space="preserve"> At the 2019 Conference of the Parties (meeting regarding the UN Framework Convention on Climate Change), the OECD and UN Climate Change convened a meeting </w:t>
      </w:r>
      <w:r w:rsidRPr="00FC1BF2">
        <w:rPr>
          <w:rFonts w:ascii="Century Gothic" w:eastAsia="Times New Roman" w:hAnsi="Century Gothic" w:cs="Times New Roman"/>
          <w:i/>
          <w:iCs/>
          <w:color w:val="000000" w:themeColor="text1"/>
          <w:sz w:val="22"/>
          <w:lang w:eastAsia="en-AU"/>
        </w:rPr>
        <w:t>on Global Climate Action and Responsible Business Conduct</w:t>
      </w:r>
      <w:r w:rsidRPr="00FC1BF2">
        <w:rPr>
          <w:rFonts w:ascii="Century Gothic" w:eastAsia="Times New Roman" w:hAnsi="Century Gothic" w:cs="Times New Roman"/>
          <w:color w:val="000000" w:themeColor="text1"/>
          <w:sz w:val="22"/>
          <w:lang w:eastAsia="en-AU"/>
        </w:rPr>
        <w:t>. The Background Note, published by the OECD Secretariat, emphasised the significance of these matters.</w:t>
      </w:r>
      <w:bookmarkEnd w:id="24"/>
    </w:p>
    <w:p w:rsidR="006A7AAD" w:rsidRPr="00FC1BF2" w:rsidRDefault="006A7AAD" w:rsidP="006A7AAD">
      <w:pPr>
        <w:pStyle w:val="OutlineNumbered1"/>
        <w:spacing w:before="240" w:line="280" w:lineRule="exact"/>
        <w:ind w:left="1134"/>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i/>
          <w:iCs/>
          <w:color w:val="000000" w:themeColor="text1"/>
          <w:sz w:val="22"/>
          <w:lang w:eastAsia="en-AU"/>
        </w:rPr>
        <w:t>The latest UNEP Emissions Gap Report 2019 indicates that global greenhouse gas emissions require reductions of 7.6% annually if the Paris Agreement’s target of pursuing a below 1.5 degrees Celsius increase in temperature rise is to be met. Currently we are on a trajectory for a 3.2 degrees Celsius temperature rise, which will have catastrophic consequences for people and the planet. There remains an urgent need for collective action requiring necessary and unprecedented leadership from not just governments but also the private sector. On the part of the private sector, this means ambitious mitigation action to reduce greenhouse gas (GHG) emissions and thereby the adverse climate related impacts of their operations, on people and the planet.</w:t>
      </w:r>
      <w:bookmarkStart w:id="26" w:name="_Ref35510094"/>
      <w:r w:rsidRPr="00FC1BF2">
        <w:rPr>
          <w:rStyle w:val="EndnoteReference"/>
          <w:rFonts w:ascii="Century Gothic" w:eastAsia="Times New Roman" w:hAnsi="Century Gothic" w:cs="Times New Roman"/>
          <w:i/>
          <w:iCs/>
          <w:color w:val="000000" w:themeColor="text1"/>
          <w:sz w:val="22"/>
          <w:lang w:eastAsia="en-AU"/>
        </w:rPr>
        <w:endnoteReference w:id="14"/>
      </w:r>
      <w:bookmarkEnd w:id="26"/>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These matters are also sufficiently substantiated through the explanations in the Complaint. Accordingly, the issues are sufficiently material and substantiated for the purposes of the complaints process of the OECD Guidelines.</w:t>
      </w:r>
    </w:p>
    <w:p w:rsidR="006A7AAD" w:rsidRPr="00FC1BF2" w:rsidRDefault="006A7AAD" w:rsidP="00340C22">
      <w:pPr>
        <w:pStyle w:val="Heading3"/>
        <w:numPr>
          <w:ilvl w:val="0"/>
          <w:numId w:val="0"/>
        </w:numPr>
        <w:rPr>
          <w:rFonts w:asciiTheme="minorHAnsi" w:eastAsia="Times New Roman" w:hAnsiTheme="minorHAnsi" w:cstheme="minorHAnsi"/>
          <w:b w:val="0"/>
          <w:bCs w:val="0"/>
          <w:i/>
          <w:iCs/>
          <w:color w:val="000000" w:themeColor="text1"/>
          <w:sz w:val="36"/>
          <w:szCs w:val="36"/>
          <w:lang w:eastAsia="en-AU"/>
        </w:rPr>
      </w:pPr>
      <w:bookmarkStart w:id="27" w:name="_Toc34504302"/>
      <w:bookmarkStart w:id="28" w:name="_Toc54942655"/>
      <w:r w:rsidRPr="00FC1BF2">
        <w:rPr>
          <w:rFonts w:asciiTheme="minorHAnsi" w:eastAsia="Times New Roman" w:hAnsiTheme="minorHAnsi" w:cstheme="minorHAnsi"/>
          <w:b w:val="0"/>
          <w:bCs w:val="0"/>
          <w:i/>
          <w:iCs/>
          <w:color w:val="000000" w:themeColor="text1"/>
          <w:sz w:val="36"/>
          <w:szCs w:val="36"/>
          <w:lang w:eastAsia="en-AU"/>
        </w:rPr>
        <w:t>Criterion 3: Link between the enterprise’s activities and the issue</w:t>
      </w:r>
      <w:bookmarkEnd w:id="27"/>
      <w:bookmarkEnd w:id="28"/>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third criteria to be examined is ‘whether there seems to be a link between the enterprise’s activities and the issue raised in the complaint’. The term ‘issue’, in examining a complaint, is limited to the provisions of the OECD Guidelines because issues which do not concern the chapters of the Guidelines are outside the scope of what an NCP can address.</w:t>
      </w:r>
      <w:r w:rsidRPr="00FC1BF2">
        <w:rPr>
          <w:rStyle w:val="EndnoteReference"/>
          <w:rFonts w:ascii="Century Gothic" w:eastAsia="Times New Roman" w:hAnsi="Century Gothic" w:cs="Times New Roman"/>
          <w:color w:val="000000" w:themeColor="text1"/>
          <w:sz w:val="22"/>
          <w:lang w:eastAsia="en-AU"/>
        </w:rPr>
        <w:endnoteReference w:id="15"/>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As the Notifiers acknowledge, the OECD’s ‘Due Diligence for Responsible Corporate Lending and Securities Underwriting’ is relevant. That document advised the following.</w:t>
      </w:r>
    </w:p>
    <w:p w:rsidR="006A7AAD" w:rsidRPr="00FC1BF2" w:rsidRDefault="006A7AAD" w:rsidP="006A7AAD">
      <w:pPr>
        <w:pStyle w:val="OutlineNumbered1"/>
        <w:spacing w:before="120" w:line="280" w:lineRule="exact"/>
        <w:ind w:left="1134"/>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For adverse impacts that are collective, diffuse and transboundary in nature such as climate change, a more nuanced analysis may be needed to understand the relationship between financing and the specific activities of the client causing harm.</w:t>
      </w:r>
      <w:r w:rsidRPr="00FC1BF2">
        <w:rPr>
          <w:rFonts w:ascii="Century Gothic" w:hAnsi="Century Gothic"/>
          <w:color w:val="000000" w:themeColor="text1"/>
          <w:sz w:val="22"/>
          <w:vertAlign w:val="superscript"/>
        </w:rPr>
        <w:endnoteReference w:id="16"/>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raises multiple issues and it is necessary to consider each. As against ANZ, there are four types of claim.</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b/>
          <w:bCs/>
          <w:color w:val="000000" w:themeColor="text1"/>
          <w:sz w:val="22"/>
          <w:lang w:eastAsia="en-AU"/>
        </w:rPr>
        <w:t>Disclosure claims</w:t>
      </w:r>
      <w:r w:rsidRPr="00FC1BF2">
        <w:rPr>
          <w:rFonts w:ascii="Century Gothic" w:eastAsia="Times New Roman" w:hAnsi="Century Gothic" w:cs="Times New Roman"/>
          <w:color w:val="000000" w:themeColor="text1"/>
          <w:sz w:val="22"/>
          <w:lang w:eastAsia="en-AU"/>
        </w:rPr>
        <w:t>, in which the Notifiers request ANZ disclose ‘greenhouse gas emissions [presumably from the bank itself as well as], including indirect emissions resulting from business lending and investment’. There is a sufficient link between ANZ’s activities and this issue. The information ANZ chooses to publish, or maintain to itself, is wholly within its control, and the OECD Guidelines encourage examination and publication of an enterprise’s environmental impact, and particularly disclosure regarding GHG.</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b/>
          <w:bCs/>
          <w:color w:val="000000" w:themeColor="text1"/>
          <w:sz w:val="22"/>
          <w:lang w:eastAsia="en-AU"/>
        </w:rPr>
        <w:t>Divestment claims</w:t>
      </w:r>
      <w:r w:rsidRPr="00FC1BF2">
        <w:rPr>
          <w:rFonts w:ascii="Century Gothic" w:eastAsia="Times New Roman" w:hAnsi="Century Gothic" w:cs="Times New Roman"/>
          <w:color w:val="000000" w:themeColor="text1"/>
          <w:sz w:val="22"/>
          <w:lang w:eastAsia="en-AU"/>
        </w:rPr>
        <w:t xml:space="preserve">, encompassing the Notifier’s requests for ANZ to divest / phase out / reduce its investment in coal and fossil fuel industries; and also to </w:t>
      </w:r>
      <w:r w:rsidRPr="00FC1BF2">
        <w:rPr>
          <w:rFonts w:ascii="Century Gothic" w:eastAsia="Times New Roman" w:hAnsi="Century Gothic" w:cs="Times New Roman"/>
          <w:color w:val="000000" w:themeColor="text1"/>
          <w:sz w:val="22"/>
          <w:lang w:eastAsia="en-AU"/>
        </w:rPr>
        <w:lastRenderedPageBreak/>
        <w:t xml:space="preserve">‘disclose which investments ... need to be divested from in order to meet the Paris Agreement goals’. This aspect of the Complaint is framed by reference to an end (investment in fossil fuel projects) rather than impacts and ANZ’s due-diligence / remediation regarding those impacts. As noted above, analysis of ‘adverse impacts [involves] understanding the relationship between the financing </w:t>
      </w:r>
      <w:r w:rsidRPr="00FC1BF2">
        <w:rPr>
          <w:rFonts w:ascii="Century Gothic" w:eastAsia="Times New Roman" w:hAnsi="Century Gothic" w:cs="Times New Roman"/>
          <w:i/>
          <w:iCs/>
          <w:color w:val="000000" w:themeColor="text1"/>
          <w:sz w:val="22"/>
          <w:lang w:eastAsia="en-AU"/>
        </w:rPr>
        <w:t>and the specific activities of the client</w:t>
      </w:r>
      <w:r w:rsidRPr="00FC1BF2">
        <w:rPr>
          <w:rFonts w:ascii="Century Gothic" w:eastAsia="Times New Roman" w:hAnsi="Century Gothic" w:cs="Times New Roman"/>
          <w:color w:val="000000" w:themeColor="text1"/>
          <w:sz w:val="22"/>
          <w:lang w:eastAsia="en-AU"/>
        </w:rPr>
        <w:t xml:space="preserve"> causing harm’.</w:t>
      </w:r>
      <w:r w:rsidRPr="00FC1BF2">
        <w:rPr>
          <w:rStyle w:val="EndnoteReference"/>
          <w:rFonts w:ascii="Century Gothic" w:eastAsia="Times New Roman" w:hAnsi="Century Gothic" w:cs="Times New Roman"/>
          <w:color w:val="000000" w:themeColor="text1"/>
          <w:sz w:val="22"/>
          <w:lang w:eastAsia="en-AU"/>
        </w:rPr>
        <w:endnoteReference w:id="17"/>
      </w:r>
      <w:r w:rsidRPr="00FC1BF2">
        <w:rPr>
          <w:rFonts w:ascii="Century Gothic" w:eastAsia="Times New Roman" w:hAnsi="Century Gothic" w:cs="Times New Roman"/>
          <w:color w:val="000000" w:themeColor="text1"/>
          <w:sz w:val="22"/>
          <w:lang w:eastAsia="en-AU"/>
        </w:rPr>
        <w:t xml:space="preserve"> This aspect of the Complaint is not about particular ANZ clients or business relations; nor of measures ANZ has taken (or neglected) regarding particular impacts related to those clients. Rather, the Complaint focusses on </w:t>
      </w:r>
      <w:r w:rsidRPr="00FC1BF2">
        <w:rPr>
          <w:rFonts w:ascii="Century Gothic" w:eastAsia="Times New Roman" w:hAnsi="Century Gothic" w:cs="Times New Roman"/>
          <w:i/>
          <w:iCs/>
          <w:color w:val="000000" w:themeColor="text1"/>
          <w:sz w:val="22"/>
          <w:lang w:eastAsia="en-AU"/>
        </w:rPr>
        <w:t>any</w:t>
      </w:r>
      <w:r w:rsidRPr="00FC1BF2">
        <w:rPr>
          <w:rFonts w:ascii="Century Gothic" w:eastAsia="Times New Roman" w:hAnsi="Century Gothic" w:cs="Times New Roman"/>
          <w:color w:val="000000" w:themeColor="text1"/>
          <w:sz w:val="22"/>
          <w:lang w:eastAsia="en-AU"/>
        </w:rPr>
        <w:t xml:space="preserve"> connection to fossil fuel. As explained under the following criteria,</w:t>
      </w:r>
      <w:r w:rsidRPr="00FC1BF2">
        <w:rPr>
          <w:rStyle w:val="EndnoteReference"/>
          <w:rFonts w:ascii="Century Gothic" w:eastAsia="Times New Roman" w:hAnsi="Century Gothic" w:cs="Times New Roman"/>
          <w:color w:val="000000" w:themeColor="text1"/>
          <w:sz w:val="22"/>
          <w:lang w:eastAsia="en-AU"/>
        </w:rPr>
        <w:endnoteReference w:id="18"/>
      </w:r>
      <w:r w:rsidRPr="00FC1BF2">
        <w:rPr>
          <w:rFonts w:ascii="Century Gothic" w:eastAsia="Times New Roman" w:hAnsi="Century Gothic" w:cs="Times New Roman"/>
          <w:color w:val="000000" w:themeColor="text1"/>
          <w:sz w:val="22"/>
          <w:lang w:eastAsia="en-AU"/>
        </w:rPr>
        <w:t xml:space="preserve"> the OECD Guidelines do not approach responsible business conduct and fossil fuel simply in terms of connection or exclusion. Separation from fossil fuel is not an expectation of the OECD Guidelines. There is, therefore, insufficient connection between these (divestment) aspects of the Complaint about ANZ and an issue within the OECD Guidelines.</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b/>
          <w:bCs/>
          <w:color w:val="000000" w:themeColor="text1"/>
          <w:sz w:val="22"/>
          <w:lang w:eastAsia="en-AU"/>
        </w:rPr>
        <w:t>Target-setting claims</w:t>
      </w:r>
      <w:r w:rsidRPr="00FC1BF2">
        <w:rPr>
          <w:rFonts w:ascii="Century Gothic" w:eastAsia="Times New Roman" w:hAnsi="Century Gothic" w:cs="Times New Roman"/>
          <w:color w:val="000000" w:themeColor="text1"/>
          <w:sz w:val="22"/>
          <w:lang w:eastAsia="en-AU"/>
        </w:rPr>
        <w:t xml:space="preserve">, are those where the Complaint references targets ‘in line with the Paris Agreement’. This is similar to the disclosure claims. There is a sufficient link between ANZ’s activities and issues arising under the OECD Guidelines (such as providing ‘adequate, measurable and verifiable ... information on the potential environment, health and safety impacts of the activities of the enterprise’). </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b/>
          <w:bCs/>
          <w:color w:val="000000" w:themeColor="text1"/>
          <w:sz w:val="22"/>
          <w:lang w:eastAsia="en-AU"/>
        </w:rPr>
        <w:t>Scenario-analysis claims,</w:t>
      </w:r>
      <w:r w:rsidRPr="00FC1BF2">
        <w:rPr>
          <w:rFonts w:ascii="Century Gothic" w:eastAsia="Times New Roman" w:hAnsi="Century Gothic" w:cs="Times New Roman"/>
          <w:color w:val="000000" w:themeColor="text1"/>
          <w:sz w:val="22"/>
          <w:lang w:eastAsia="en-AU"/>
        </w:rPr>
        <w:t xml:space="preserve"> entailing the Complaint’s focus on ‘climate-related scenario analysis’. The Notifiers suggests that climate-related scenario analysis is ‘a commonly accepted way to’ conduct adequate due diligence required by the OECD Guidelines. Like the disclosure claims, there is a sufficient link between ANZ’s activities and issues arising under the OECD Guidelines.</w:t>
      </w:r>
    </w:p>
    <w:p w:rsidR="006A7AAD" w:rsidRPr="00FC1BF2" w:rsidRDefault="006A7AAD" w:rsidP="00340C22">
      <w:pPr>
        <w:pStyle w:val="Heading3"/>
        <w:numPr>
          <w:ilvl w:val="0"/>
          <w:numId w:val="0"/>
        </w:numPr>
        <w:rPr>
          <w:rFonts w:asciiTheme="minorHAnsi" w:eastAsia="Times New Roman" w:hAnsiTheme="minorHAnsi" w:cstheme="minorHAnsi"/>
          <w:b w:val="0"/>
          <w:bCs w:val="0"/>
          <w:i/>
          <w:iCs/>
          <w:color w:val="000000" w:themeColor="text1"/>
          <w:sz w:val="36"/>
          <w:szCs w:val="36"/>
          <w:lang w:eastAsia="en-AU"/>
        </w:rPr>
      </w:pPr>
      <w:bookmarkStart w:id="29" w:name="_Ref33994374"/>
      <w:bookmarkStart w:id="30" w:name="_Ref33994389"/>
      <w:bookmarkStart w:id="31" w:name="_Toc34504303"/>
      <w:bookmarkStart w:id="32" w:name="_Toc54942656"/>
      <w:r w:rsidRPr="00FC1BF2">
        <w:rPr>
          <w:rFonts w:asciiTheme="minorHAnsi" w:eastAsia="Times New Roman" w:hAnsiTheme="minorHAnsi" w:cstheme="minorHAnsi"/>
          <w:b w:val="0"/>
          <w:bCs w:val="0"/>
          <w:i/>
          <w:iCs/>
          <w:color w:val="000000" w:themeColor="text1"/>
          <w:sz w:val="36"/>
          <w:szCs w:val="36"/>
          <w:lang w:eastAsia="en-AU"/>
        </w:rPr>
        <w:t>Criterion 4: Applicable law and procedures</w:t>
      </w:r>
      <w:bookmarkEnd w:id="29"/>
      <w:bookmarkEnd w:id="30"/>
      <w:bookmarkEnd w:id="31"/>
      <w:bookmarkEnd w:id="32"/>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relevance of applicable law and procedures, including court rulings’ is the fourth of the admissibility criteria.</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Complaint identifies the Paris Agreement as ‘the most relevant and current international standard’. The terms of the Paris Agreement were finalised in December 2015.</w:t>
      </w:r>
      <w:r w:rsidRPr="00FC1BF2">
        <w:rPr>
          <w:rStyle w:val="EndnoteReference"/>
          <w:rFonts w:ascii="Century Gothic" w:eastAsia="Times New Roman" w:hAnsi="Century Gothic" w:cs="Times New Roman"/>
          <w:color w:val="000000" w:themeColor="text1"/>
          <w:sz w:val="22"/>
          <w:lang w:eastAsia="en-AU"/>
        </w:rPr>
        <w:endnoteReference w:id="19"/>
      </w:r>
      <w:r w:rsidRPr="00FC1BF2">
        <w:rPr>
          <w:rFonts w:ascii="Century Gothic" w:eastAsia="Times New Roman" w:hAnsi="Century Gothic" w:cs="Times New Roman"/>
          <w:color w:val="000000" w:themeColor="text1"/>
          <w:sz w:val="22"/>
          <w:lang w:eastAsia="en-AU"/>
        </w:rPr>
        <w:t xml:space="preserve"> That agreement seeks to address climate change by limiting increases in global average temperature, and its main legal mechanism is each nation state committing Nationally Determined Contributions (or </w:t>
      </w:r>
      <w:r w:rsidRPr="00FC1BF2">
        <w:rPr>
          <w:rFonts w:ascii="Century Gothic" w:eastAsia="Times New Roman" w:hAnsi="Century Gothic" w:cs="Times New Roman"/>
          <w:b/>
          <w:bCs/>
          <w:color w:val="000000" w:themeColor="text1"/>
          <w:sz w:val="22"/>
          <w:lang w:eastAsia="en-AU"/>
        </w:rPr>
        <w:t>NDC</w:t>
      </w:r>
      <w:r w:rsidRPr="00FC1BF2">
        <w:rPr>
          <w:rFonts w:ascii="Century Gothic" w:eastAsia="Times New Roman" w:hAnsi="Century Gothic" w:cs="Times New Roman"/>
          <w:color w:val="000000" w:themeColor="text1"/>
          <w:sz w:val="22"/>
          <w:lang w:eastAsia="en-AU"/>
        </w:rPr>
        <w:t>s). NDCs specify the nation’s plan for addressing climate change including a target for reducing GHG emissions and how that target will be achieved. Australia’s NDC involves reducing GHG ‘emissions to 26–28 per cent on 2005 levels by 2030’.</w:t>
      </w:r>
      <w:r w:rsidRPr="00FC1BF2">
        <w:rPr>
          <w:rStyle w:val="EndnoteReference"/>
          <w:rFonts w:ascii="Century Gothic" w:eastAsia="Times New Roman" w:hAnsi="Century Gothic" w:cs="Times New Roman"/>
          <w:color w:val="000000" w:themeColor="text1"/>
          <w:sz w:val="22"/>
          <w:lang w:eastAsia="en-AU"/>
        </w:rPr>
        <w:endnoteReference w:id="20"/>
      </w:r>
      <w:r w:rsidRPr="00FC1BF2">
        <w:rPr>
          <w:rFonts w:ascii="Century Gothic" w:eastAsia="Times New Roman" w:hAnsi="Century Gothic" w:cs="Times New Roman"/>
          <w:color w:val="000000" w:themeColor="text1"/>
          <w:sz w:val="22"/>
          <w:lang w:eastAsia="en-AU"/>
        </w:rPr>
        <w:t xml:space="preserve"> The Paris Agreement does not, in its text, contain obligations or targets for business, and there are various ways in which companies have responded.</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33" w:name="_Ref35509602"/>
      <w:r w:rsidRPr="00FC1BF2">
        <w:rPr>
          <w:rFonts w:ascii="Century Gothic" w:eastAsia="Times New Roman" w:hAnsi="Century Gothic" w:cs="Times New Roman"/>
          <w:color w:val="000000" w:themeColor="text1"/>
          <w:sz w:val="22"/>
          <w:lang w:eastAsia="en-AU"/>
        </w:rPr>
        <w:t>The OECD Guidelines do not mention ‘climate change’. GHG emissions feature in only two paragraphs, which is the Environmental requirements in Ch VI:</w:t>
      </w:r>
      <w:bookmarkEnd w:id="33"/>
    </w:p>
    <w:p w:rsidR="006A7AAD" w:rsidRPr="00FC1BF2" w:rsidRDefault="006A7AAD" w:rsidP="006A7AAD">
      <w:pPr>
        <w:pStyle w:val="OutlineNumbered1"/>
        <w:spacing w:before="120" w:line="280" w:lineRule="exact"/>
        <w:ind w:left="1134" w:hanging="283"/>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‘6 ...[</w:t>
      </w:r>
      <w:r w:rsidRPr="00FC1BF2">
        <w:rPr>
          <w:rFonts w:ascii="Century Gothic" w:eastAsia="Times New Roman" w:hAnsi="Century Gothic" w:cs="Times New Roman"/>
          <w:b/>
          <w:bCs/>
          <w:i/>
          <w:iCs/>
          <w:color w:val="000000" w:themeColor="text1"/>
          <w:sz w:val="22"/>
          <w:lang w:eastAsia="en-AU"/>
        </w:rPr>
        <w:t xml:space="preserve">E]nterprises should </w:t>
      </w:r>
      <w:r w:rsidRPr="00FC1BF2">
        <w:rPr>
          <w:rFonts w:ascii="Century Gothic" w:eastAsia="Times New Roman" w:hAnsi="Century Gothic" w:cs="Times New Roman"/>
          <w:i/>
          <w:iCs/>
          <w:color w:val="000000" w:themeColor="text1"/>
          <w:sz w:val="22"/>
          <w:lang w:eastAsia="en-AU"/>
        </w:rPr>
        <w:t>... Continually seek to</w:t>
      </w:r>
      <w:r w:rsidRPr="00FC1BF2">
        <w:rPr>
          <w:rFonts w:ascii="Century Gothic" w:eastAsia="Times New Roman" w:hAnsi="Century Gothic" w:cs="Times New Roman"/>
          <w:b/>
          <w:bCs/>
          <w:i/>
          <w:iCs/>
          <w:color w:val="000000" w:themeColor="text1"/>
          <w:sz w:val="22"/>
          <w:lang w:eastAsia="en-AU"/>
        </w:rPr>
        <w:t xml:space="preserve"> improve corporate environmental performance, at the level of the enterprise and</w:t>
      </w:r>
      <w:r w:rsidRPr="00FC1BF2">
        <w:rPr>
          <w:rFonts w:ascii="Century Gothic" w:eastAsia="Times New Roman" w:hAnsi="Century Gothic" w:cs="Times New Roman"/>
          <w:i/>
          <w:iCs/>
          <w:color w:val="000000" w:themeColor="text1"/>
          <w:sz w:val="22"/>
          <w:lang w:eastAsia="en-AU"/>
        </w:rPr>
        <w:t>, where appropriate, of</w:t>
      </w:r>
      <w:r w:rsidRPr="00FC1BF2">
        <w:rPr>
          <w:rFonts w:ascii="Century Gothic" w:eastAsia="Times New Roman" w:hAnsi="Century Gothic" w:cs="Times New Roman"/>
          <w:b/>
          <w:bCs/>
          <w:i/>
          <w:iCs/>
          <w:color w:val="000000" w:themeColor="text1"/>
          <w:sz w:val="22"/>
          <w:lang w:eastAsia="en-AU"/>
        </w:rPr>
        <w:t xml:space="preserve"> its supply chain, by encouraging </w:t>
      </w:r>
      <w:r w:rsidRPr="00FC1BF2">
        <w:rPr>
          <w:rFonts w:ascii="Century Gothic" w:eastAsia="Times New Roman" w:hAnsi="Century Gothic" w:cs="Times New Roman"/>
          <w:i/>
          <w:iCs/>
          <w:color w:val="000000" w:themeColor="text1"/>
          <w:sz w:val="22"/>
          <w:lang w:eastAsia="en-AU"/>
        </w:rPr>
        <w:t>such activities as:</w:t>
      </w:r>
    </w:p>
    <w:p w:rsidR="006A7AAD" w:rsidRPr="00FC1BF2" w:rsidRDefault="006A7AAD" w:rsidP="006A7AAD">
      <w:pPr>
        <w:pStyle w:val="OutlineNumbered1"/>
        <w:spacing w:before="120" w:line="280" w:lineRule="exact"/>
        <w:ind w:left="1418" w:hanging="284"/>
        <w:rPr>
          <w:rFonts w:ascii="Century Gothic" w:eastAsia="Times New Roman" w:hAnsi="Century Gothic" w:cs="Times New Roman"/>
          <w:b/>
          <w:bCs/>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b)</w:t>
      </w:r>
      <w:r w:rsidRPr="00FC1BF2">
        <w:rPr>
          <w:rFonts w:ascii="Century Gothic" w:eastAsia="Times New Roman" w:hAnsi="Century Gothic" w:cs="Times New Roman"/>
          <w:i/>
          <w:iCs/>
          <w:color w:val="000000" w:themeColor="text1"/>
          <w:sz w:val="22"/>
          <w:lang w:eastAsia="en-AU"/>
        </w:rPr>
        <w:tab/>
        <w:t>development and provision of</w:t>
      </w:r>
      <w:r w:rsidRPr="00FC1BF2">
        <w:rPr>
          <w:rFonts w:ascii="Century Gothic" w:eastAsia="Times New Roman" w:hAnsi="Century Gothic" w:cs="Times New Roman"/>
          <w:b/>
          <w:bCs/>
          <w:i/>
          <w:iCs/>
          <w:color w:val="000000" w:themeColor="text1"/>
          <w:sz w:val="22"/>
          <w:lang w:eastAsia="en-AU"/>
        </w:rPr>
        <w:t xml:space="preserve"> products or services that ...reduce greenhouse gas emissions</w:t>
      </w:r>
    </w:p>
    <w:p w:rsidR="006A7AAD" w:rsidRPr="00FC1BF2" w:rsidRDefault="006A7AAD" w:rsidP="006A7AAD">
      <w:pPr>
        <w:pStyle w:val="OutlineNumbered1"/>
        <w:spacing w:before="120" w:line="280" w:lineRule="exact"/>
        <w:ind w:left="1418" w:hanging="284"/>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lastRenderedPageBreak/>
        <w:t>c)</w:t>
      </w:r>
      <w:r w:rsidRPr="00FC1BF2">
        <w:rPr>
          <w:rFonts w:ascii="Century Gothic" w:eastAsia="Times New Roman" w:hAnsi="Century Gothic" w:cs="Times New Roman"/>
          <w:i/>
          <w:iCs/>
          <w:color w:val="000000" w:themeColor="text1"/>
          <w:sz w:val="22"/>
          <w:lang w:eastAsia="en-AU"/>
        </w:rPr>
        <w:tab/>
        <w:t>promoting</w:t>
      </w:r>
      <w:r w:rsidRPr="00FC1BF2">
        <w:rPr>
          <w:rFonts w:ascii="Century Gothic" w:eastAsia="Times New Roman" w:hAnsi="Century Gothic" w:cs="Times New Roman"/>
          <w:b/>
          <w:bCs/>
          <w:i/>
          <w:iCs/>
          <w:color w:val="000000" w:themeColor="text1"/>
          <w:sz w:val="22"/>
          <w:lang w:eastAsia="en-AU"/>
        </w:rPr>
        <w:t xml:space="preserve"> higher levels of awareness among customers ...including</w:t>
      </w:r>
      <w:r w:rsidRPr="00FC1BF2">
        <w:rPr>
          <w:rFonts w:ascii="Century Gothic" w:eastAsia="Times New Roman" w:hAnsi="Century Gothic" w:cs="Times New Roman"/>
          <w:i/>
          <w:iCs/>
          <w:color w:val="000000" w:themeColor="text1"/>
          <w:sz w:val="22"/>
          <w:lang w:eastAsia="en-AU"/>
        </w:rPr>
        <w:t xml:space="preserve">, by providing accurate </w:t>
      </w:r>
      <w:r w:rsidRPr="00FC1BF2">
        <w:rPr>
          <w:rFonts w:ascii="Century Gothic" w:eastAsia="Times New Roman" w:hAnsi="Century Gothic" w:cs="Times New Roman"/>
          <w:b/>
          <w:bCs/>
          <w:i/>
          <w:iCs/>
          <w:color w:val="000000" w:themeColor="text1"/>
          <w:sz w:val="22"/>
          <w:lang w:eastAsia="en-AU"/>
        </w:rPr>
        <w:t xml:space="preserve">information on </w:t>
      </w:r>
      <w:r w:rsidRPr="00FC1BF2">
        <w:rPr>
          <w:rFonts w:ascii="Century Gothic" w:eastAsia="Times New Roman" w:hAnsi="Century Gothic" w:cs="Times New Roman"/>
          <w:i/>
          <w:iCs/>
          <w:color w:val="000000" w:themeColor="text1"/>
          <w:sz w:val="22"/>
          <w:lang w:eastAsia="en-AU"/>
        </w:rPr>
        <w:t>their products (for example, on</w:t>
      </w:r>
      <w:r w:rsidRPr="00FC1BF2">
        <w:rPr>
          <w:rFonts w:ascii="Century Gothic" w:eastAsia="Times New Roman" w:hAnsi="Century Gothic" w:cs="Times New Roman"/>
          <w:b/>
          <w:bCs/>
          <w:i/>
          <w:iCs/>
          <w:color w:val="000000" w:themeColor="text1"/>
          <w:sz w:val="22"/>
          <w:lang w:eastAsia="en-AU"/>
        </w:rPr>
        <w:t xml:space="preserve"> greenhouse gas emissions...</w:t>
      </w:r>
      <w:r w:rsidRPr="00FC1BF2">
        <w:rPr>
          <w:rFonts w:ascii="Century Gothic" w:eastAsia="Times New Roman" w:hAnsi="Century Gothic" w:cs="Times New Roman"/>
          <w:i/>
          <w:iCs/>
          <w:color w:val="000000" w:themeColor="text1"/>
          <w:sz w:val="22"/>
          <w:lang w:eastAsia="en-AU"/>
        </w:rPr>
        <w:t xml:space="preserve">’ </w:t>
      </w:r>
      <w:r w:rsidRPr="00FC1BF2">
        <w:rPr>
          <w:rFonts w:ascii="Century Gothic" w:eastAsia="Times New Roman" w:hAnsi="Century Gothic" w:cs="Times New Roman"/>
          <w:color w:val="000000" w:themeColor="text1"/>
          <w:sz w:val="22"/>
          <w:lang w:eastAsia="en-AU"/>
        </w:rPr>
        <w:t>[emphasis added]</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only other reference in the OECD Guidelines, to GHG, is in the commentary of the Disclosure chapter III:</w:t>
      </w:r>
    </w:p>
    <w:p w:rsidR="006A7AAD" w:rsidRPr="00FC1BF2" w:rsidRDefault="006A7AAD" w:rsidP="006A7AAD">
      <w:pPr>
        <w:pStyle w:val="OutlineNumbered1"/>
        <w:spacing w:before="120" w:line="280" w:lineRule="exact"/>
        <w:ind w:left="1134" w:hanging="283"/>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 xml:space="preserve">‘33. </w:t>
      </w:r>
      <w:r w:rsidRPr="00FC1BF2">
        <w:rPr>
          <w:rFonts w:ascii="Century Gothic" w:eastAsia="Times New Roman" w:hAnsi="Century Gothic" w:cs="Times New Roman"/>
          <w:b/>
          <w:bCs/>
          <w:i/>
          <w:iCs/>
          <w:color w:val="000000" w:themeColor="text1"/>
          <w:sz w:val="22"/>
          <w:lang w:eastAsia="en-AU"/>
        </w:rPr>
        <w:t xml:space="preserve">The Guidelines </w:t>
      </w:r>
      <w:r w:rsidRPr="00FC1BF2">
        <w:rPr>
          <w:rFonts w:ascii="Century Gothic" w:eastAsia="Times New Roman" w:hAnsi="Century Gothic" w:cs="Times New Roman"/>
          <w:i/>
          <w:iCs/>
          <w:color w:val="000000" w:themeColor="text1"/>
          <w:sz w:val="22"/>
          <w:lang w:eastAsia="en-AU"/>
        </w:rPr>
        <w:t xml:space="preserve">also </w:t>
      </w:r>
      <w:r w:rsidRPr="00FC1BF2">
        <w:rPr>
          <w:rFonts w:ascii="Century Gothic" w:eastAsia="Times New Roman" w:hAnsi="Century Gothic" w:cs="Times New Roman"/>
          <w:b/>
          <w:bCs/>
          <w:i/>
          <w:iCs/>
          <w:color w:val="000000" w:themeColor="text1"/>
          <w:sz w:val="22"/>
          <w:lang w:eastAsia="en-AU"/>
        </w:rPr>
        <w:t xml:space="preserve">encourage </w:t>
      </w:r>
      <w:r w:rsidRPr="00FC1BF2">
        <w:rPr>
          <w:rFonts w:ascii="Century Gothic" w:eastAsia="Times New Roman" w:hAnsi="Century Gothic" w:cs="Times New Roman"/>
          <w:i/>
          <w:iCs/>
          <w:color w:val="000000" w:themeColor="text1"/>
          <w:sz w:val="22"/>
          <w:lang w:eastAsia="en-AU"/>
        </w:rPr>
        <w:t>a second set of</w:t>
      </w:r>
      <w:r w:rsidRPr="00FC1BF2">
        <w:rPr>
          <w:rFonts w:ascii="Century Gothic" w:eastAsia="Times New Roman" w:hAnsi="Century Gothic" w:cs="Times New Roman"/>
          <w:b/>
          <w:bCs/>
          <w:i/>
          <w:iCs/>
          <w:color w:val="000000" w:themeColor="text1"/>
          <w:sz w:val="22"/>
          <w:lang w:eastAsia="en-AU"/>
        </w:rPr>
        <w:t xml:space="preserve"> disclosure or communication practices in </w:t>
      </w:r>
      <w:r w:rsidRPr="00FC1BF2">
        <w:rPr>
          <w:rFonts w:ascii="Century Gothic" w:eastAsia="Times New Roman" w:hAnsi="Century Gothic" w:cs="Times New Roman"/>
          <w:i/>
          <w:iCs/>
          <w:color w:val="000000" w:themeColor="text1"/>
          <w:sz w:val="22"/>
          <w:lang w:eastAsia="en-AU"/>
        </w:rPr>
        <w:t>areas where reporting standards are still evolving such as, for example, social, environmental and risk reporting. This is particularly the case with</w:t>
      </w:r>
      <w:r w:rsidRPr="00FC1BF2">
        <w:rPr>
          <w:rFonts w:ascii="Century Gothic" w:eastAsia="Times New Roman" w:hAnsi="Century Gothic" w:cs="Times New Roman"/>
          <w:b/>
          <w:bCs/>
          <w:i/>
          <w:iCs/>
          <w:color w:val="000000" w:themeColor="text1"/>
          <w:sz w:val="22"/>
          <w:lang w:eastAsia="en-AU"/>
        </w:rPr>
        <w:t xml:space="preserve"> greenhouse gas emissions, as the scope of their monitoring is expanding to cover direct and indirect, current and future, corporate and product emissions ...</w:t>
      </w:r>
      <w:r w:rsidRPr="00FC1BF2">
        <w:rPr>
          <w:rFonts w:ascii="Century Gothic" w:eastAsia="Times New Roman" w:hAnsi="Century Gothic" w:cs="Times New Roman"/>
          <w:i/>
          <w:iCs/>
          <w:color w:val="000000" w:themeColor="text1"/>
          <w:sz w:val="22"/>
          <w:lang w:eastAsia="en-AU"/>
        </w:rPr>
        <w:t xml:space="preserve">’ </w:t>
      </w:r>
      <w:r w:rsidRPr="00FC1BF2">
        <w:rPr>
          <w:rFonts w:ascii="Century Gothic" w:eastAsia="Times New Roman" w:hAnsi="Century Gothic" w:cs="Times New Roman"/>
          <w:color w:val="000000" w:themeColor="text1"/>
          <w:sz w:val="22"/>
          <w:lang w:eastAsia="en-AU"/>
        </w:rPr>
        <w:t>[emphasis added]</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Due diligence guides, published by the OECD, provide greater detail on company responsibilities under the OECD Guidelines. Relevant here are the following four OECD guides.</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w:t>
      </w:r>
      <w:r w:rsidRPr="00FC1BF2">
        <w:rPr>
          <w:rFonts w:ascii="Century Gothic" w:eastAsia="Times New Roman" w:hAnsi="Century Gothic" w:cs="Times New Roman"/>
          <w:i/>
          <w:iCs/>
          <w:color w:val="000000" w:themeColor="text1"/>
          <w:sz w:val="22"/>
          <w:lang w:eastAsia="en-AU"/>
        </w:rPr>
        <w:t xml:space="preserve">OECD Recommendation on the Due Diligence Guidance for Meaningful Stakeholder Engagement in the Extractive Sector </w:t>
      </w:r>
      <w:r w:rsidRPr="00FC1BF2">
        <w:rPr>
          <w:rFonts w:ascii="Century Gothic" w:eastAsia="Times New Roman" w:hAnsi="Century Gothic" w:cs="Times New Roman"/>
          <w:color w:val="000000" w:themeColor="text1"/>
          <w:sz w:val="22"/>
          <w:lang w:eastAsia="en-AU"/>
        </w:rPr>
        <w:t xml:space="preserve">was adopted by the OECD Council in July 2016. It is significant this was adopted </w:t>
      </w:r>
      <w:r w:rsidRPr="00FC1BF2">
        <w:rPr>
          <w:rFonts w:ascii="Century Gothic" w:eastAsia="Times New Roman" w:hAnsi="Century Gothic" w:cs="Times New Roman"/>
          <w:i/>
          <w:iCs/>
          <w:color w:val="000000" w:themeColor="text1"/>
          <w:sz w:val="22"/>
          <w:lang w:eastAsia="en-AU"/>
        </w:rPr>
        <w:t>after</w:t>
      </w:r>
      <w:r w:rsidRPr="00FC1BF2">
        <w:rPr>
          <w:rFonts w:ascii="Century Gothic" w:eastAsia="Times New Roman" w:hAnsi="Century Gothic" w:cs="Times New Roman"/>
          <w:color w:val="000000" w:themeColor="text1"/>
          <w:sz w:val="22"/>
          <w:lang w:eastAsia="en-AU"/>
        </w:rPr>
        <w:t xml:space="preserve"> the Paris Agreement and it specifically references oil and gas, indicating these operations are not, of themselves, contrary to the OECD Guidelines.</w:t>
      </w:r>
      <w:bookmarkStart w:id="34" w:name="_Ref35509785"/>
      <w:r w:rsidRPr="00FC1BF2">
        <w:rPr>
          <w:rStyle w:val="EndnoteReference"/>
          <w:rFonts w:ascii="Century Gothic" w:eastAsia="Times New Roman" w:hAnsi="Century Gothic" w:cs="Times New Roman"/>
          <w:color w:val="000000" w:themeColor="text1"/>
          <w:sz w:val="22"/>
          <w:lang w:eastAsia="en-AU"/>
        </w:rPr>
        <w:endnoteReference w:id="21"/>
      </w:r>
      <w:bookmarkEnd w:id="34"/>
      <w:r w:rsidRPr="00FC1BF2">
        <w:rPr>
          <w:rFonts w:ascii="Century Gothic" w:eastAsia="Times New Roman" w:hAnsi="Century Gothic" w:cs="Times New Roman"/>
          <w:color w:val="000000" w:themeColor="text1"/>
          <w:sz w:val="22"/>
          <w:lang w:eastAsia="en-AU"/>
        </w:rPr>
        <w:t xml:space="preserve"> Rather, responsible business conduct regarding these fossil fuels (oil, gas, some minerals) is seen to provide benefits and be acceptable </w:t>
      </w:r>
      <w:r w:rsidRPr="00FC1BF2">
        <w:rPr>
          <w:rFonts w:ascii="Century Gothic" w:eastAsia="Times New Roman" w:hAnsi="Century Gothic" w:cs="Times New Roman"/>
          <w:i/>
          <w:color w:val="000000" w:themeColor="text1"/>
          <w:sz w:val="22"/>
          <w:lang w:eastAsia="en-AU"/>
        </w:rPr>
        <w:t>provided</w:t>
      </w:r>
      <w:r w:rsidRPr="00FC1BF2">
        <w:rPr>
          <w:rFonts w:ascii="Century Gothic" w:eastAsia="Times New Roman" w:hAnsi="Century Gothic" w:cs="Times New Roman"/>
          <w:color w:val="000000" w:themeColor="text1"/>
          <w:sz w:val="22"/>
          <w:lang w:eastAsia="en-AU"/>
        </w:rPr>
        <w:t xml:space="preserve"> due diligence addresses related impacts.</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‘Enterprises involved in the exploration and extraction of oil, gas and minerals have the potential to generate income, sustain livelihoods, foster local development and generate significant revenues in the areas in which they operate. ... However, extractive operations can have a significant social and environmental footprint and thus are often at risk of causing or contributing to adverse impacts, such as human rights infringements, economic set-backs and environmental degradation.</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...Regardless of the requirements in law, meaningful stakeholder engagement is critical to avoiding some of the potential adverse impacts of extractive operations as well as optimising potential contributions. ... The aim of</w:t>
      </w:r>
      <w:r w:rsidRPr="00FC1BF2">
        <w:rPr>
          <w:rFonts w:ascii="Century Gothic" w:eastAsia="Times New Roman" w:hAnsi="Century Gothic" w:cs="Times New Roman"/>
          <w:b/>
          <w:bCs/>
          <w:i/>
          <w:iCs/>
          <w:color w:val="000000" w:themeColor="text1"/>
          <w:sz w:val="22"/>
          <w:lang w:eastAsia="en-AU"/>
        </w:rPr>
        <w:t xml:space="preserve"> the present document is to offer practical guidance for the extractive sector </w:t>
      </w:r>
      <w:r w:rsidRPr="00FC1BF2">
        <w:rPr>
          <w:rFonts w:ascii="Century Gothic" w:eastAsia="Times New Roman" w:hAnsi="Century Gothic" w:cs="Times New Roman"/>
          <w:i/>
          <w:iCs/>
          <w:color w:val="000000" w:themeColor="text1"/>
          <w:sz w:val="22"/>
          <w:lang w:eastAsia="en-AU"/>
        </w:rPr>
        <w:t>in line with the provisions of the OECD Guidelines on due diligence for stakeholder engagement.</w:t>
      </w:r>
      <w:r w:rsidRPr="00FC1BF2">
        <w:rPr>
          <w:rFonts w:ascii="Century Gothic" w:eastAsia="Times New Roman" w:hAnsi="Century Gothic" w:cs="Times New Roman"/>
          <w:b/>
          <w:bCs/>
          <w:i/>
          <w:iCs/>
          <w:color w:val="000000" w:themeColor="text1"/>
          <w:sz w:val="22"/>
          <w:lang w:eastAsia="en-AU"/>
        </w:rPr>
        <w:t xml:space="preserve"> Extractive sector enterprises </w:t>
      </w:r>
      <w:r w:rsidRPr="00FC1BF2">
        <w:rPr>
          <w:rFonts w:ascii="Century Gothic" w:eastAsia="Times New Roman" w:hAnsi="Century Gothic" w:cs="Times New Roman"/>
          <w:i/>
          <w:iCs/>
          <w:color w:val="000000" w:themeColor="text1"/>
          <w:sz w:val="22"/>
          <w:lang w:eastAsia="en-AU"/>
        </w:rPr>
        <w:t>are considered to</w:t>
      </w:r>
      <w:r w:rsidRPr="00FC1BF2">
        <w:rPr>
          <w:rFonts w:ascii="Century Gothic" w:eastAsia="Times New Roman" w:hAnsi="Century Gothic" w:cs="Times New Roman"/>
          <w:b/>
          <w:bCs/>
          <w:i/>
          <w:iCs/>
          <w:color w:val="000000" w:themeColor="text1"/>
          <w:sz w:val="22"/>
          <w:lang w:eastAsia="en-AU"/>
        </w:rPr>
        <w:t xml:space="preserve"> include enterprises conducting exploration, development, extraction, processing, transport, and/or storage of oil, gas and minerals</w:t>
      </w:r>
      <w:r w:rsidRPr="00FC1BF2">
        <w:rPr>
          <w:rFonts w:ascii="Century Gothic" w:eastAsia="Times New Roman" w:hAnsi="Century Gothic" w:cs="Times New Roman"/>
          <w:i/>
          <w:iCs/>
          <w:color w:val="000000" w:themeColor="text1"/>
          <w:sz w:val="22"/>
          <w:lang w:eastAsia="en-AU"/>
        </w:rPr>
        <w:t>.’</w:t>
      </w:r>
      <w:r w:rsidRPr="00FC1BF2">
        <w:rPr>
          <w:rStyle w:val="EndnoteReference"/>
          <w:rFonts w:ascii="Century Gothic" w:eastAsia="Times New Roman" w:hAnsi="Century Gothic" w:cs="Times New Roman"/>
          <w:i/>
          <w:iCs/>
          <w:color w:val="000000" w:themeColor="text1"/>
          <w:sz w:val="22"/>
          <w:lang w:eastAsia="en-AU"/>
        </w:rPr>
        <w:endnoteReference w:id="22"/>
      </w:r>
      <w:r w:rsidRPr="00FC1BF2">
        <w:rPr>
          <w:rFonts w:ascii="Century Gothic" w:eastAsia="Times New Roman" w:hAnsi="Century Gothic" w:cs="Times New Roman"/>
          <w:color w:val="000000" w:themeColor="text1"/>
          <w:sz w:val="22"/>
          <w:lang w:eastAsia="en-AU"/>
        </w:rPr>
        <w:t xml:space="preserve"> </w:t>
      </w:r>
    </w:p>
    <w:p w:rsidR="006A7AAD" w:rsidRPr="00FC1BF2" w:rsidRDefault="006A7AAD" w:rsidP="006A7AAD">
      <w:pPr>
        <w:pStyle w:val="OutlineNumbered1"/>
        <w:spacing w:before="120" w:line="280" w:lineRule="exact"/>
        <w:ind w:left="1134"/>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Apart from indicating the application of the OECD Guidelines to oil and gas operations, this 2016 guidance contains little of direct relevance to GHG emissions, climate change or bank responsibilities. They are addressed in other OECD guides.</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February 2017, the OECD Investment Committee approved the </w:t>
      </w:r>
      <w:r w:rsidRPr="00FC1BF2">
        <w:rPr>
          <w:rFonts w:ascii="Century Gothic" w:eastAsia="Times New Roman" w:hAnsi="Century Gothic" w:cs="Times New Roman"/>
          <w:i/>
          <w:iCs/>
          <w:color w:val="000000" w:themeColor="text1"/>
          <w:sz w:val="22"/>
          <w:lang w:eastAsia="en-AU"/>
        </w:rPr>
        <w:t>Responsible business conduct for institutional investors: Key considerations for due diligence under the OECD Guidelines for Multinational Enterprises</w:t>
      </w:r>
      <w:r w:rsidRPr="00FC1BF2">
        <w:rPr>
          <w:rFonts w:ascii="Century Gothic" w:eastAsia="Times New Roman" w:hAnsi="Century Gothic" w:cs="Times New Roman"/>
          <w:color w:val="000000" w:themeColor="text1"/>
          <w:sz w:val="22"/>
          <w:lang w:eastAsia="en-AU"/>
        </w:rPr>
        <w:t>. This makes no reference to fossil fuel but addresses GHG or related emissions.</w:t>
      </w:r>
      <w:r w:rsidRPr="00FC1BF2">
        <w:rPr>
          <w:rStyle w:val="EndnoteReference"/>
          <w:rFonts w:ascii="Century Gothic" w:eastAsia="Times New Roman" w:hAnsi="Century Gothic" w:cs="Times New Roman"/>
          <w:color w:val="000000" w:themeColor="text1"/>
          <w:sz w:val="22"/>
          <w:lang w:eastAsia="en-AU"/>
        </w:rPr>
        <w:endnoteReference w:id="23"/>
      </w:r>
      <w:r w:rsidRPr="00FC1BF2">
        <w:rPr>
          <w:rFonts w:ascii="Century Gothic" w:eastAsia="Times New Roman" w:hAnsi="Century Gothic" w:cs="Times New Roman"/>
          <w:color w:val="000000" w:themeColor="text1"/>
          <w:sz w:val="22"/>
          <w:lang w:eastAsia="en-AU"/>
        </w:rPr>
        <w:t xml:space="preserve"> The Guidance </w:t>
      </w:r>
      <w:r w:rsidRPr="00FC1BF2">
        <w:rPr>
          <w:rFonts w:ascii="Century Gothic" w:eastAsia="Times New Roman" w:hAnsi="Century Gothic" w:cs="Times New Roman"/>
          <w:color w:val="000000" w:themeColor="text1"/>
          <w:sz w:val="22"/>
          <w:lang w:eastAsia="en-AU"/>
        </w:rPr>
        <w:lastRenderedPageBreak/>
        <w:t>emphasised that conducting due diligence pursuant to the OECD Guidelines is how a bank should address climate change issues.</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b/>
          <w:bCs/>
          <w:i/>
          <w:iCs/>
          <w:color w:val="000000" w:themeColor="text1"/>
          <w:sz w:val="22"/>
          <w:lang w:eastAsia="en-AU"/>
        </w:rPr>
        <w:t xml:space="preserve">‘By carrying out due diligence in line with the OECD Guidelines, investors will </w:t>
      </w:r>
      <w:r w:rsidRPr="00FC1BF2">
        <w:rPr>
          <w:rFonts w:ascii="Century Gothic" w:eastAsia="Times New Roman" w:hAnsi="Century Gothic" w:cs="Times New Roman"/>
          <w:i/>
          <w:iCs/>
          <w:color w:val="000000" w:themeColor="text1"/>
          <w:sz w:val="22"/>
          <w:lang w:eastAsia="en-AU"/>
        </w:rPr>
        <w:t>not only</w:t>
      </w:r>
      <w:r w:rsidRPr="00FC1BF2">
        <w:rPr>
          <w:rFonts w:ascii="Century Gothic" w:eastAsia="Times New Roman" w:hAnsi="Century Gothic" w:cs="Times New Roman"/>
          <w:b/>
          <w:bCs/>
          <w:i/>
          <w:iCs/>
          <w:color w:val="000000" w:themeColor="text1"/>
          <w:sz w:val="22"/>
          <w:lang w:eastAsia="en-AU"/>
        </w:rPr>
        <w:t xml:space="preserve"> be able </w:t>
      </w:r>
      <w:r w:rsidRPr="00FC1BF2">
        <w:rPr>
          <w:rFonts w:ascii="Century Gothic" w:eastAsia="Times New Roman" w:hAnsi="Century Gothic" w:cs="Times New Roman"/>
          <w:i/>
          <w:iCs/>
          <w:color w:val="000000" w:themeColor="text1"/>
          <w:sz w:val="22"/>
          <w:lang w:eastAsia="en-AU"/>
        </w:rPr>
        <w:t xml:space="preserve">to avoid negative impacts of their investments on society and the environment, but also avoid financial and reputational risks, respond to expectations of their clients and beneficiaries and </w:t>
      </w:r>
      <w:r w:rsidRPr="00FC1BF2">
        <w:rPr>
          <w:rFonts w:ascii="Century Gothic" w:eastAsia="Times New Roman" w:hAnsi="Century Gothic" w:cs="Times New Roman"/>
          <w:b/>
          <w:bCs/>
          <w:i/>
          <w:iCs/>
          <w:color w:val="000000" w:themeColor="text1"/>
          <w:sz w:val="22"/>
          <w:lang w:eastAsia="en-AU"/>
        </w:rPr>
        <w:t>contribute to global goals on climate</w:t>
      </w:r>
      <w:r w:rsidRPr="00FC1BF2">
        <w:rPr>
          <w:rFonts w:ascii="Century Gothic" w:eastAsia="Times New Roman" w:hAnsi="Century Gothic" w:cs="Times New Roman"/>
          <w:i/>
          <w:iCs/>
          <w:color w:val="000000" w:themeColor="text1"/>
          <w:sz w:val="22"/>
          <w:lang w:eastAsia="en-AU"/>
        </w:rPr>
        <w:t xml:space="preserve"> and sustainable development’.</w:t>
      </w:r>
      <w:bookmarkStart w:id="35" w:name="_Ref35510520"/>
      <w:r w:rsidRPr="00FC1BF2">
        <w:rPr>
          <w:rStyle w:val="EndnoteReference"/>
          <w:rFonts w:ascii="Century Gothic" w:eastAsia="Times New Roman" w:hAnsi="Century Gothic" w:cs="Times New Roman"/>
          <w:i/>
          <w:iCs/>
          <w:color w:val="000000" w:themeColor="text1"/>
          <w:sz w:val="22"/>
          <w:lang w:eastAsia="en-AU"/>
        </w:rPr>
        <w:endnoteReference w:id="24"/>
      </w:r>
      <w:bookmarkEnd w:id="35"/>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2018, the OECD published its general </w:t>
      </w:r>
      <w:r w:rsidRPr="00FC1BF2">
        <w:rPr>
          <w:rFonts w:ascii="Century Gothic" w:eastAsia="Times New Roman" w:hAnsi="Century Gothic" w:cs="Times New Roman"/>
          <w:i/>
          <w:iCs/>
          <w:color w:val="000000" w:themeColor="text1"/>
          <w:sz w:val="22"/>
          <w:lang w:eastAsia="en-AU"/>
        </w:rPr>
        <w:t>Due Diligence Guidance for Responsible Business Conduct</w:t>
      </w:r>
      <w:r w:rsidRPr="00FC1BF2">
        <w:rPr>
          <w:rFonts w:ascii="Century Gothic" w:eastAsia="Times New Roman" w:hAnsi="Century Gothic" w:cs="Times New Roman"/>
          <w:color w:val="000000" w:themeColor="text1"/>
          <w:sz w:val="22"/>
          <w:lang w:eastAsia="en-AU"/>
        </w:rPr>
        <w:t>.</w:t>
      </w:r>
      <w:r w:rsidRPr="00FC1BF2">
        <w:rPr>
          <w:rStyle w:val="EndnoteReference"/>
          <w:rFonts w:ascii="Century Gothic" w:eastAsia="Times New Roman" w:hAnsi="Century Gothic" w:cs="Times New Roman"/>
          <w:color w:val="000000" w:themeColor="text1"/>
          <w:sz w:val="22"/>
          <w:lang w:eastAsia="en-AU"/>
        </w:rPr>
        <w:endnoteReference w:id="25"/>
      </w:r>
      <w:r w:rsidRPr="00FC1BF2">
        <w:rPr>
          <w:rFonts w:ascii="Century Gothic" w:eastAsia="Times New Roman" w:hAnsi="Century Gothic" w:cs="Times New Roman"/>
          <w:color w:val="000000" w:themeColor="text1"/>
          <w:sz w:val="22"/>
          <w:lang w:eastAsia="en-AU"/>
        </w:rPr>
        <w:t xml:space="preserve"> This has one reference to GHG, and none to fossil fuel nor climate change.</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 xml:space="preserve">‘Meaningful stakeholder engagement is important throughout the due diligence process. ... </w:t>
      </w:r>
      <w:r w:rsidRPr="00FC1BF2">
        <w:rPr>
          <w:rFonts w:ascii="Century Gothic" w:eastAsia="Times New Roman" w:hAnsi="Century Gothic" w:cs="Times New Roman"/>
          <w:b/>
          <w:bCs/>
          <w:i/>
          <w:iCs/>
          <w:color w:val="000000" w:themeColor="text1"/>
          <w:sz w:val="22"/>
          <w:lang w:eastAsia="en-AU"/>
        </w:rPr>
        <w:t xml:space="preserve">For certain types of adverse impacts which result in collective harms (such as </w:t>
      </w:r>
      <w:r w:rsidRPr="00FC1BF2">
        <w:rPr>
          <w:rFonts w:ascii="Century Gothic" w:eastAsia="Times New Roman" w:hAnsi="Century Gothic" w:cs="Times New Roman"/>
          <w:i/>
          <w:iCs/>
          <w:color w:val="000000" w:themeColor="text1"/>
          <w:sz w:val="22"/>
          <w:lang w:eastAsia="en-AU"/>
        </w:rPr>
        <w:t>corruption which collectively harms the populations of the jurisdiction in which it occurs or</w:t>
      </w:r>
      <w:r w:rsidRPr="00FC1BF2">
        <w:rPr>
          <w:rFonts w:ascii="Century Gothic" w:eastAsia="Times New Roman" w:hAnsi="Century Gothic" w:cs="Times New Roman"/>
          <w:b/>
          <w:bCs/>
          <w:i/>
          <w:iCs/>
          <w:color w:val="000000" w:themeColor="text1"/>
          <w:sz w:val="22"/>
          <w:lang w:eastAsia="en-AU"/>
        </w:rPr>
        <w:t xml:space="preserve"> greenhouse gas emissions which contribute to collective, transboundary harms), broad engagement with impacted or potentially impacted stakeholders and rightsholders may not be possible. In these cases, engagement with credible stakeholder representatives or proxy organisations (e.g. NGOs, representative public bodies, etc.) may be useful</w:t>
      </w:r>
      <w:r w:rsidRPr="00FC1BF2">
        <w:rPr>
          <w:rFonts w:ascii="Century Gothic" w:eastAsia="Times New Roman" w:hAnsi="Century Gothic" w:cs="Times New Roman"/>
          <w:i/>
          <w:iCs/>
          <w:color w:val="000000" w:themeColor="text1"/>
          <w:sz w:val="22"/>
          <w:lang w:eastAsia="en-AU"/>
        </w:rPr>
        <w:t>’.</w:t>
      </w:r>
      <w:r w:rsidRPr="00FC1BF2">
        <w:rPr>
          <w:rStyle w:val="EndnoteReference"/>
          <w:rFonts w:ascii="Century Gothic" w:eastAsia="Times New Roman" w:hAnsi="Century Gothic" w:cs="Times New Roman"/>
          <w:i/>
          <w:iCs/>
          <w:color w:val="000000" w:themeColor="text1"/>
          <w:sz w:val="22"/>
          <w:lang w:eastAsia="en-AU"/>
        </w:rPr>
        <w:endnoteReference w:id="26"/>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In 2019, the OECD published the </w:t>
      </w:r>
      <w:r w:rsidRPr="00FC1BF2">
        <w:rPr>
          <w:rFonts w:ascii="Century Gothic" w:eastAsia="Times New Roman" w:hAnsi="Century Gothic" w:cs="Times New Roman"/>
          <w:i/>
          <w:iCs/>
          <w:color w:val="000000" w:themeColor="text1"/>
          <w:sz w:val="22"/>
          <w:lang w:eastAsia="en-AU"/>
        </w:rPr>
        <w:t>Due Diligence for Responsible Corporate Lending and Securities Underwriting</w:t>
      </w:r>
      <w:r w:rsidRPr="00FC1BF2">
        <w:rPr>
          <w:rFonts w:ascii="Century Gothic" w:eastAsia="Times New Roman" w:hAnsi="Century Gothic" w:cs="Times New Roman"/>
          <w:color w:val="000000" w:themeColor="text1"/>
          <w:sz w:val="22"/>
          <w:lang w:eastAsia="en-AU"/>
        </w:rPr>
        <w:t>.</w:t>
      </w:r>
      <w:r w:rsidRPr="00FC1BF2">
        <w:rPr>
          <w:rStyle w:val="EndnoteReference"/>
          <w:rFonts w:ascii="Century Gothic" w:eastAsia="Times New Roman" w:hAnsi="Century Gothic" w:cs="Times New Roman"/>
          <w:color w:val="000000" w:themeColor="text1"/>
          <w:sz w:val="22"/>
          <w:lang w:eastAsia="en-AU"/>
        </w:rPr>
        <w:endnoteReference w:id="27"/>
      </w:r>
      <w:r w:rsidRPr="00FC1BF2">
        <w:rPr>
          <w:rFonts w:ascii="Century Gothic" w:eastAsia="Times New Roman" w:hAnsi="Century Gothic" w:cs="Times New Roman"/>
          <w:color w:val="000000" w:themeColor="text1"/>
          <w:sz w:val="22"/>
          <w:lang w:eastAsia="en-AU"/>
        </w:rPr>
        <w:t xml:space="preserve"> As the Complaint notes, the opening sentences of the OECD’s Foreword frame that document within climate change.</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b/>
          <w:bCs/>
          <w:i/>
          <w:iCs/>
          <w:color w:val="000000" w:themeColor="text1"/>
          <w:sz w:val="22"/>
          <w:lang w:eastAsia="en-AU"/>
        </w:rPr>
        <w:t xml:space="preserve">‘Financial institutions have a key role to play in driving global sustainability through directing financing towards measures to achieve </w:t>
      </w:r>
      <w:r w:rsidRPr="00FC1BF2">
        <w:rPr>
          <w:rFonts w:ascii="Century Gothic" w:eastAsia="Times New Roman" w:hAnsi="Century Gothic" w:cs="Times New Roman"/>
          <w:i/>
          <w:iCs/>
          <w:color w:val="000000" w:themeColor="text1"/>
          <w:sz w:val="22"/>
          <w:lang w:eastAsia="en-AU"/>
        </w:rPr>
        <w:t>the Sustainable Development Goals and</w:t>
      </w:r>
      <w:r w:rsidRPr="00FC1BF2">
        <w:rPr>
          <w:rFonts w:ascii="Century Gothic" w:eastAsia="Times New Roman" w:hAnsi="Century Gothic" w:cs="Times New Roman"/>
          <w:b/>
          <w:bCs/>
          <w:i/>
          <w:iCs/>
          <w:color w:val="000000" w:themeColor="text1"/>
          <w:sz w:val="22"/>
          <w:lang w:eastAsia="en-AU"/>
        </w:rPr>
        <w:t xml:space="preserve"> the Paris Climate Agreement</w:t>
      </w:r>
      <w:r w:rsidRPr="00FC1BF2">
        <w:rPr>
          <w:rFonts w:ascii="Century Gothic" w:eastAsia="Times New Roman" w:hAnsi="Century Gothic" w:cs="Times New Roman"/>
          <w:i/>
          <w:iCs/>
          <w:color w:val="000000" w:themeColor="text1"/>
          <w:sz w:val="22"/>
          <w:lang w:eastAsia="en-AU"/>
        </w:rPr>
        <w:t xml:space="preserve"> and through seeking to avoid and address environmental and social risks associated with their activities.</w:t>
      </w:r>
    </w:p>
    <w:p w:rsidR="006A7AAD" w:rsidRPr="00FC1BF2" w:rsidRDefault="006A7AAD" w:rsidP="006A7AAD">
      <w:pPr>
        <w:pStyle w:val="OutlineNumbered1"/>
        <w:spacing w:before="120" w:line="280" w:lineRule="exact"/>
        <w:ind w:left="1701"/>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This paper helps banks and other financial institutions implement the due diligence recommendations of the OECD Guidelines for Multinational Enterprises in the context of their corporate lending and underwriting activities’.</w:t>
      </w:r>
      <w:r w:rsidRPr="00FC1BF2">
        <w:rPr>
          <w:rStyle w:val="EndnoteReference"/>
          <w:rFonts w:ascii="Century Gothic" w:eastAsia="Times New Roman" w:hAnsi="Century Gothic" w:cs="Times New Roman"/>
          <w:i/>
          <w:iCs/>
          <w:color w:val="000000" w:themeColor="text1"/>
          <w:sz w:val="22"/>
          <w:lang w:eastAsia="en-AU"/>
        </w:rPr>
        <w:endnoteReference w:id="28"/>
      </w:r>
    </w:p>
    <w:p w:rsidR="006A7AAD" w:rsidRPr="00FC1BF2" w:rsidRDefault="006A7AAD" w:rsidP="006A7AAD">
      <w:pPr>
        <w:pStyle w:val="OutlineNumbered1"/>
        <w:spacing w:before="120" w:line="280" w:lineRule="exact"/>
        <w:ind w:left="1134"/>
        <w:jc w:val="both"/>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color w:val="000000" w:themeColor="text1"/>
          <w:sz w:val="22"/>
          <w:lang w:eastAsia="en-AU"/>
        </w:rPr>
        <w:t>The document says nothing about fossil fuels, and ‘emissions’ features once only (as an example in tracking a client’s carbon emissions over time).</w:t>
      </w:r>
      <w:r w:rsidRPr="00FC1BF2">
        <w:rPr>
          <w:rStyle w:val="EndnoteReference"/>
          <w:rFonts w:ascii="Century Gothic" w:eastAsia="Times New Roman" w:hAnsi="Century Gothic" w:cs="Times New Roman"/>
          <w:color w:val="000000" w:themeColor="text1"/>
          <w:sz w:val="22"/>
          <w:lang w:eastAsia="en-AU"/>
        </w:rPr>
        <w:endnoteReference w:id="29"/>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OECD has recently published a Background Note on </w:t>
      </w:r>
      <w:r w:rsidRPr="00FC1BF2">
        <w:rPr>
          <w:rFonts w:ascii="Century Gothic" w:eastAsia="Times New Roman" w:hAnsi="Century Gothic" w:cs="Times New Roman"/>
          <w:i/>
          <w:iCs/>
          <w:color w:val="000000" w:themeColor="text1"/>
          <w:sz w:val="22"/>
          <w:lang w:eastAsia="en-AU"/>
        </w:rPr>
        <w:t>Global Climate Action and Responsible Business Conduct: What does it mean for business to act responsibly in the face of a climate emergency?</w:t>
      </w:r>
      <w:r w:rsidRPr="00FC1BF2">
        <w:rPr>
          <w:rFonts w:ascii="Century Gothic" w:eastAsia="Times New Roman" w:hAnsi="Century Gothic" w:cs="Times New Roman"/>
          <w:color w:val="000000" w:themeColor="text1"/>
          <w:sz w:val="22"/>
          <w:lang w:eastAsia="en-AU"/>
        </w:rPr>
        <w:t>.</w:t>
      </w:r>
      <w:r w:rsidRPr="00FC1BF2">
        <w:rPr>
          <w:rStyle w:val="EndnoteReference"/>
          <w:rFonts w:ascii="Century Gothic" w:eastAsia="Times New Roman" w:hAnsi="Century Gothic" w:cs="Times New Roman"/>
          <w:color w:val="000000" w:themeColor="text1"/>
          <w:sz w:val="22"/>
          <w:lang w:eastAsia="en-AU"/>
        </w:rPr>
        <w:endnoteReference w:id="30"/>
      </w:r>
      <w:r w:rsidRPr="00FC1BF2">
        <w:rPr>
          <w:rFonts w:ascii="Century Gothic" w:eastAsia="Times New Roman" w:hAnsi="Century Gothic" w:cs="Times New Roman"/>
          <w:color w:val="000000" w:themeColor="text1"/>
          <w:sz w:val="22"/>
          <w:lang w:eastAsia="en-AU"/>
        </w:rPr>
        <w:t xml:space="preserve"> This is not a formal law or procedure. However, it was issued in the month preceding this Complaint, and so provides the most recent OECD indication of the standards relevant to this Complaint.</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document states the OECD has ‘</w:t>
      </w:r>
      <w:r w:rsidRPr="00FC1BF2">
        <w:rPr>
          <w:rFonts w:ascii="Century Gothic" w:eastAsia="Times New Roman" w:hAnsi="Century Gothic" w:cs="Times New Roman"/>
          <w:b/>
          <w:bCs/>
          <w:color w:val="000000" w:themeColor="text1"/>
          <w:sz w:val="22"/>
          <w:lang w:eastAsia="en-AU"/>
        </w:rPr>
        <w:t xml:space="preserve">developed specific due diligence guidance to </w:t>
      </w:r>
      <w:r w:rsidRPr="00FC1BF2">
        <w:rPr>
          <w:rFonts w:ascii="Century Gothic" w:eastAsia="Times New Roman" w:hAnsi="Century Gothic" w:cs="Times New Roman"/>
          <w:color w:val="000000" w:themeColor="text1"/>
          <w:sz w:val="22"/>
          <w:lang w:eastAsia="en-AU"/>
        </w:rPr>
        <w:t>help business</w:t>
      </w:r>
      <w:r w:rsidRPr="00FC1BF2">
        <w:rPr>
          <w:rFonts w:ascii="Century Gothic" w:eastAsia="Times New Roman" w:hAnsi="Century Gothic" w:cs="Times New Roman"/>
          <w:b/>
          <w:bCs/>
          <w:color w:val="000000" w:themeColor="text1"/>
          <w:sz w:val="22"/>
          <w:lang w:eastAsia="en-AU"/>
        </w:rPr>
        <w:t xml:space="preserve"> address risks, including climate related impacts </w:t>
      </w:r>
      <w:r w:rsidRPr="00FC1BF2">
        <w:rPr>
          <w:rFonts w:ascii="Century Gothic" w:eastAsia="Times New Roman" w:hAnsi="Century Gothic" w:cs="Times New Roman"/>
          <w:color w:val="000000" w:themeColor="text1"/>
          <w:sz w:val="22"/>
          <w:lang w:eastAsia="en-AU"/>
        </w:rPr>
        <w:t>in specific sectors, e.g.,</w:t>
      </w:r>
      <w:r w:rsidRPr="00FC1BF2">
        <w:rPr>
          <w:rFonts w:ascii="Century Gothic" w:eastAsia="Times New Roman" w:hAnsi="Century Gothic" w:cs="Times New Roman"/>
          <w:b/>
          <w:bCs/>
          <w:color w:val="000000" w:themeColor="text1"/>
          <w:sz w:val="22"/>
          <w:lang w:eastAsia="en-AU"/>
        </w:rPr>
        <w:t xml:space="preserve"> in the </w:t>
      </w:r>
      <w:r w:rsidRPr="00FC1BF2">
        <w:rPr>
          <w:rFonts w:ascii="Century Gothic" w:eastAsia="Times New Roman" w:hAnsi="Century Gothic" w:cs="Times New Roman"/>
          <w:color w:val="000000" w:themeColor="text1"/>
          <w:sz w:val="22"/>
          <w:lang w:eastAsia="en-AU"/>
        </w:rPr>
        <w:t>garment and footwear,</w:t>
      </w:r>
      <w:r w:rsidRPr="00FC1BF2">
        <w:rPr>
          <w:rFonts w:ascii="Century Gothic" w:eastAsia="Times New Roman" w:hAnsi="Century Gothic" w:cs="Times New Roman"/>
          <w:b/>
          <w:bCs/>
          <w:color w:val="000000" w:themeColor="text1"/>
          <w:sz w:val="22"/>
          <w:lang w:eastAsia="en-AU"/>
        </w:rPr>
        <w:t xml:space="preserve"> minerals, </w:t>
      </w:r>
      <w:r w:rsidRPr="00FC1BF2">
        <w:rPr>
          <w:rFonts w:ascii="Century Gothic" w:eastAsia="Times New Roman" w:hAnsi="Century Gothic" w:cs="Times New Roman"/>
          <w:color w:val="000000" w:themeColor="text1"/>
          <w:sz w:val="22"/>
          <w:lang w:eastAsia="en-AU"/>
        </w:rPr>
        <w:t xml:space="preserve">agriculture </w:t>
      </w:r>
      <w:r w:rsidRPr="00FC1BF2">
        <w:rPr>
          <w:rFonts w:ascii="Century Gothic" w:eastAsia="Times New Roman" w:hAnsi="Century Gothic" w:cs="Times New Roman"/>
          <w:b/>
          <w:bCs/>
          <w:color w:val="000000" w:themeColor="text1"/>
          <w:sz w:val="22"/>
          <w:lang w:eastAsia="en-AU"/>
        </w:rPr>
        <w:t>and financial sectors</w:t>
      </w:r>
      <w:r w:rsidRPr="00FC1BF2">
        <w:rPr>
          <w:rFonts w:ascii="Century Gothic" w:eastAsia="Times New Roman" w:hAnsi="Century Gothic" w:cs="Times New Roman"/>
          <w:color w:val="000000" w:themeColor="text1"/>
          <w:sz w:val="22"/>
          <w:lang w:eastAsia="en-AU"/>
        </w:rPr>
        <w:t>’.</w:t>
      </w:r>
      <w:r w:rsidRPr="00FC1BF2">
        <w:rPr>
          <w:rStyle w:val="EndnoteReference"/>
          <w:rFonts w:ascii="Century Gothic" w:eastAsia="Times New Roman" w:hAnsi="Century Gothic" w:cs="Times New Roman"/>
          <w:color w:val="000000" w:themeColor="text1"/>
          <w:sz w:val="22"/>
          <w:lang w:eastAsia="en-AU"/>
        </w:rPr>
        <w:endnoteReference w:id="31"/>
      </w:r>
      <w:r w:rsidRPr="00FC1BF2">
        <w:rPr>
          <w:rFonts w:ascii="Century Gothic" w:eastAsia="Times New Roman" w:hAnsi="Century Gothic" w:cs="Times New Roman"/>
          <w:color w:val="000000" w:themeColor="text1"/>
          <w:sz w:val="22"/>
          <w:lang w:eastAsia="en-AU"/>
        </w:rPr>
        <w:t xml:space="preserve"> This reinforces the guides already summarised above comprise the OECD’s specific guidance regarding climate-related impacts and what is expected by the OECD Guidelines.</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‘Business </w:t>
      </w:r>
      <w:r w:rsidRPr="00FC1BF2">
        <w:rPr>
          <w:rFonts w:ascii="Century Gothic" w:eastAsia="Times New Roman" w:hAnsi="Century Gothic" w:cs="Times New Roman"/>
          <w:b/>
          <w:bCs/>
          <w:color w:val="000000" w:themeColor="text1"/>
          <w:sz w:val="22"/>
          <w:lang w:eastAsia="en-AU"/>
        </w:rPr>
        <w:t>action on climate can take many forms. Implementing due diligence helps companies prioritise and address key climate risks</w:t>
      </w:r>
      <w:r w:rsidRPr="00FC1BF2">
        <w:rPr>
          <w:rFonts w:ascii="Century Gothic" w:eastAsia="Times New Roman" w:hAnsi="Century Gothic" w:cs="Times New Roman"/>
          <w:color w:val="000000" w:themeColor="text1"/>
          <w:sz w:val="22"/>
          <w:lang w:eastAsia="en-AU"/>
        </w:rPr>
        <w:t xml:space="preserve"> and impacts’.</w:t>
      </w:r>
      <w:r w:rsidRPr="00FC1BF2">
        <w:rPr>
          <w:rStyle w:val="EndnoteReference"/>
          <w:rFonts w:ascii="Century Gothic" w:eastAsia="Times New Roman" w:hAnsi="Century Gothic" w:cs="Times New Roman"/>
          <w:color w:val="000000" w:themeColor="text1"/>
          <w:sz w:val="22"/>
          <w:lang w:eastAsia="en-AU"/>
        </w:rPr>
        <w:endnoteReference w:id="32"/>
      </w:r>
      <w:r w:rsidRPr="00FC1BF2">
        <w:rPr>
          <w:rFonts w:ascii="Century Gothic" w:eastAsia="Times New Roman" w:hAnsi="Century Gothic" w:cs="Times New Roman"/>
          <w:color w:val="000000" w:themeColor="text1"/>
          <w:sz w:val="22"/>
          <w:lang w:eastAsia="en-AU"/>
        </w:rPr>
        <w:t xml:space="preserve"> This </w:t>
      </w:r>
      <w:r w:rsidRPr="00FC1BF2">
        <w:rPr>
          <w:rFonts w:ascii="Century Gothic" w:eastAsia="Times New Roman" w:hAnsi="Century Gothic" w:cs="Times New Roman"/>
          <w:color w:val="000000" w:themeColor="text1"/>
          <w:sz w:val="22"/>
          <w:lang w:eastAsia="en-AU"/>
        </w:rPr>
        <w:lastRenderedPageBreak/>
        <w:t>reinforces that due diligence involves prioritising, is iterative, and thus not necessarily ‘finished’ at any point of time.</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b/>
          <w:bCs/>
          <w:color w:val="000000" w:themeColor="text1"/>
          <w:sz w:val="22"/>
          <w:lang w:eastAsia="en-AU"/>
        </w:rPr>
        <w:t xml:space="preserve">‘The OECD recommends that due diligence reporting include information about a company’s policies </w:t>
      </w:r>
      <w:r w:rsidRPr="00FC1BF2">
        <w:rPr>
          <w:rFonts w:ascii="Century Gothic" w:eastAsia="Times New Roman" w:hAnsi="Century Gothic" w:cs="Times New Roman"/>
          <w:color w:val="000000" w:themeColor="text1"/>
          <w:sz w:val="22"/>
          <w:lang w:eastAsia="en-AU"/>
        </w:rPr>
        <w:t>on climate and other ESG issues,</w:t>
      </w:r>
      <w:r w:rsidRPr="00FC1BF2">
        <w:rPr>
          <w:rFonts w:ascii="Century Gothic" w:eastAsia="Times New Roman" w:hAnsi="Century Gothic" w:cs="Times New Roman"/>
          <w:b/>
          <w:bCs/>
          <w:color w:val="000000" w:themeColor="text1"/>
          <w:sz w:val="22"/>
          <w:lang w:eastAsia="en-AU"/>
        </w:rPr>
        <w:t xml:space="preserve"> information on measures taken </w:t>
      </w:r>
      <w:r w:rsidRPr="00FC1BF2">
        <w:rPr>
          <w:rFonts w:ascii="Century Gothic" w:eastAsia="Times New Roman" w:hAnsi="Century Gothic" w:cs="Times New Roman"/>
          <w:color w:val="000000" w:themeColor="text1"/>
          <w:sz w:val="22"/>
          <w:lang w:eastAsia="en-AU"/>
        </w:rPr>
        <w:t>to embed those policies into management systems,</w:t>
      </w:r>
      <w:r w:rsidRPr="00FC1BF2">
        <w:rPr>
          <w:rFonts w:ascii="Century Gothic" w:eastAsia="Times New Roman" w:hAnsi="Century Gothic" w:cs="Times New Roman"/>
          <w:b/>
          <w:bCs/>
          <w:color w:val="000000" w:themeColor="text1"/>
          <w:sz w:val="22"/>
          <w:lang w:eastAsia="en-AU"/>
        </w:rPr>
        <w:t xml:space="preserve"> identified areas of significant risks</w:t>
      </w:r>
      <w:r w:rsidRPr="00FC1BF2">
        <w:rPr>
          <w:rFonts w:ascii="Century Gothic" w:eastAsia="Times New Roman" w:hAnsi="Century Gothic" w:cs="Times New Roman"/>
          <w:color w:val="000000" w:themeColor="text1"/>
          <w:sz w:val="22"/>
          <w:lang w:eastAsia="en-AU"/>
        </w:rPr>
        <w:t>, as well as specific priority risks areas,</w:t>
      </w:r>
      <w:r w:rsidRPr="00FC1BF2">
        <w:rPr>
          <w:rFonts w:ascii="Century Gothic" w:eastAsia="Times New Roman" w:hAnsi="Century Gothic" w:cs="Times New Roman"/>
          <w:b/>
          <w:bCs/>
          <w:color w:val="000000" w:themeColor="text1"/>
          <w:sz w:val="22"/>
          <w:lang w:eastAsia="en-AU"/>
        </w:rPr>
        <w:t xml:space="preserve"> and the actions taken</w:t>
      </w:r>
      <w:r w:rsidRPr="00FC1BF2">
        <w:rPr>
          <w:rFonts w:ascii="Century Gothic" w:eastAsia="Times New Roman" w:hAnsi="Century Gothic" w:cs="Times New Roman"/>
          <w:color w:val="000000" w:themeColor="text1"/>
          <w:sz w:val="22"/>
          <w:lang w:eastAsia="en-AU"/>
        </w:rPr>
        <w:t xml:space="preserve"> to prevent or mitigate those risks’.</w:t>
      </w:r>
      <w:r w:rsidRPr="00FC1BF2">
        <w:rPr>
          <w:rStyle w:val="EndnoteReference"/>
          <w:rFonts w:ascii="Century Gothic" w:eastAsia="Times New Roman" w:hAnsi="Century Gothic" w:cs="Times New Roman"/>
          <w:color w:val="000000" w:themeColor="text1"/>
          <w:sz w:val="22"/>
          <w:lang w:eastAsia="en-AU"/>
        </w:rPr>
        <w:endnoteReference w:id="33"/>
      </w:r>
      <w:r w:rsidRPr="00FC1BF2">
        <w:rPr>
          <w:rFonts w:ascii="Century Gothic" w:eastAsia="Times New Roman" w:hAnsi="Century Gothic" w:cs="Times New Roman"/>
          <w:color w:val="000000" w:themeColor="text1"/>
          <w:sz w:val="22"/>
          <w:lang w:eastAsia="en-AU"/>
        </w:rPr>
        <w:t xml:space="preserve"> This reinforces the relevance of the Complaint’s points on reporting and disclosure issues.</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36" w:name="_Ref35509628"/>
      <w:r w:rsidRPr="00FC1BF2">
        <w:rPr>
          <w:rFonts w:ascii="Century Gothic" w:eastAsia="Times New Roman" w:hAnsi="Century Gothic" w:cs="Times New Roman"/>
          <w:color w:val="000000" w:themeColor="text1"/>
          <w:sz w:val="22"/>
          <w:lang w:eastAsia="en-AU"/>
        </w:rPr>
        <w:t>Examining the applicable law and procedures reveals that some matters in the Complaint are beyond the scope of the OECD Guidelines and what could usefully be progressed in ‘good offices’ conciliation.</w:t>
      </w:r>
      <w:bookmarkEnd w:id="36"/>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Broader movements around </w:t>
      </w:r>
      <w:r w:rsidRPr="00FC1BF2">
        <w:rPr>
          <w:rFonts w:ascii="Century Gothic" w:eastAsia="Times New Roman" w:hAnsi="Century Gothic" w:cs="Times New Roman"/>
          <w:i/>
          <w:iCs/>
          <w:color w:val="000000" w:themeColor="text1"/>
          <w:sz w:val="22"/>
          <w:lang w:eastAsia="en-AU"/>
        </w:rPr>
        <w:t xml:space="preserve">divestment </w:t>
      </w:r>
      <w:r w:rsidRPr="00FC1BF2">
        <w:rPr>
          <w:rFonts w:ascii="Century Gothic" w:eastAsia="Times New Roman" w:hAnsi="Century Gothic" w:cs="Times New Roman"/>
          <w:color w:val="000000" w:themeColor="text1"/>
          <w:sz w:val="22"/>
          <w:lang w:eastAsia="en-AU"/>
        </w:rPr>
        <w:t xml:space="preserve">from fossil fuel operations, and government action on climate change, </w:t>
      </w:r>
      <w:r w:rsidRPr="00FC1BF2">
        <w:rPr>
          <w:rFonts w:ascii="Century Gothic" w:eastAsia="Times New Roman" w:hAnsi="Century Gothic" w:cs="Times New Roman"/>
          <w:i/>
          <w:iCs/>
          <w:color w:val="000000" w:themeColor="text1"/>
          <w:sz w:val="22"/>
          <w:lang w:eastAsia="en-AU"/>
        </w:rPr>
        <w:t>may</w:t>
      </w:r>
      <w:r w:rsidRPr="00FC1BF2">
        <w:rPr>
          <w:rFonts w:ascii="Century Gothic" w:eastAsia="Times New Roman" w:hAnsi="Century Gothic" w:cs="Times New Roman"/>
          <w:color w:val="000000" w:themeColor="text1"/>
          <w:sz w:val="22"/>
          <w:lang w:eastAsia="en-AU"/>
        </w:rPr>
        <w:t xml:space="preserve"> be developing in other fora. However, the OECD Guidelines do not require divestment from fossil fuel. What the OECD Guidelines and guides show, is that a bank’s responsibility relating to GHG is primarily focused on the due diligence </w:t>
      </w:r>
      <w:r w:rsidRPr="00FC1BF2">
        <w:rPr>
          <w:rFonts w:ascii="Century Gothic" w:eastAsia="Times New Roman" w:hAnsi="Century Gothic" w:cs="Times New Roman"/>
          <w:i/>
          <w:iCs/>
          <w:color w:val="000000" w:themeColor="text1"/>
          <w:sz w:val="22"/>
          <w:lang w:eastAsia="en-AU"/>
        </w:rPr>
        <w:t>in relation to each specific operation, examining their potential impacts, and encouraging lower emissions</w:t>
      </w:r>
      <w:r w:rsidRPr="00FC1BF2">
        <w:rPr>
          <w:rFonts w:ascii="Century Gothic" w:eastAsia="Times New Roman" w:hAnsi="Century Gothic" w:cs="Times New Roman"/>
          <w:color w:val="000000" w:themeColor="text1"/>
          <w:sz w:val="22"/>
          <w:lang w:eastAsia="en-AU"/>
        </w:rPr>
        <w:t>. It is impossible to determine whether the necessary due diligence has occurred from the mere fact of investment which has a fossil fuel component.</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 OECD Guidelines more readily have application regarding fossil fuels, in considering an enterprise’s GHG emissions. The due-diligence process has obvious implications, for example, regarding an industrial plant which is not using practical emission reduction techniques and technology; or a fossil-fuel producer which is generating its product below best practice in minimising GHG emissions. A bank investing in those types of operations would have clear due diligence obligations, regarding leverage and influencing the conduct of its client(s). </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Issues in relation to disclosure, target-setting and measurement </w:t>
      </w:r>
      <w:r w:rsidRPr="00FC1BF2">
        <w:rPr>
          <w:rFonts w:ascii="Century Gothic" w:eastAsia="Times New Roman" w:hAnsi="Century Gothic" w:cs="Times New Roman"/>
          <w:i/>
          <w:iCs/>
          <w:color w:val="000000" w:themeColor="text1"/>
          <w:sz w:val="22"/>
          <w:lang w:eastAsia="en-AU"/>
        </w:rPr>
        <w:t xml:space="preserve">are </w:t>
      </w:r>
      <w:r w:rsidRPr="00FC1BF2">
        <w:rPr>
          <w:rFonts w:ascii="Century Gothic" w:eastAsia="Times New Roman" w:hAnsi="Century Gothic" w:cs="Times New Roman"/>
          <w:color w:val="000000" w:themeColor="text1"/>
          <w:sz w:val="22"/>
          <w:lang w:eastAsia="en-AU"/>
        </w:rPr>
        <w:t>aspects of what the OECD Guidelines envisaged in relation to due diligence and GHG emissions.</w:t>
      </w:r>
    </w:p>
    <w:p w:rsidR="006A7AAD" w:rsidRPr="00FC1BF2" w:rsidRDefault="006A7AAD" w:rsidP="007C24F4">
      <w:pPr>
        <w:pStyle w:val="Heading3"/>
        <w:numPr>
          <w:ilvl w:val="0"/>
          <w:numId w:val="0"/>
        </w:numPr>
        <w:spacing w:line="240" w:lineRule="auto"/>
        <w:rPr>
          <w:rFonts w:asciiTheme="minorHAnsi" w:eastAsia="Times New Roman" w:hAnsiTheme="minorHAnsi" w:cstheme="minorHAnsi"/>
          <w:b w:val="0"/>
          <w:bCs w:val="0"/>
          <w:i/>
          <w:iCs/>
          <w:color w:val="000000" w:themeColor="text1"/>
          <w:sz w:val="36"/>
          <w:szCs w:val="36"/>
          <w:lang w:eastAsia="en-AU"/>
        </w:rPr>
      </w:pPr>
      <w:bookmarkStart w:id="37" w:name="_Toc34504304"/>
      <w:bookmarkStart w:id="38" w:name="_Toc54942657"/>
      <w:r w:rsidRPr="00FC1BF2">
        <w:rPr>
          <w:rFonts w:asciiTheme="minorHAnsi" w:eastAsia="Times New Roman" w:hAnsiTheme="minorHAnsi" w:cstheme="minorHAnsi"/>
          <w:b w:val="0"/>
          <w:bCs w:val="0"/>
          <w:i/>
          <w:iCs/>
          <w:color w:val="000000" w:themeColor="text1"/>
          <w:sz w:val="36"/>
          <w:szCs w:val="36"/>
          <w:lang w:eastAsia="en-AU"/>
        </w:rPr>
        <w:t>Criterion 5: Treatment of similar issues in domestic or international proceedings</w:t>
      </w:r>
      <w:bookmarkEnd w:id="37"/>
      <w:bookmarkEnd w:id="38"/>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fifth admissibility criteria to be examined is ‘how similar issues have been, or are being, treated in other domestic or international proceedings’. This assists in ensuring relevant precedents are known to promote consistency, avoiding duplication, and not prejudicing parties involved in litigation if inconsistent with any specific mediation.</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There are increasing amounts of legal proceedings, in Australia and elsewhere, concerning climate change, with many similar issues to those in this Complaint. Some proceedings are against governments and/or corporations, asserting they are liable for contributing (or not avoiding) the physical and financial impacts associated with GHG emissions.</w:t>
      </w:r>
      <w:r w:rsidRPr="00FC1BF2">
        <w:rPr>
          <w:rStyle w:val="EndnoteReference"/>
          <w:rFonts w:ascii="Century Gothic" w:eastAsia="Times New Roman" w:hAnsi="Century Gothic" w:cs="Times New Roman"/>
          <w:color w:val="000000" w:themeColor="text1"/>
          <w:sz w:val="22"/>
          <w:lang w:eastAsia="en-AU"/>
        </w:rPr>
        <w:endnoteReference w:id="34"/>
      </w:r>
      <w:r w:rsidRPr="00FC1BF2">
        <w:rPr>
          <w:rFonts w:ascii="Century Gothic" w:eastAsia="Times New Roman" w:hAnsi="Century Gothic" w:cs="Times New Roman"/>
          <w:color w:val="000000" w:themeColor="text1"/>
          <w:sz w:val="22"/>
          <w:lang w:eastAsia="en-AU"/>
        </w:rPr>
        <w:t xml:space="preserve"> Other proceedings oppose proposed fossil fuel projects, asserting that the resultant GHG emissions weigh against these projects being approved to proceed. </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None of these proceedings are determinative of whether the Complaint should proceed (or be rejected) under the OECD Guidelines, because the OECD Guidelines </w:t>
      </w:r>
      <w:r w:rsidRPr="00FC1BF2">
        <w:rPr>
          <w:rFonts w:ascii="Century Gothic" w:eastAsia="Times New Roman" w:hAnsi="Century Gothic" w:cs="Times New Roman"/>
          <w:color w:val="000000" w:themeColor="text1"/>
          <w:sz w:val="22"/>
          <w:lang w:eastAsia="en-AU"/>
        </w:rPr>
        <w:lastRenderedPageBreak/>
        <w:t>apply regardless of domestic law.</w:t>
      </w:r>
      <w:r w:rsidRPr="00FC1BF2">
        <w:rPr>
          <w:rStyle w:val="EndnoteReference"/>
          <w:rFonts w:ascii="Century Gothic" w:eastAsia="Times New Roman" w:hAnsi="Century Gothic" w:cs="Times New Roman"/>
          <w:color w:val="000000" w:themeColor="text1"/>
          <w:sz w:val="22"/>
          <w:lang w:eastAsia="en-AU"/>
        </w:rPr>
        <w:endnoteReference w:id="35"/>
      </w:r>
      <w:r w:rsidRPr="00FC1BF2">
        <w:rPr>
          <w:rFonts w:ascii="Century Gothic" w:eastAsia="Times New Roman" w:hAnsi="Century Gothic" w:cs="Times New Roman"/>
          <w:color w:val="000000" w:themeColor="text1"/>
          <w:sz w:val="22"/>
          <w:lang w:eastAsia="en-AU"/>
        </w:rPr>
        <w:t xml:space="preserve"> Equally, it does not appear the Notifiers or ANZ are involved in current litigation concerning issues in this Complaint. So, there is no obstacle to ‘good offices’ conciliation from that perspective.</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There are other proceedings examining climate change and the need for change currently underway. Relevant to the issues raised in this Complaint – climate change and fires - the Australian Government established a Royal Commission in February 2020. The Commission’s terms of reference include the following.</w:t>
      </w:r>
    </w:p>
    <w:p w:rsidR="006A7AAD" w:rsidRPr="00FC1BF2" w:rsidRDefault="006A7AAD" w:rsidP="006A7AAD">
      <w:pPr>
        <w:pStyle w:val="OutlineNumbered1"/>
        <w:spacing w:before="120" w:line="280" w:lineRule="exact"/>
        <w:ind w:left="1134"/>
        <w:rPr>
          <w:rFonts w:ascii="Century Gothic" w:eastAsia="Times New Roman" w:hAnsi="Century Gothic" w:cs="Times New Roman"/>
          <w:b/>
          <w:bCs/>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 xml:space="preserve">WHEREAS Australia is experiencing an extreme bushfire season in 2019-2020, resulting in devastating loss of life, property and wildlife, and environmental destruction across the nation. ... AND </w:t>
      </w:r>
      <w:r w:rsidRPr="00FC1BF2">
        <w:rPr>
          <w:rFonts w:ascii="Century Gothic" w:eastAsia="Times New Roman" w:hAnsi="Century Gothic" w:cs="Times New Roman"/>
          <w:b/>
          <w:bCs/>
          <w:i/>
          <w:iCs/>
          <w:color w:val="000000" w:themeColor="text1"/>
          <w:sz w:val="22"/>
          <w:lang w:eastAsia="en-AU"/>
        </w:rPr>
        <w:t xml:space="preserve">the changing global climate carries risks for </w:t>
      </w:r>
      <w:r w:rsidRPr="00FC1BF2">
        <w:rPr>
          <w:rFonts w:ascii="Century Gothic" w:eastAsia="Times New Roman" w:hAnsi="Century Gothic" w:cs="Times New Roman"/>
          <w:i/>
          <w:iCs/>
          <w:color w:val="000000" w:themeColor="text1"/>
          <w:sz w:val="22"/>
          <w:lang w:eastAsia="en-AU"/>
        </w:rPr>
        <w:t>the Australian environment and</w:t>
      </w:r>
      <w:r w:rsidRPr="00FC1BF2">
        <w:rPr>
          <w:rFonts w:ascii="Century Gothic" w:eastAsia="Times New Roman" w:hAnsi="Century Gothic" w:cs="Times New Roman"/>
          <w:b/>
          <w:bCs/>
          <w:i/>
          <w:iCs/>
          <w:color w:val="000000" w:themeColor="text1"/>
          <w:sz w:val="22"/>
          <w:lang w:eastAsia="en-AU"/>
        </w:rPr>
        <w:t xml:space="preserve"> Australia's ability to prevent, mitigate and respond to bushfires and other natural disasters.</w:t>
      </w:r>
    </w:p>
    <w:p w:rsidR="006A7AAD" w:rsidRPr="00FC1BF2" w:rsidRDefault="006A7AAD" w:rsidP="006A7AAD">
      <w:pPr>
        <w:pStyle w:val="OutlineNumbered1"/>
        <w:spacing w:before="120" w:line="280" w:lineRule="exact"/>
        <w:ind w:left="1134"/>
        <w:rPr>
          <w:rFonts w:ascii="Century Gothic" w:eastAsia="Times New Roman" w:hAnsi="Century Gothic" w:cs="Times New Roman"/>
          <w:b/>
          <w:bCs/>
          <w:i/>
          <w:iCs/>
          <w:color w:val="000000" w:themeColor="text1"/>
          <w:sz w:val="22"/>
          <w:lang w:eastAsia="en-AU"/>
        </w:rPr>
      </w:pPr>
      <w:r w:rsidRPr="00FC1BF2">
        <w:rPr>
          <w:rFonts w:ascii="Century Gothic" w:eastAsia="Times New Roman" w:hAnsi="Century Gothic" w:cs="Times New Roman"/>
          <w:i/>
          <w:iCs/>
          <w:color w:val="000000" w:themeColor="text1"/>
          <w:sz w:val="22"/>
          <w:lang w:eastAsia="en-AU"/>
        </w:rPr>
        <w:t>AND recognising that</w:t>
      </w:r>
      <w:r w:rsidRPr="00FC1BF2">
        <w:rPr>
          <w:rFonts w:ascii="Century Gothic" w:eastAsia="Times New Roman" w:hAnsi="Century Gothic" w:cs="Times New Roman"/>
          <w:b/>
          <w:bCs/>
          <w:i/>
          <w:iCs/>
          <w:color w:val="000000" w:themeColor="text1"/>
          <w:sz w:val="22"/>
          <w:lang w:eastAsia="en-AU"/>
        </w:rPr>
        <w:t xml:space="preserve"> Australia as a nation must take action</w:t>
      </w:r>
      <w:r w:rsidRPr="00FC1BF2">
        <w:rPr>
          <w:rFonts w:ascii="Century Gothic" w:eastAsia="Times New Roman" w:hAnsi="Century Gothic" w:cs="Times New Roman"/>
          <w:i/>
          <w:iCs/>
          <w:color w:val="000000" w:themeColor="text1"/>
          <w:sz w:val="22"/>
          <w:lang w:eastAsia="en-AU"/>
        </w:rPr>
        <w:t xml:space="preserve">, including the development and implementation of adaptation actions, </w:t>
      </w:r>
      <w:r w:rsidRPr="00FC1BF2">
        <w:rPr>
          <w:rFonts w:ascii="Century Gothic" w:eastAsia="Times New Roman" w:hAnsi="Century Gothic" w:cs="Times New Roman"/>
          <w:b/>
          <w:bCs/>
          <w:i/>
          <w:iCs/>
          <w:color w:val="000000" w:themeColor="text1"/>
          <w:sz w:val="22"/>
          <w:lang w:eastAsia="en-AU"/>
        </w:rPr>
        <w:t>to address the consequences of longer, hotter, drier seasons and severe weather events.</w:t>
      </w:r>
    </w:p>
    <w:p w:rsidR="006A7AAD" w:rsidRPr="00FC1BF2" w:rsidRDefault="006A7AAD" w:rsidP="006A7AAD">
      <w:pPr>
        <w:pStyle w:val="OutlineNumbered1"/>
        <w:spacing w:before="120" w:line="280" w:lineRule="exact"/>
        <w:ind w:left="1134"/>
        <w:rPr>
          <w:rFonts w:ascii="Century Gothic" w:eastAsia="Times New Roman" w:hAnsi="Century Gothic" w:cs="Times New Roman"/>
          <w:b/>
          <w:bCs/>
          <w:i/>
          <w:iCs/>
          <w:color w:val="000000" w:themeColor="text1"/>
          <w:sz w:val="22"/>
          <w:lang w:eastAsia="en-AU"/>
        </w:rPr>
      </w:pPr>
      <w:r w:rsidRPr="00FC1BF2">
        <w:rPr>
          <w:rFonts w:ascii="Century Gothic" w:eastAsia="Times New Roman" w:hAnsi="Century Gothic" w:cs="Times New Roman"/>
          <w:b/>
          <w:bCs/>
          <w:i/>
          <w:iCs/>
          <w:color w:val="000000" w:themeColor="text1"/>
          <w:sz w:val="22"/>
          <w:lang w:eastAsia="en-AU"/>
        </w:rPr>
        <w:t>...</w:t>
      </w:r>
    </w:p>
    <w:p w:rsidR="006A7AAD" w:rsidRPr="00FC1BF2" w:rsidRDefault="006A7AAD" w:rsidP="006A7AAD">
      <w:pPr>
        <w:pStyle w:val="OutlineNumbered1"/>
        <w:spacing w:before="120" w:line="280" w:lineRule="exact"/>
        <w:ind w:left="1134"/>
        <w:rPr>
          <w:rFonts w:ascii="Century Gothic" w:eastAsia="Times New Roman" w:hAnsi="Century Gothic" w:cs="Times New Roman"/>
          <w:i/>
          <w:iCs/>
          <w:color w:val="000000" w:themeColor="text1"/>
          <w:sz w:val="22"/>
          <w:lang w:eastAsia="en-AU"/>
        </w:rPr>
      </w:pPr>
      <w:r w:rsidRPr="00FC1BF2">
        <w:rPr>
          <w:rFonts w:ascii="Century Gothic" w:eastAsia="Times New Roman" w:hAnsi="Century Gothic" w:cs="Times New Roman"/>
          <w:b/>
          <w:bCs/>
          <w:i/>
          <w:iCs/>
          <w:color w:val="000000" w:themeColor="text1"/>
          <w:sz w:val="22"/>
          <w:lang w:eastAsia="en-AU"/>
        </w:rPr>
        <w:t xml:space="preserve">[A] Commission of inquiry...[is] to inquire into </w:t>
      </w:r>
      <w:r w:rsidRPr="00FC1BF2">
        <w:rPr>
          <w:rFonts w:ascii="Century Gothic" w:eastAsia="Times New Roman" w:hAnsi="Century Gothic" w:cs="Times New Roman"/>
          <w:i/>
          <w:iCs/>
          <w:color w:val="000000" w:themeColor="text1"/>
          <w:sz w:val="22"/>
          <w:lang w:eastAsia="en-AU"/>
        </w:rPr>
        <w:t xml:space="preserve">the following matters: ...(b) Australia's arrangements for improving resilience and adapting to changing climatic conditions, </w:t>
      </w:r>
      <w:r w:rsidRPr="00FC1BF2">
        <w:rPr>
          <w:rFonts w:ascii="Century Gothic" w:eastAsia="Times New Roman" w:hAnsi="Century Gothic" w:cs="Times New Roman"/>
          <w:b/>
          <w:bCs/>
          <w:i/>
          <w:iCs/>
          <w:color w:val="000000" w:themeColor="text1"/>
          <w:sz w:val="22"/>
          <w:lang w:eastAsia="en-AU"/>
        </w:rPr>
        <w:t>what actions should be taken to mitigate the impacts of natural disasters,</w:t>
      </w:r>
      <w:r w:rsidRPr="00FC1BF2">
        <w:rPr>
          <w:rFonts w:ascii="Century Gothic" w:eastAsia="Times New Roman" w:hAnsi="Century Gothic" w:cs="Times New Roman"/>
          <w:i/>
          <w:iCs/>
          <w:color w:val="000000" w:themeColor="text1"/>
          <w:sz w:val="22"/>
          <w:lang w:eastAsia="en-AU"/>
        </w:rPr>
        <w:t xml:space="preserve"> and whether accountability for natural disaster risk management, preparedness, resilience and recovery should be enhanced, including through a nationally consistent accountability and reporting framework and national standards.</w:t>
      </w:r>
      <w:r w:rsidRPr="00FC1BF2">
        <w:rPr>
          <w:rStyle w:val="EndnoteReference"/>
          <w:rFonts w:ascii="Century Gothic" w:eastAsia="Times New Roman" w:hAnsi="Century Gothic" w:cs="Times New Roman"/>
          <w:i/>
          <w:iCs/>
          <w:color w:val="000000" w:themeColor="text1"/>
          <w:sz w:val="22"/>
          <w:lang w:eastAsia="en-AU"/>
        </w:rPr>
        <w:endnoteReference w:id="36"/>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Commission report</w:t>
      </w:r>
      <w:r w:rsidR="00D7199C">
        <w:rPr>
          <w:rFonts w:ascii="Century Gothic" w:eastAsia="Times New Roman" w:hAnsi="Century Gothic" w:cs="Times New Roman"/>
          <w:color w:val="000000" w:themeColor="text1"/>
          <w:sz w:val="22"/>
          <w:lang w:eastAsia="en-AU"/>
        </w:rPr>
        <w:t>ed</w:t>
      </w:r>
      <w:r w:rsidRPr="00FC1BF2">
        <w:rPr>
          <w:rFonts w:ascii="Century Gothic" w:eastAsia="Times New Roman" w:hAnsi="Century Gothic" w:cs="Times New Roman"/>
          <w:color w:val="000000" w:themeColor="text1"/>
          <w:sz w:val="22"/>
          <w:lang w:eastAsia="en-AU"/>
        </w:rPr>
        <w:t xml:space="preserve"> </w:t>
      </w:r>
      <w:r w:rsidR="00D7199C">
        <w:rPr>
          <w:rFonts w:ascii="Century Gothic" w:eastAsia="Times New Roman" w:hAnsi="Century Gothic" w:cs="Times New Roman"/>
          <w:color w:val="000000" w:themeColor="text1"/>
          <w:sz w:val="22"/>
          <w:lang w:eastAsia="en-AU"/>
        </w:rPr>
        <w:t>on</w:t>
      </w:r>
      <w:r w:rsidR="006870C9" w:rsidRPr="00FC1BF2">
        <w:rPr>
          <w:rFonts w:ascii="Century Gothic" w:eastAsia="Times New Roman" w:hAnsi="Century Gothic" w:cs="Times New Roman"/>
          <w:color w:val="000000" w:themeColor="text1"/>
          <w:sz w:val="22"/>
          <w:lang w:eastAsia="en-AU"/>
        </w:rPr>
        <w:t xml:space="preserve"> 28 October 2020</w:t>
      </w:r>
      <w:r w:rsidRPr="00FC1BF2">
        <w:rPr>
          <w:rFonts w:ascii="Century Gothic" w:eastAsia="Times New Roman" w:hAnsi="Century Gothic" w:cs="Times New Roman"/>
          <w:color w:val="000000" w:themeColor="text1"/>
          <w:sz w:val="22"/>
          <w:lang w:eastAsia="en-AU"/>
        </w:rPr>
        <w:t>. The Commission invited submissions from the public.</w:t>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There is also a multi-stakeholder process currently underway which addresses many of the issues raised in this Complaint: the </w:t>
      </w:r>
      <w:r w:rsidRPr="00FC1BF2">
        <w:rPr>
          <w:rFonts w:ascii="Century Gothic" w:eastAsia="Times New Roman" w:hAnsi="Century Gothic" w:cs="Times New Roman"/>
          <w:i/>
          <w:iCs/>
          <w:color w:val="000000" w:themeColor="text1"/>
          <w:sz w:val="22"/>
          <w:lang w:eastAsia="en-AU"/>
        </w:rPr>
        <w:t xml:space="preserve">Australian Sustainable Finance Initiative </w:t>
      </w:r>
      <w:r w:rsidRPr="00FC1BF2">
        <w:rPr>
          <w:rFonts w:ascii="Century Gothic" w:eastAsia="Times New Roman" w:hAnsi="Century Gothic" w:cs="Times New Roman"/>
          <w:color w:val="000000" w:themeColor="text1"/>
          <w:sz w:val="22"/>
          <w:lang w:eastAsia="en-AU"/>
        </w:rPr>
        <w:t>(</w:t>
      </w:r>
      <w:r w:rsidRPr="00FC1BF2">
        <w:rPr>
          <w:rFonts w:ascii="Century Gothic" w:eastAsia="Times New Roman" w:hAnsi="Century Gothic" w:cs="Times New Roman"/>
          <w:b/>
          <w:bCs/>
          <w:color w:val="000000" w:themeColor="text1"/>
          <w:sz w:val="22"/>
          <w:lang w:eastAsia="en-AU"/>
        </w:rPr>
        <w:t>ASFI</w:t>
      </w:r>
      <w:r w:rsidRPr="00FC1BF2">
        <w:rPr>
          <w:rFonts w:ascii="Century Gothic" w:eastAsia="Times New Roman" w:hAnsi="Century Gothic" w:cs="Times New Roman"/>
          <w:color w:val="000000" w:themeColor="text1"/>
          <w:sz w:val="22"/>
          <w:lang w:eastAsia="en-AU"/>
        </w:rPr>
        <w:t xml:space="preserve">). ASFI issued a </w:t>
      </w:r>
      <w:r w:rsidRPr="00FC1BF2">
        <w:rPr>
          <w:rFonts w:ascii="Century Gothic" w:eastAsia="Times New Roman" w:hAnsi="Century Gothic" w:cs="Times New Roman"/>
          <w:i/>
          <w:iCs/>
          <w:color w:val="000000" w:themeColor="text1"/>
          <w:sz w:val="22"/>
          <w:lang w:eastAsia="en-AU"/>
        </w:rPr>
        <w:t>Progress Report</w:t>
      </w:r>
      <w:r w:rsidRPr="00FC1BF2">
        <w:rPr>
          <w:rFonts w:ascii="Century Gothic" w:eastAsia="Times New Roman" w:hAnsi="Century Gothic" w:cs="Times New Roman"/>
          <w:color w:val="000000" w:themeColor="text1"/>
          <w:sz w:val="22"/>
          <w:lang w:eastAsia="en-AU"/>
        </w:rPr>
        <w:t xml:space="preserve"> in December 2019,</w:t>
      </w:r>
      <w:bookmarkStart w:id="39" w:name="_Ref35510450"/>
      <w:r w:rsidRPr="00FC1BF2">
        <w:rPr>
          <w:rStyle w:val="EndnoteReference"/>
          <w:rFonts w:ascii="Century Gothic" w:eastAsia="Times New Roman" w:hAnsi="Century Gothic" w:cs="Times New Roman"/>
          <w:color w:val="000000" w:themeColor="text1"/>
          <w:sz w:val="22"/>
          <w:lang w:eastAsia="en-AU"/>
        </w:rPr>
        <w:endnoteReference w:id="37"/>
      </w:r>
      <w:bookmarkEnd w:id="39"/>
      <w:r w:rsidRPr="00FC1BF2">
        <w:rPr>
          <w:rFonts w:ascii="Century Gothic" w:eastAsia="Times New Roman" w:hAnsi="Century Gothic" w:cs="Times New Roman"/>
          <w:color w:val="000000" w:themeColor="text1"/>
          <w:sz w:val="22"/>
          <w:lang w:eastAsia="en-AU"/>
        </w:rPr>
        <w:t xml:space="preserve"> and the following is relevant here.</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ASFI has representation from ‘Australia’s major banks, superannuation funds, insurance companies, financial sector peak bodies and academia’.</w:t>
      </w:r>
      <w:bookmarkStart w:id="40" w:name="_Ref35510432"/>
      <w:r w:rsidRPr="00FC1BF2">
        <w:rPr>
          <w:rStyle w:val="EndnoteReference"/>
          <w:rFonts w:ascii="Century Gothic" w:eastAsia="Times New Roman" w:hAnsi="Century Gothic" w:cs="Times New Roman"/>
          <w:color w:val="000000" w:themeColor="text1"/>
          <w:sz w:val="22"/>
          <w:lang w:eastAsia="en-AU"/>
        </w:rPr>
        <w:endnoteReference w:id="38"/>
      </w:r>
      <w:bookmarkEnd w:id="40"/>
      <w:r w:rsidRPr="00FC1BF2">
        <w:rPr>
          <w:rFonts w:ascii="Century Gothic" w:eastAsia="Times New Roman" w:hAnsi="Century Gothic" w:cs="Times New Roman"/>
          <w:color w:val="000000" w:themeColor="text1"/>
          <w:sz w:val="22"/>
          <w:lang w:eastAsia="en-AU"/>
        </w:rPr>
        <w:t xml:space="preserve"> Their aim is ‘to develop a Sustainable Finance Roadmap, in consultation with diverse sectors and stakeholders ... to be launched in 2020, [which] will recommend pathways, policies and frameworks to enable the financial services sector to contribute more systematically to the transition to a more resilient and sustainable economy, consistent with global goals such as the UN Sustainable Development Goals and the Paris Agreement on climate change’.</w:t>
      </w:r>
      <w:r w:rsidRPr="00FC1BF2">
        <w:rPr>
          <w:rStyle w:val="EndnoteReference"/>
          <w:rFonts w:ascii="Century Gothic" w:eastAsia="Times New Roman" w:hAnsi="Century Gothic" w:cs="Times New Roman"/>
          <w:color w:val="000000" w:themeColor="text1"/>
          <w:sz w:val="22"/>
          <w:lang w:eastAsia="en-AU"/>
        </w:rPr>
        <w:endnoteReference w:id="39"/>
      </w:r>
      <w:r w:rsidRPr="00FC1BF2">
        <w:rPr>
          <w:rFonts w:ascii="Century Gothic" w:eastAsia="Times New Roman" w:hAnsi="Century Gothic" w:cs="Times New Roman"/>
          <w:color w:val="000000" w:themeColor="text1"/>
          <w:sz w:val="22"/>
          <w:lang w:eastAsia="en-AU"/>
        </w:rPr>
        <w:t xml:space="preserve">  </w:t>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December 2019 Progress Report outlined ‘Critical challenges for the financial services sector’, noting ‘As the financial services sector, we must act now to mitigate future risks and instability to our sector, the economy and – more broadly – society that are occurring as a consequence of global shifts such as a changing climate’.</w:t>
      </w:r>
      <w:r w:rsidRPr="00FC1BF2">
        <w:rPr>
          <w:rStyle w:val="EndnoteReference"/>
          <w:rFonts w:ascii="Century Gothic" w:eastAsia="Times New Roman" w:hAnsi="Century Gothic" w:cs="Times New Roman"/>
          <w:color w:val="000000" w:themeColor="text1"/>
          <w:sz w:val="22"/>
          <w:lang w:eastAsia="en-AU"/>
        </w:rPr>
        <w:endnoteReference w:id="40"/>
      </w:r>
    </w:p>
    <w:p w:rsidR="006A7AAD" w:rsidRPr="00FC1BF2" w:rsidRDefault="006A7AAD" w:rsidP="006A7AAD">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ASFI states it ‘will be engaging and consulting with stakeholders ... [and] ASFI invites interested parties to make a submission’.</w:t>
      </w:r>
      <w:r w:rsidRPr="00FC1BF2">
        <w:rPr>
          <w:rStyle w:val="EndnoteReference"/>
          <w:rFonts w:ascii="Century Gothic" w:eastAsia="Times New Roman" w:hAnsi="Century Gothic" w:cs="Times New Roman"/>
          <w:color w:val="000000" w:themeColor="text1"/>
          <w:sz w:val="22"/>
          <w:lang w:eastAsia="en-AU"/>
        </w:rPr>
        <w:endnoteReference w:id="41"/>
      </w:r>
    </w:p>
    <w:p w:rsidR="00EF1CD5"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41" w:name="_Ref38479503"/>
      <w:bookmarkStart w:id="42" w:name="_Toc34504305"/>
      <w:r w:rsidRPr="00FC1BF2">
        <w:rPr>
          <w:rFonts w:ascii="Century Gothic" w:eastAsia="Times New Roman" w:hAnsi="Century Gothic" w:cs="Times New Roman"/>
          <w:color w:val="000000" w:themeColor="text1"/>
          <w:sz w:val="22"/>
          <w:lang w:eastAsia="en-AU"/>
        </w:rPr>
        <w:t xml:space="preserve">The aspects of the Complaint dealing with bank disclosures, target-setting and scenario-analysis are all issues which appear </w:t>
      </w:r>
      <w:r w:rsidR="0096553A" w:rsidRPr="00FC1BF2">
        <w:rPr>
          <w:rFonts w:ascii="Century Gothic" w:eastAsia="Times New Roman" w:hAnsi="Century Gothic" w:cs="Times New Roman"/>
          <w:color w:val="000000" w:themeColor="text1"/>
          <w:sz w:val="22"/>
          <w:lang w:eastAsia="en-AU"/>
        </w:rPr>
        <w:t>relevant to</w:t>
      </w:r>
      <w:r w:rsidRPr="00FC1BF2">
        <w:rPr>
          <w:rFonts w:ascii="Century Gothic" w:eastAsia="Times New Roman" w:hAnsi="Century Gothic" w:cs="Times New Roman"/>
          <w:color w:val="000000" w:themeColor="text1"/>
          <w:sz w:val="22"/>
          <w:lang w:eastAsia="en-AU"/>
        </w:rPr>
        <w:t xml:space="preserve"> the ASFI process. Additionally, </w:t>
      </w:r>
      <w:r w:rsidRPr="00FC1BF2">
        <w:rPr>
          <w:rFonts w:ascii="Century Gothic" w:eastAsia="Times New Roman" w:hAnsi="Century Gothic" w:cs="Times New Roman"/>
          <w:color w:val="000000" w:themeColor="text1"/>
          <w:sz w:val="22"/>
          <w:lang w:eastAsia="en-AU"/>
        </w:rPr>
        <w:lastRenderedPageBreak/>
        <w:t xml:space="preserve">the way in which these aspects have been couched in the Complaint, mean there would be benefit from broader perspectives and input as to what is required of a bank in those areas. The Complaint repeatedly references the Paris Agreement. ASFI aims to develop policies and frameworks for the financial services sector ‘consistent with ...the Paris Agreement’ through engaging and consulting with stakeholders. </w:t>
      </w:r>
    </w:p>
    <w:p w:rsidR="006870C9" w:rsidRPr="00FC1BF2" w:rsidRDefault="006870C9"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Important considerations will arise when ASFI finishes its process. At that time, it will be possible to examine the consistency of ASFI’s outcomes and recommendations with the OECD Guidelines. The AusNCP Independent Examiner recommends the AusNCP provide a copy of this Initial Assessment, when this document is published, to ASFI and emphasise three points. </w:t>
      </w:r>
    </w:p>
    <w:p w:rsidR="006870C9" w:rsidRPr="00FC1BF2" w:rsidRDefault="006870C9" w:rsidP="006870C9">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OECD Guidelines have relevance to how banks approach GHG emissions, and investment in fossil fuel projects.</w:t>
      </w:r>
    </w:p>
    <w:p w:rsidR="006870C9" w:rsidRPr="00FC1BF2" w:rsidRDefault="006870C9" w:rsidP="006870C9">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If ASFI’s final recommendations are consistent with the OECD Guidelines, they are assisting banks and stakeholders. </w:t>
      </w:r>
    </w:p>
    <w:p w:rsidR="006870C9" w:rsidRPr="00FC1BF2" w:rsidRDefault="006870C9" w:rsidP="006870C9">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 xml:space="preserve">To the extent any ASFI recommendations are inconsistent with the OECD Guidelines, that may contribute to further complaints and consideration by NCPs. </w:t>
      </w:r>
    </w:p>
    <w:p w:rsidR="006A7AAD" w:rsidRPr="00FC1BF2" w:rsidRDefault="006A7AAD" w:rsidP="007C24F4">
      <w:pPr>
        <w:pStyle w:val="Heading3"/>
        <w:numPr>
          <w:ilvl w:val="0"/>
          <w:numId w:val="0"/>
        </w:numPr>
        <w:spacing w:line="240" w:lineRule="auto"/>
        <w:rPr>
          <w:rFonts w:asciiTheme="minorHAnsi" w:eastAsia="Times New Roman" w:hAnsiTheme="minorHAnsi" w:cstheme="minorHAnsi"/>
          <w:b w:val="0"/>
          <w:bCs w:val="0"/>
          <w:i/>
          <w:iCs/>
          <w:color w:val="000000" w:themeColor="text1"/>
          <w:sz w:val="36"/>
          <w:szCs w:val="36"/>
          <w:lang w:eastAsia="en-AU"/>
        </w:rPr>
      </w:pPr>
      <w:bookmarkStart w:id="43" w:name="_Toc54942658"/>
      <w:bookmarkEnd w:id="41"/>
      <w:r w:rsidRPr="00FC1BF2">
        <w:rPr>
          <w:rFonts w:asciiTheme="minorHAnsi" w:eastAsia="Times New Roman" w:hAnsiTheme="minorHAnsi" w:cstheme="minorHAnsi"/>
          <w:b w:val="0"/>
          <w:bCs w:val="0"/>
          <w:i/>
          <w:iCs/>
          <w:color w:val="000000" w:themeColor="text1"/>
          <w:sz w:val="36"/>
          <w:szCs w:val="36"/>
          <w:lang w:eastAsia="en-AU"/>
        </w:rPr>
        <w:t>Criterion 6: The purposes and effectiveness of the OECD Guidelines</w:t>
      </w:r>
      <w:bookmarkEnd w:id="42"/>
      <w:bookmarkEnd w:id="43"/>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final admissibility criteria is ‘whether the consideration of the complaint would contribute to the purposes and effectiveness of the OECD Guidelines’. This criteria ‘is intentionally broad and can encompass a wide range of issues’.</w:t>
      </w:r>
      <w:r w:rsidRPr="00FC1BF2">
        <w:rPr>
          <w:rStyle w:val="EndnoteReference"/>
          <w:rFonts w:ascii="Century Gothic" w:eastAsia="Times New Roman" w:hAnsi="Century Gothic" w:cs="Times New Roman"/>
          <w:color w:val="000000" w:themeColor="text1"/>
          <w:sz w:val="22"/>
          <w:lang w:eastAsia="en-AU"/>
        </w:rPr>
        <w:endnoteReference w:id="42"/>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assessment of whether ‘good offices’ could contribute to the purposes and effectiveness of the OECD Guidelines is informed by what the particular complaint seeks. This is because initial assessment involves considering ‘whether providing good offices through facilitating an exchange between the parties, discussing the issues and expectations of the Guidelines with the enterprises in question, or developing meaningful recommendations with respect to enterprise conduct would support or encourage the resolution of the issues.’</w:t>
      </w:r>
      <w:r w:rsidRPr="00FC1BF2">
        <w:rPr>
          <w:rStyle w:val="EndnoteReference"/>
          <w:rFonts w:ascii="Century Gothic" w:eastAsia="Times New Roman" w:hAnsi="Century Gothic" w:cs="Times New Roman"/>
          <w:color w:val="000000" w:themeColor="text1"/>
          <w:sz w:val="22"/>
          <w:lang w:eastAsia="en-AU"/>
        </w:rPr>
        <w:endnoteReference w:id="43"/>
      </w:r>
    </w:p>
    <w:p w:rsidR="006A7AAD" w:rsidRPr="00FC1BF2" w:rsidRDefault="006A7AAD" w:rsidP="006A7AAD">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The Notifiers requested good offices mediation ‘in particular, focusing on how divestment from fossil fuel investment could occur’. As explained above, fossil fuel divestment is not something the OECD Guidelines requires. While a complaint ‘should not be rejected on the basis that a specific remedy is sought’,</w:t>
      </w:r>
      <w:r w:rsidRPr="00FC1BF2">
        <w:rPr>
          <w:rStyle w:val="EndnoteReference"/>
          <w:rFonts w:ascii="Century Gothic" w:eastAsia="Times New Roman" w:hAnsi="Century Gothic" w:cs="Times New Roman"/>
          <w:color w:val="000000" w:themeColor="text1"/>
          <w:sz w:val="22"/>
          <w:lang w:eastAsia="en-AU"/>
        </w:rPr>
        <w:endnoteReference w:id="44"/>
      </w:r>
      <w:r w:rsidRPr="00FC1BF2">
        <w:rPr>
          <w:rFonts w:ascii="Century Gothic" w:eastAsia="Times New Roman" w:hAnsi="Century Gothic" w:cs="Times New Roman"/>
          <w:color w:val="000000" w:themeColor="text1"/>
          <w:sz w:val="22"/>
          <w:lang w:eastAsia="en-AU"/>
        </w:rPr>
        <w:t xml:space="preserve"> the complaint’s requested focus for mediation is relevant in determining </w:t>
      </w:r>
      <w:r w:rsidR="00E923A4">
        <w:rPr>
          <w:rFonts w:ascii="Century Gothic" w:eastAsia="Times New Roman" w:hAnsi="Century Gothic" w:cs="Times New Roman"/>
          <w:color w:val="000000" w:themeColor="text1"/>
          <w:sz w:val="22"/>
          <w:lang w:eastAsia="en-AU"/>
        </w:rPr>
        <w:t>what</w:t>
      </w:r>
      <w:r w:rsidRPr="00FC1BF2">
        <w:rPr>
          <w:rFonts w:ascii="Century Gothic" w:eastAsia="Times New Roman" w:hAnsi="Century Gothic" w:cs="Times New Roman"/>
          <w:color w:val="000000" w:themeColor="text1"/>
          <w:sz w:val="22"/>
          <w:lang w:eastAsia="en-AU"/>
        </w:rPr>
        <w:t xml:space="preserve"> good offices would be productive.</w:t>
      </w:r>
    </w:p>
    <w:p w:rsidR="006A7AAD" w:rsidRPr="00FC1BF2" w:rsidRDefault="006A7AAD" w:rsidP="006870C9">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C1BF2">
        <w:rPr>
          <w:rFonts w:ascii="Century Gothic" w:eastAsia="Times New Roman" w:hAnsi="Century Gothic" w:cs="Times New Roman"/>
          <w:color w:val="000000" w:themeColor="text1"/>
          <w:sz w:val="22"/>
          <w:lang w:eastAsia="en-AU"/>
        </w:rPr>
        <w:t>It is clear that ANZ and the Notifiers have different views on how to address fossil fuel investment. The Notifiers talk of ANZ needing to ‘divest from investing in coal’ and ‘phase out its investment in other fossil fuel industries’. The ANZ talks of a need to ‘facilitate a gradual and orderly transition’.</w:t>
      </w:r>
      <w:r w:rsidR="006870C9" w:rsidRPr="00FC1BF2">
        <w:rPr>
          <w:rFonts w:ascii="Century Gothic" w:eastAsia="Times New Roman" w:hAnsi="Century Gothic" w:cs="Times New Roman"/>
          <w:color w:val="000000" w:themeColor="text1"/>
          <w:sz w:val="22"/>
          <w:lang w:eastAsia="en-AU"/>
        </w:rPr>
        <w:t xml:space="preserve"> </w:t>
      </w:r>
    </w:p>
    <w:p w:rsidR="00317F26" w:rsidRPr="00A83A61" w:rsidRDefault="00EF1CD5" w:rsidP="00C767BF">
      <w:pPr>
        <w:pStyle w:val="OutlineNumbered1"/>
        <w:numPr>
          <w:ilvl w:val="0"/>
          <w:numId w:val="10"/>
        </w:numPr>
        <w:spacing w:before="240" w:line="280" w:lineRule="exact"/>
        <w:ind w:left="567" w:hanging="567"/>
        <w:jc w:val="both"/>
        <w:rPr>
          <w:rFonts w:ascii="Century Gothic" w:eastAsia="Times New Roman" w:hAnsi="Century Gothic" w:cs="Times New Roman"/>
          <w:color w:val="595959" w:themeColor="text1" w:themeTint="A6"/>
          <w:sz w:val="22"/>
          <w:lang w:eastAsia="en-AU"/>
        </w:rPr>
      </w:pPr>
      <w:r w:rsidRPr="00A83A61">
        <w:rPr>
          <w:rFonts w:ascii="Century Gothic" w:eastAsia="Times New Roman" w:hAnsi="Century Gothic" w:cs="Times New Roman"/>
          <w:color w:val="000000" w:themeColor="text1"/>
          <w:sz w:val="22"/>
          <w:lang w:eastAsia="en-AU"/>
        </w:rPr>
        <w:t xml:space="preserve">ANZ explained its climate change policy has been reviewed, to be published in late October 2020, and that it welcomes dialogue with stakeholders regarding whether its “actions are appropriate to help support efforts to limit temperature increased to well below </w:t>
      </w:r>
      <w:r w:rsidR="00651509" w:rsidRPr="00A83A61">
        <w:rPr>
          <w:rFonts w:ascii="Century Gothic" w:eastAsia="Times New Roman" w:hAnsi="Century Gothic" w:cs="Times New Roman"/>
          <w:color w:val="000000" w:themeColor="text1"/>
          <w:sz w:val="22"/>
          <w:lang w:eastAsia="en-AU"/>
        </w:rPr>
        <w:t xml:space="preserve">two degrees </w:t>
      </w:r>
      <w:r w:rsidRPr="00A83A61">
        <w:rPr>
          <w:rFonts w:ascii="Century Gothic" w:eastAsia="Times New Roman" w:hAnsi="Century Gothic" w:cs="Times New Roman"/>
          <w:color w:val="000000" w:themeColor="text1"/>
          <w:sz w:val="22"/>
          <w:lang w:eastAsia="en-AU"/>
        </w:rPr>
        <w:t xml:space="preserve">in line with the Paris </w:t>
      </w:r>
      <w:r w:rsidR="00651509" w:rsidRPr="00A83A61">
        <w:rPr>
          <w:rFonts w:ascii="Century Gothic" w:eastAsia="Times New Roman" w:hAnsi="Century Gothic" w:cs="Times New Roman"/>
          <w:color w:val="000000" w:themeColor="text1"/>
          <w:sz w:val="22"/>
          <w:lang w:eastAsia="en-AU"/>
        </w:rPr>
        <w:t>A</w:t>
      </w:r>
      <w:r w:rsidRPr="00A83A61">
        <w:rPr>
          <w:rFonts w:ascii="Century Gothic" w:eastAsia="Times New Roman" w:hAnsi="Century Gothic" w:cs="Times New Roman"/>
          <w:color w:val="000000" w:themeColor="text1"/>
          <w:sz w:val="22"/>
          <w:lang w:eastAsia="en-AU"/>
        </w:rPr>
        <w:t>greement”.</w:t>
      </w:r>
    </w:p>
    <w:p w:rsidR="00FD6E77" w:rsidRPr="00340C22" w:rsidRDefault="00FD6E77" w:rsidP="006870C9">
      <w:pPr>
        <w:keepNext/>
        <w:pageBreakBefore/>
        <w:spacing w:before="240" w:after="240" w:line="240" w:lineRule="auto"/>
        <w:outlineLvl w:val="1"/>
        <w:rPr>
          <w:rFonts w:ascii="Calibri" w:eastAsia="Times New Roman" w:hAnsi="Calibri" w:cs="Arial"/>
          <w:b/>
          <w:iCs/>
          <w:color w:val="000000" w:themeColor="text1"/>
          <w:kern w:val="32"/>
          <w:sz w:val="36"/>
          <w:szCs w:val="36"/>
          <w:lang w:eastAsia="en-AU"/>
        </w:rPr>
      </w:pPr>
      <w:bookmarkStart w:id="44" w:name="_Toc54942659"/>
      <w:r w:rsidRPr="00FC1BF2">
        <w:rPr>
          <w:rFonts w:ascii="Calibri" w:eastAsia="Times New Roman" w:hAnsi="Calibri" w:cs="Arial"/>
          <w:b/>
          <w:iCs/>
          <w:color w:val="000000" w:themeColor="text1"/>
          <w:kern w:val="32"/>
          <w:sz w:val="36"/>
          <w:szCs w:val="36"/>
          <w:lang w:eastAsia="en-AU"/>
        </w:rPr>
        <w:lastRenderedPageBreak/>
        <w:t>E</w:t>
      </w:r>
      <w:r w:rsidR="00B13762" w:rsidRPr="00FC1BF2">
        <w:rPr>
          <w:rFonts w:ascii="Calibri" w:eastAsia="Times New Roman" w:hAnsi="Calibri" w:cs="Arial"/>
          <w:b/>
          <w:iCs/>
          <w:color w:val="000000" w:themeColor="text1"/>
          <w:kern w:val="32"/>
          <w:sz w:val="36"/>
          <w:szCs w:val="36"/>
          <w:lang w:eastAsia="en-AU"/>
        </w:rPr>
        <w:t>ndnotes</w:t>
      </w:r>
      <w:bookmarkEnd w:id="44"/>
    </w:p>
    <w:p w:rsidR="00EF0F7E" w:rsidRDefault="00EF0F7E"/>
    <w:sectPr w:rsidR="00EF0F7E" w:rsidSect="00A01082">
      <w:headerReference w:type="even" r:id="rId23"/>
      <w:headerReference w:type="default" r:id="rId24"/>
      <w:footerReference w:type="default" r:id="rId25"/>
      <w:headerReference w:type="first" r:id="rId26"/>
      <w:footerReference w:type="first" r:id="rId27"/>
      <w:endnotePr>
        <w:numFmt w:val="decimal"/>
      </w:endnotePr>
      <w:pgSz w:w="11906" w:h="16838" w:code="9"/>
      <w:pgMar w:top="1134"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2A" w:rsidRDefault="00A95A2A" w:rsidP="00FD6E77">
      <w:pPr>
        <w:spacing w:after="0" w:line="240" w:lineRule="auto"/>
      </w:pPr>
      <w:r>
        <w:separator/>
      </w:r>
    </w:p>
  </w:endnote>
  <w:endnote w:type="continuationSeparator" w:id="0">
    <w:p w:rsidR="00A95A2A" w:rsidRDefault="00A95A2A" w:rsidP="00FD6E77">
      <w:pPr>
        <w:spacing w:after="0" w:line="240" w:lineRule="auto"/>
      </w:pPr>
      <w:r>
        <w:continuationSeparator/>
      </w:r>
    </w:p>
  </w:endnote>
  <w:endnote w:id="1">
    <w:p w:rsidR="0077238F" w:rsidRPr="00A83A61" w:rsidRDefault="0077238F" w:rsidP="00CA1C3B">
      <w:pPr>
        <w:pStyle w:val="EndnoteText"/>
        <w:ind w:left="142" w:hanging="142"/>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National Contacts Points on the Initial Assessment of Specific Instances</w:t>
      </w:r>
      <w:r w:rsidRPr="00A83A61">
        <w:rPr>
          <w:rFonts w:ascii="Century Gothic" w:hAnsi="Century Gothic"/>
          <w:noProof/>
          <w:color w:val="000000" w:themeColor="text1"/>
          <w:sz w:val="18"/>
          <w:szCs w:val="18"/>
        </w:rPr>
        <w:t xml:space="preserve"> (2019, OECD Publishing)</w:t>
      </w:r>
      <w:r w:rsidRPr="00A83A61">
        <w:rPr>
          <w:rFonts w:ascii="Century Gothic" w:hAnsi="Century Gothic"/>
          <w:color w:val="000000" w:themeColor="text1"/>
          <w:sz w:val="18"/>
          <w:szCs w:val="18"/>
        </w:rPr>
        <w:t>, 5.</w:t>
      </w:r>
    </w:p>
  </w:endnote>
  <w:endnote w:id="2">
    <w:p w:rsidR="0077238F" w:rsidRPr="00A83A61" w:rsidRDefault="0077238F" w:rsidP="0019588C">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AusNCP </w:t>
      </w:r>
      <w:r w:rsidRPr="00A83A61">
        <w:rPr>
          <w:rFonts w:ascii="Century Gothic" w:hAnsi="Century Gothic"/>
          <w:i/>
          <w:noProof/>
          <w:color w:val="000000" w:themeColor="text1"/>
          <w:sz w:val="18"/>
          <w:szCs w:val="18"/>
        </w:rPr>
        <w:t>Complaint Procedures</w:t>
      </w:r>
      <w:r w:rsidRPr="00A83A61">
        <w:rPr>
          <w:rFonts w:ascii="Century Gothic" w:hAnsi="Century Gothic"/>
          <w:noProof/>
          <w:color w:val="000000" w:themeColor="text1"/>
          <w:sz w:val="18"/>
          <w:szCs w:val="18"/>
        </w:rPr>
        <w:t xml:space="preserve"> (September 2019) Treasury.</w:t>
      </w:r>
    </w:p>
  </w:endnote>
  <w:endnote w:id="3">
    <w:p w:rsidR="0077238F" w:rsidRPr="00A83A61" w:rsidRDefault="0077238F" w:rsidP="0019588C">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AusNCP</w:t>
      </w:r>
      <w:r w:rsidRPr="00A83A61">
        <w:rPr>
          <w:rFonts w:ascii="Century Gothic" w:hAnsi="Century Gothic"/>
          <w:i/>
          <w:noProof/>
          <w:color w:val="000000" w:themeColor="text1"/>
          <w:sz w:val="18"/>
          <w:szCs w:val="18"/>
        </w:rPr>
        <w:t xml:space="preserve"> Complaint Procedures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_Ref35349418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2</w:t>
      </w:r>
      <w:r w:rsidRPr="00A83A61">
        <w:rPr>
          <w:rFonts w:ascii="Century Gothic" w:hAnsi="Century Gothic"/>
          <w:noProof/>
          <w:color w:val="000000" w:themeColor="text1"/>
          <w:sz w:val="18"/>
          <w:szCs w:val="18"/>
        </w:rPr>
        <w:fldChar w:fldCharType="end"/>
      </w:r>
      <w:r w:rsidRPr="00A83A61">
        <w:rPr>
          <w:rFonts w:ascii="Century Gothic" w:hAnsi="Century Gothic"/>
          <w:color w:val="000000" w:themeColor="text1"/>
          <w:sz w:val="18"/>
          <w:szCs w:val="18"/>
        </w:rPr>
        <w:t>), 4.10.</w:t>
      </w:r>
    </w:p>
  </w:endnote>
  <w:endnote w:id="4">
    <w:p w:rsidR="0077238F" w:rsidRPr="00A83A61" w:rsidRDefault="0077238F">
      <w:pPr>
        <w:pStyle w:val="EndnoteText"/>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AusNCP</w:t>
      </w:r>
      <w:r w:rsidRPr="00A83A61">
        <w:rPr>
          <w:rFonts w:ascii="Century Gothic" w:hAnsi="Century Gothic"/>
          <w:i/>
          <w:noProof/>
          <w:color w:val="000000" w:themeColor="text1"/>
          <w:sz w:val="18"/>
          <w:szCs w:val="18"/>
        </w:rPr>
        <w:t xml:space="preserve"> Complaint Procedures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_Ref35349418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2</w:t>
      </w:r>
      <w:r w:rsidRPr="00A83A61">
        <w:rPr>
          <w:rFonts w:ascii="Century Gothic" w:hAnsi="Century Gothic"/>
          <w:noProof/>
          <w:color w:val="000000" w:themeColor="text1"/>
          <w:sz w:val="18"/>
          <w:szCs w:val="18"/>
        </w:rPr>
        <w:fldChar w:fldCharType="end"/>
      </w:r>
      <w:r w:rsidRPr="00A83A61">
        <w:rPr>
          <w:rFonts w:ascii="Century Gothic" w:hAnsi="Century Gothic"/>
          <w:color w:val="000000" w:themeColor="text1"/>
          <w:sz w:val="18"/>
          <w:szCs w:val="18"/>
        </w:rPr>
        <w:t>), 4.16.</w:t>
      </w:r>
    </w:p>
  </w:endnote>
  <w:endnote w:id="5">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6.</w:t>
      </w:r>
    </w:p>
  </w:endnote>
  <w:endnote w:id="6">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6.</w:t>
      </w:r>
    </w:p>
  </w:endnote>
  <w:endnote w:id="7">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iCs/>
          <w:noProof/>
          <w:color w:val="000000" w:themeColor="text1"/>
          <w:sz w:val="18"/>
          <w:szCs w:val="18"/>
        </w:rPr>
        <w:t>AusNCP</w:t>
      </w:r>
      <w:r w:rsidRPr="00A83A61">
        <w:rPr>
          <w:rFonts w:ascii="Century Gothic" w:hAnsi="Century Gothic"/>
          <w:i/>
          <w:noProof/>
          <w:color w:val="000000" w:themeColor="text1"/>
          <w:sz w:val="18"/>
          <w:szCs w:val="18"/>
        </w:rPr>
        <w:t xml:space="preserve"> Complaint Procedures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_Ref35349418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2</w:t>
      </w:r>
      <w:r w:rsidRPr="00A83A61">
        <w:rPr>
          <w:rFonts w:ascii="Century Gothic" w:hAnsi="Century Gothic"/>
          <w:noProof/>
          <w:color w:val="000000" w:themeColor="text1"/>
          <w:sz w:val="18"/>
          <w:szCs w:val="18"/>
        </w:rPr>
        <w:fldChar w:fldCharType="end"/>
      </w:r>
      <w:r w:rsidRPr="00A83A61">
        <w:rPr>
          <w:rFonts w:ascii="Century Gothic" w:hAnsi="Century Gothic"/>
          <w:color w:val="000000" w:themeColor="text1"/>
          <w:sz w:val="18"/>
          <w:szCs w:val="18"/>
        </w:rPr>
        <w:t>, 4.10(b) &amp; 4.11.</w:t>
      </w:r>
    </w:p>
  </w:endnote>
  <w:endnote w:id="8">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21.</w:t>
      </w:r>
    </w:p>
  </w:endnote>
  <w:endnote w:id="9">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20</w:t>
      </w:r>
    </w:p>
  </w:endnote>
  <w:endnote w:id="10">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eg. ‘ANZ’s own Climate Change Statement acknowledges the Paris Agreement ... :ANZ Climate Change Statement’ (28 February 2019)’: Complaint, 3.</w:t>
      </w:r>
    </w:p>
  </w:endnote>
  <w:endnote w:id="11">
    <w:p w:rsidR="0077238F" w:rsidRPr="00A83A61" w:rsidRDefault="0077238F" w:rsidP="006A7AAD">
      <w:pPr>
        <w:pStyle w:val="EndnoteText"/>
        <w:ind w:left="142" w:hanging="142"/>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hyperlink r:id="rId1" w:history="1">
        <w:r w:rsidRPr="00A83A61">
          <w:rPr>
            <w:rStyle w:val="Hyperlink"/>
            <w:rFonts w:ascii="Century Gothic" w:hAnsi="Century Gothic"/>
            <w:sz w:val="18"/>
            <w:szCs w:val="18"/>
          </w:rPr>
          <w:t>www.anz.com.au/content/dam/anzcomau/documents/pdf/aboutus/climate-change-statement.pdf</w:t>
        </w:r>
      </w:hyperlink>
      <w:r w:rsidRPr="00A83A61">
        <w:rPr>
          <w:rFonts w:ascii="Century Gothic" w:hAnsi="Century Gothic"/>
          <w:sz w:val="18"/>
          <w:szCs w:val="18"/>
        </w:rPr>
        <w:t xml:space="preserve"> (accessed 17 March 2020).</w:t>
      </w:r>
    </w:p>
  </w:endnote>
  <w:endnote w:id="12">
    <w:p w:rsidR="0077238F" w:rsidRPr="00A83A61" w:rsidRDefault="0077238F" w:rsidP="006A7AAD">
      <w:pPr>
        <w:pStyle w:val="EndnoteText"/>
        <w:ind w:left="170" w:hanging="170"/>
        <w:rPr>
          <w:rFonts w:ascii="Century Gothic" w:hAnsi="Century Gothic"/>
          <w:noProof/>
          <w:color w:val="000000" w:themeColor="text1"/>
          <w:sz w:val="18"/>
          <w:szCs w:val="18"/>
        </w:rPr>
      </w:pPr>
      <w:r w:rsidRPr="00A83A61">
        <w:rPr>
          <w:rFonts w:ascii="Century Gothic" w:hAnsi="Century Gothic"/>
          <w:noProof/>
          <w:sz w:val="18"/>
          <w:szCs w:val="18"/>
          <w:vertAlign w:val="superscript"/>
        </w:rPr>
        <w:endnoteRef/>
      </w:r>
      <w:r w:rsidRPr="00A83A61">
        <w:rPr>
          <w:rFonts w:ascii="Century Gothic" w:hAnsi="Century Gothic"/>
          <w:noProof/>
          <w:color w:val="000000" w:themeColor="text1"/>
          <w:sz w:val="18"/>
          <w:szCs w:val="18"/>
        </w:rPr>
        <w:t xml:space="preserve"> See </w:t>
      </w:r>
      <w:r w:rsidRPr="00A83A61">
        <w:rPr>
          <w:rFonts w:ascii="Century Gothic" w:hAnsi="Century Gothic"/>
          <w:i/>
          <w:iCs/>
          <w:noProof/>
          <w:color w:val="000000" w:themeColor="text1"/>
          <w:sz w:val="18"/>
          <w:szCs w:val="18"/>
        </w:rPr>
        <w:fldChar w:fldCharType="begin"/>
      </w:r>
      <w:r w:rsidRPr="00A83A61">
        <w:rPr>
          <w:rFonts w:ascii="Century Gothic" w:hAnsi="Century Gothic"/>
          <w:i/>
          <w:iCs/>
          <w:noProof/>
          <w:color w:val="000000" w:themeColor="text1"/>
          <w:sz w:val="18"/>
          <w:szCs w:val="18"/>
        </w:rPr>
        <w:instrText xml:space="preserve"> REF _Ref33994389 \h  \* MERGEFORMAT </w:instrText>
      </w:r>
      <w:r w:rsidRPr="00A83A61">
        <w:rPr>
          <w:rFonts w:ascii="Century Gothic" w:hAnsi="Century Gothic"/>
          <w:i/>
          <w:iCs/>
          <w:noProof/>
          <w:color w:val="000000" w:themeColor="text1"/>
          <w:sz w:val="18"/>
          <w:szCs w:val="18"/>
        </w:rPr>
      </w:r>
      <w:r w:rsidRPr="00A83A61">
        <w:rPr>
          <w:rFonts w:ascii="Century Gothic" w:hAnsi="Century Gothic"/>
          <w:i/>
          <w:iCs/>
          <w:noProof/>
          <w:color w:val="000000" w:themeColor="text1"/>
          <w:sz w:val="18"/>
          <w:szCs w:val="18"/>
        </w:rPr>
        <w:fldChar w:fldCharType="separate"/>
      </w:r>
      <w:r w:rsidRPr="00B34DA5">
        <w:rPr>
          <w:rFonts w:ascii="Century Gothic" w:hAnsi="Century Gothic"/>
          <w:i/>
          <w:iCs/>
          <w:noProof/>
          <w:color w:val="000000" w:themeColor="text1"/>
          <w:sz w:val="18"/>
          <w:szCs w:val="18"/>
        </w:rPr>
        <w:t>Criterion 4: Applicable law and procedures</w:t>
      </w:r>
      <w:r w:rsidRPr="00A83A61">
        <w:rPr>
          <w:rFonts w:ascii="Century Gothic" w:hAnsi="Century Gothic"/>
          <w:i/>
          <w:iCs/>
          <w:noProof/>
          <w:color w:val="000000" w:themeColor="text1"/>
          <w:sz w:val="18"/>
          <w:szCs w:val="18"/>
        </w:rPr>
        <w:fldChar w:fldCharType="end"/>
      </w:r>
      <w:r w:rsidRPr="00A83A61">
        <w:rPr>
          <w:rFonts w:ascii="Century Gothic" w:hAnsi="Century Gothic"/>
          <w:noProof/>
          <w:color w:val="000000" w:themeColor="text1"/>
          <w:sz w:val="18"/>
          <w:szCs w:val="18"/>
        </w:rPr>
        <w:t>.</w:t>
      </w:r>
    </w:p>
  </w:endnote>
  <w:endnote w:id="13">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eg.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Responsible Business Conduct</w:t>
      </w:r>
      <w:r w:rsidRPr="00A83A61">
        <w:rPr>
          <w:rFonts w:ascii="Century Gothic" w:hAnsi="Century Gothic"/>
          <w:noProof/>
          <w:color w:val="000000" w:themeColor="text1"/>
          <w:sz w:val="18"/>
          <w:szCs w:val="18"/>
        </w:rPr>
        <w:t xml:space="preserve"> (2018, OECD Publishing)</w:t>
      </w:r>
      <w:r w:rsidRPr="00A83A61">
        <w:rPr>
          <w:rFonts w:ascii="Century Gothic" w:hAnsi="Century Gothic"/>
          <w:color w:val="000000" w:themeColor="text1"/>
          <w:sz w:val="18"/>
          <w:szCs w:val="18"/>
        </w:rPr>
        <w:t xml:space="preserve">, 49;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for Responsible Corporate Lending and Securities Underwriting</w:t>
      </w:r>
      <w:r w:rsidRPr="00A83A61">
        <w:rPr>
          <w:rFonts w:ascii="Century Gothic" w:hAnsi="Century Gothic"/>
          <w:noProof/>
          <w:color w:val="000000" w:themeColor="text1"/>
          <w:sz w:val="18"/>
          <w:szCs w:val="18"/>
        </w:rPr>
        <w:t xml:space="preserve"> (2019, OECD Publishing)</w:t>
      </w:r>
      <w:r w:rsidRPr="00A83A61">
        <w:rPr>
          <w:rFonts w:ascii="Century Gothic" w:hAnsi="Century Gothic"/>
          <w:color w:val="000000" w:themeColor="text1"/>
          <w:sz w:val="18"/>
          <w:szCs w:val="18"/>
        </w:rPr>
        <w:t xml:space="preserve">, 33 &amp; 44; </w:t>
      </w:r>
      <w:r w:rsidRPr="00A83A61">
        <w:rPr>
          <w:rFonts w:ascii="Century Gothic" w:hAnsi="Century Gothic"/>
          <w:noProof/>
          <w:color w:val="000000" w:themeColor="text1"/>
          <w:sz w:val="18"/>
          <w:szCs w:val="18"/>
        </w:rPr>
        <w:t xml:space="preserve">Dutch NCP, </w:t>
      </w:r>
      <w:r w:rsidRPr="00A83A61">
        <w:rPr>
          <w:rFonts w:ascii="Century Gothic" w:hAnsi="Century Gothic"/>
          <w:i/>
          <w:noProof/>
          <w:color w:val="000000" w:themeColor="text1"/>
          <w:sz w:val="18"/>
          <w:szCs w:val="18"/>
        </w:rPr>
        <w:t>Final Statement: Oxfam Novib, Greenpeace Netherlands, BankTrack and Friends of the Earth Netherlands (Milieudefensie) versus ING</w:t>
      </w:r>
      <w:r w:rsidRPr="00A83A61">
        <w:rPr>
          <w:rFonts w:ascii="Century Gothic" w:hAnsi="Century Gothic"/>
          <w:noProof/>
          <w:color w:val="000000" w:themeColor="text1"/>
          <w:sz w:val="18"/>
          <w:szCs w:val="18"/>
        </w:rPr>
        <w:t xml:space="preserve"> (2019, Ministry of Foreign Affairs)</w:t>
      </w:r>
      <w:r w:rsidRPr="00A83A61">
        <w:rPr>
          <w:rFonts w:ascii="Century Gothic" w:hAnsi="Century Gothic"/>
          <w:color w:val="000000" w:themeColor="text1"/>
          <w:sz w:val="18"/>
          <w:szCs w:val="18"/>
        </w:rPr>
        <w:t>.</w:t>
      </w:r>
    </w:p>
  </w:endnote>
  <w:endnote w:id="14">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Centre for Responsible Business Conduct, </w:t>
      </w:r>
      <w:r w:rsidRPr="00A83A61">
        <w:rPr>
          <w:rFonts w:ascii="Century Gothic" w:hAnsi="Century Gothic"/>
          <w:i/>
          <w:noProof/>
          <w:color w:val="000000" w:themeColor="text1"/>
          <w:sz w:val="18"/>
          <w:szCs w:val="18"/>
        </w:rPr>
        <w:t>Global Climate Action and Responsible Business Conduct: What does it mean for business to act responsibly in the face of a climate emergency?</w:t>
      </w:r>
      <w:r w:rsidRPr="00A83A61">
        <w:rPr>
          <w:rFonts w:ascii="Century Gothic" w:hAnsi="Century Gothic"/>
          <w:noProof/>
          <w:color w:val="000000" w:themeColor="text1"/>
          <w:sz w:val="18"/>
          <w:szCs w:val="18"/>
        </w:rPr>
        <w:t xml:space="preserve"> (2019,</w:t>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Background Note issued at COP25 Global Climate Action Side Event)</w:t>
      </w:r>
      <w:r w:rsidRPr="00A83A61">
        <w:rPr>
          <w:rFonts w:ascii="Century Gothic" w:hAnsi="Century Gothic"/>
          <w:color w:val="000000" w:themeColor="text1"/>
          <w:sz w:val="18"/>
          <w:szCs w:val="18"/>
        </w:rPr>
        <w:t>, 1.</w:t>
      </w:r>
    </w:p>
  </w:endnote>
  <w:endnote w:id="15">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11.</w:t>
      </w:r>
    </w:p>
  </w:endnote>
  <w:endnote w:id="16">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for Corporate Lending</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20. This reflects that the OECD Guidelines more readily address direct impact. For instance, in the OECD’s examples of links (rather than direct impact), this is the example: ‘Likewise, enterprises can be directly linked to impacts caused by business relationships that they do not have a legal or organisational link to. For example, a brand sourcing t-shirts from a manufacturer which is a separate corporate entity may be directly linked to adverse environmental impacts the manufacturer causes in the process of producing the t-shirts’:</w:t>
      </w:r>
      <w:r w:rsidRPr="00A83A61">
        <w:rPr>
          <w:rFonts w:ascii="Century Gothic" w:hAnsi="Century Gothic"/>
          <w:noProof/>
          <w:color w:val="000000" w:themeColor="text1"/>
          <w:sz w:val="18"/>
          <w:szCs w:val="18"/>
        </w:rPr>
        <w:t xml:space="preserve"> 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7. That is far from the situation of an investor funding a project which produces fossil fuel, which may then be used by another party, releasing GHG, which contributes to climate change.</w:t>
      </w:r>
    </w:p>
  </w:endnote>
  <w:endnote w:id="17">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for Corporate Lending</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20 (emphasis added).</w:t>
      </w:r>
    </w:p>
  </w:endnote>
  <w:endnote w:id="18">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i/>
          <w:iCs/>
          <w:sz w:val="18"/>
          <w:szCs w:val="18"/>
        </w:rPr>
        <w:fldChar w:fldCharType="begin"/>
      </w:r>
      <w:r w:rsidRPr="00A83A61">
        <w:rPr>
          <w:rFonts w:ascii="Century Gothic" w:hAnsi="Century Gothic"/>
          <w:i/>
          <w:iCs/>
          <w:sz w:val="18"/>
          <w:szCs w:val="18"/>
        </w:rPr>
        <w:instrText xml:space="preserve"> REF _Ref33994374 \h  \* MERGEFORMAT </w:instrText>
      </w:r>
      <w:r w:rsidRPr="00A83A61">
        <w:rPr>
          <w:rFonts w:ascii="Century Gothic" w:hAnsi="Century Gothic"/>
          <w:i/>
          <w:iCs/>
          <w:sz w:val="18"/>
          <w:szCs w:val="18"/>
        </w:rPr>
      </w:r>
      <w:r w:rsidRPr="00A83A61">
        <w:rPr>
          <w:rFonts w:ascii="Century Gothic" w:hAnsi="Century Gothic"/>
          <w:i/>
          <w:iCs/>
          <w:sz w:val="18"/>
          <w:szCs w:val="18"/>
        </w:rPr>
        <w:fldChar w:fldCharType="separate"/>
      </w:r>
      <w:r w:rsidRPr="00B34DA5">
        <w:rPr>
          <w:rFonts w:ascii="Century Gothic" w:hAnsi="Century Gothic"/>
          <w:i/>
          <w:iCs/>
          <w:sz w:val="18"/>
          <w:szCs w:val="18"/>
        </w:rPr>
        <w:t xml:space="preserve">Criterion 4: Applicable law </w:t>
      </w:r>
      <w:r w:rsidRPr="00B34DA5">
        <w:rPr>
          <w:rFonts w:ascii="Century Gothic" w:eastAsia="Times New Roman" w:hAnsi="Century Gothic" w:cs="Arial"/>
          <w:i/>
          <w:iCs/>
          <w:color w:val="000000" w:themeColor="text1"/>
          <w:kern w:val="32"/>
          <w:sz w:val="18"/>
          <w:szCs w:val="18"/>
          <w:lang w:eastAsia="en-AU"/>
        </w:rPr>
        <w:t>and procedures</w:t>
      </w:r>
      <w:r w:rsidRPr="00A83A61">
        <w:rPr>
          <w:rFonts w:ascii="Century Gothic" w:hAnsi="Century Gothic"/>
          <w:i/>
          <w:iCs/>
          <w:sz w:val="18"/>
          <w:szCs w:val="18"/>
        </w:rPr>
        <w:fldChar w:fldCharType="end"/>
      </w:r>
      <w:r w:rsidRPr="00A83A61">
        <w:rPr>
          <w:rFonts w:ascii="Century Gothic" w:hAnsi="Century Gothic"/>
          <w:sz w:val="18"/>
          <w:szCs w:val="18"/>
        </w:rPr>
        <w:t xml:space="preserve">, particularly paragraphs </w:t>
      </w:r>
      <w:r w:rsidRPr="00A83A61">
        <w:rPr>
          <w:rFonts w:ascii="Century Gothic" w:hAnsi="Century Gothic"/>
          <w:sz w:val="18"/>
          <w:szCs w:val="18"/>
        </w:rPr>
        <w:fldChar w:fldCharType="begin"/>
      </w:r>
      <w:r w:rsidRPr="00A83A61">
        <w:rPr>
          <w:rFonts w:ascii="Century Gothic" w:hAnsi="Century Gothic"/>
          <w:sz w:val="18"/>
          <w:szCs w:val="18"/>
        </w:rPr>
        <w:instrText xml:space="preserve"> REF _Ref35509602 \r \h  \* MERGEFORMAT </w:instrText>
      </w:r>
      <w:r w:rsidRPr="00A83A61">
        <w:rPr>
          <w:rFonts w:ascii="Century Gothic" w:hAnsi="Century Gothic"/>
          <w:sz w:val="18"/>
          <w:szCs w:val="18"/>
        </w:rPr>
      </w:r>
      <w:r w:rsidRPr="00A83A61">
        <w:rPr>
          <w:rFonts w:ascii="Century Gothic" w:hAnsi="Century Gothic"/>
          <w:sz w:val="18"/>
          <w:szCs w:val="18"/>
        </w:rPr>
        <w:fldChar w:fldCharType="separate"/>
      </w:r>
      <w:r>
        <w:rPr>
          <w:rFonts w:ascii="Century Gothic" w:hAnsi="Century Gothic"/>
          <w:sz w:val="18"/>
          <w:szCs w:val="18"/>
        </w:rPr>
        <w:t>46</w:t>
      </w:r>
      <w:r w:rsidRPr="00A83A61">
        <w:rPr>
          <w:rFonts w:ascii="Century Gothic" w:hAnsi="Century Gothic"/>
          <w:sz w:val="18"/>
          <w:szCs w:val="18"/>
        </w:rPr>
        <w:fldChar w:fldCharType="end"/>
      </w:r>
      <w:r w:rsidRPr="00A83A61">
        <w:rPr>
          <w:rFonts w:ascii="Century Gothic" w:hAnsi="Century Gothic"/>
          <w:sz w:val="18"/>
          <w:szCs w:val="18"/>
        </w:rPr>
        <w:t>-</w:t>
      </w:r>
      <w:r w:rsidRPr="00A83A61">
        <w:rPr>
          <w:rFonts w:ascii="Century Gothic" w:hAnsi="Century Gothic"/>
          <w:sz w:val="18"/>
          <w:szCs w:val="18"/>
        </w:rPr>
        <w:fldChar w:fldCharType="begin"/>
      </w:r>
      <w:r w:rsidRPr="00A83A61">
        <w:rPr>
          <w:rFonts w:ascii="Century Gothic" w:hAnsi="Century Gothic"/>
          <w:sz w:val="18"/>
          <w:szCs w:val="18"/>
        </w:rPr>
        <w:instrText xml:space="preserve"> REF _Ref35509628 \r \h  \* MERGEFORMAT </w:instrText>
      </w:r>
      <w:r w:rsidRPr="00A83A61">
        <w:rPr>
          <w:rFonts w:ascii="Century Gothic" w:hAnsi="Century Gothic"/>
          <w:sz w:val="18"/>
          <w:szCs w:val="18"/>
        </w:rPr>
      </w:r>
      <w:r w:rsidRPr="00A83A61">
        <w:rPr>
          <w:rFonts w:ascii="Century Gothic" w:hAnsi="Century Gothic"/>
          <w:sz w:val="18"/>
          <w:szCs w:val="18"/>
        </w:rPr>
        <w:fldChar w:fldCharType="separate"/>
      </w:r>
      <w:r>
        <w:rPr>
          <w:rFonts w:ascii="Century Gothic" w:hAnsi="Century Gothic"/>
          <w:sz w:val="18"/>
          <w:szCs w:val="18"/>
        </w:rPr>
        <w:t>50</w:t>
      </w:r>
      <w:r w:rsidRPr="00A83A61">
        <w:rPr>
          <w:rFonts w:ascii="Century Gothic" w:hAnsi="Century Gothic"/>
          <w:sz w:val="18"/>
          <w:szCs w:val="18"/>
        </w:rPr>
        <w:fldChar w:fldCharType="end"/>
      </w:r>
      <w:r w:rsidRPr="00A83A61">
        <w:rPr>
          <w:rFonts w:ascii="Century Gothic" w:hAnsi="Century Gothic"/>
          <w:sz w:val="18"/>
          <w:szCs w:val="18"/>
        </w:rPr>
        <w:t>.</w:t>
      </w:r>
    </w:p>
  </w:endnote>
  <w:endnote w:id="19">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[2016] ATS 24</w:t>
      </w:r>
      <w:r w:rsidRPr="00A83A61">
        <w:rPr>
          <w:rFonts w:ascii="Century Gothic" w:hAnsi="Century Gothic"/>
          <w:color w:val="000000" w:themeColor="text1"/>
          <w:sz w:val="18"/>
          <w:szCs w:val="18"/>
        </w:rPr>
        <w:t>.</w:t>
      </w:r>
    </w:p>
  </w:endnote>
  <w:endnote w:id="20">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Department of Agriculture Water and the Environment </w:t>
      </w:r>
      <w:r w:rsidRPr="00A83A61">
        <w:rPr>
          <w:rFonts w:ascii="Century Gothic" w:hAnsi="Century Gothic"/>
          <w:i/>
          <w:noProof/>
          <w:color w:val="000000" w:themeColor="text1"/>
          <w:sz w:val="18"/>
          <w:szCs w:val="18"/>
        </w:rPr>
        <w:t>Australia’s 2030 climate change target</w:t>
      </w:r>
      <w:r w:rsidRPr="00A83A61">
        <w:rPr>
          <w:rFonts w:ascii="Century Gothic" w:hAnsi="Century Gothic"/>
          <w:noProof/>
          <w:color w:val="000000" w:themeColor="text1"/>
          <w:sz w:val="18"/>
          <w:szCs w:val="18"/>
        </w:rPr>
        <w:t xml:space="preserve"> (2015, Australian Government)</w:t>
      </w:r>
      <w:r w:rsidRPr="00A83A61">
        <w:rPr>
          <w:rFonts w:ascii="Century Gothic" w:hAnsi="Century Gothic"/>
          <w:color w:val="000000" w:themeColor="text1"/>
          <w:sz w:val="18"/>
          <w:szCs w:val="18"/>
        </w:rPr>
        <w:t>.</w:t>
      </w:r>
    </w:p>
  </w:endnote>
  <w:endnote w:id="21">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The Council’s decision, in adopting the Guidance, specifically directed NCPs to work with oil &amp; gas and other companies, in its recommendation ‘that Adherents [Governments] and where relevant their</w:t>
      </w:r>
      <w:r w:rsidRPr="00A83A61">
        <w:rPr>
          <w:rFonts w:ascii="Century Gothic" w:hAnsi="Century Gothic"/>
          <w:b/>
          <w:bCs/>
          <w:color w:val="000000" w:themeColor="text1"/>
          <w:sz w:val="18"/>
          <w:szCs w:val="18"/>
        </w:rPr>
        <w:t xml:space="preserve"> NCPs...ensure the widest possible dissemination of the Guidance and its active use by enterprises conducting exploration, development, extraction, processing, transport, and/or storage of oil, gas and minerals</w:t>
      </w:r>
      <w:r w:rsidRPr="00A83A61">
        <w:rPr>
          <w:rFonts w:ascii="Century Gothic" w:hAnsi="Century Gothic"/>
          <w:color w:val="000000" w:themeColor="text1"/>
          <w:sz w:val="18"/>
          <w:szCs w:val="18"/>
        </w:rPr>
        <w:t xml:space="preserve"> ...’: </w:t>
      </w:r>
      <w:r w:rsidRPr="00A83A61">
        <w:rPr>
          <w:rFonts w:ascii="Century Gothic" w:hAnsi="Century Gothic"/>
          <w:i/>
          <w:iCs/>
          <w:color w:val="000000" w:themeColor="text1"/>
          <w:sz w:val="18"/>
          <w:szCs w:val="18"/>
        </w:rPr>
        <w:t>Recommendation of the Council on the Due Diligence Guidance for Meaningful Stakeholder Engagement in the Extractive Sector</w:t>
      </w:r>
      <w:r w:rsidRPr="00A83A61">
        <w:rPr>
          <w:rFonts w:ascii="Century Gothic" w:hAnsi="Century Gothic"/>
          <w:color w:val="000000" w:themeColor="text1"/>
          <w:sz w:val="18"/>
          <w:szCs w:val="18"/>
        </w:rPr>
        <w:t xml:space="preserve">, 13 July 2016, III: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Meaningful Stakeholder Engagement in the Extractives Sector</w:t>
      </w:r>
      <w:r w:rsidRPr="00A83A61">
        <w:rPr>
          <w:rFonts w:ascii="Century Gothic" w:hAnsi="Century Gothic"/>
          <w:noProof/>
          <w:color w:val="000000" w:themeColor="text1"/>
          <w:sz w:val="18"/>
          <w:szCs w:val="18"/>
        </w:rPr>
        <w:t xml:space="preserve"> (2017, OECD Publishing)</w:t>
      </w:r>
      <w:r w:rsidRPr="00A83A61">
        <w:rPr>
          <w:rFonts w:ascii="Century Gothic" w:hAnsi="Century Gothic"/>
          <w:color w:val="000000" w:themeColor="text1"/>
          <w:sz w:val="18"/>
          <w:szCs w:val="18"/>
        </w:rPr>
        <w:t>, 10 (emphasis added).</w:t>
      </w:r>
    </w:p>
  </w:endnote>
  <w:endnote w:id="22">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Extractives Sector</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_Ref35509785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21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14-15 (emphasis added).</w:t>
      </w:r>
    </w:p>
  </w:endnote>
  <w:endnote w:id="23">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The three references in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Extractives Sector</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_Ref35509785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21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xml:space="preserve"> are:</w:t>
      </w:r>
    </w:p>
    <w:p w:rsidR="0077238F" w:rsidRPr="00A83A61" w:rsidRDefault="0077238F" w:rsidP="006A7AAD">
      <w:pPr>
        <w:pStyle w:val="EndnoteText"/>
        <w:numPr>
          <w:ilvl w:val="0"/>
          <w:numId w:val="20"/>
        </w:numPr>
        <w:ind w:left="426" w:hanging="170"/>
        <w:rPr>
          <w:rFonts w:ascii="Century Gothic" w:hAnsi="Century Gothic"/>
          <w:color w:val="000000" w:themeColor="text1"/>
          <w:sz w:val="18"/>
          <w:szCs w:val="18"/>
        </w:rPr>
      </w:pPr>
      <w:r w:rsidRPr="00A83A61">
        <w:rPr>
          <w:rFonts w:ascii="Century Gothic" w:hAnsi="Century Gothic"/>
          <w:i/>
          <w:iCs/>
          <w:color w:val="000000" w:themeColor="text1"/>
          <w:sz w:val="18"/>
          <w:szCs w:val="18"/>
        </w:rPr>
        <w:t>2.2 Implementing due diligence: Identifying actual and potential adverse impacts</w:t>
      </w:r>
      <w:r w:rsidRPr="00A83A61">
        <w:rPr>
          <w:rFonts w:ascii="Century Gothic" w:hAnsi="Century Gothic"/>
          <w:color w:val="000000" w:themeColor="text1"/>
          <w:sz w:val="18"/>
          <w:szCs w:val="18"/>
        </w:rPr>
        <w:t>, where one of the ‘Key considerations for investors’ was ‘Taking proactive approaches to enhance quality and availability of RBC [responsible business conduct] information’ and an example was ‘participating in existing industry initiatives to enhance the availability of this type of information – for example, the Carbon Disclosure Project’</w:t>
      </w:r>
    </w:p>
    <w:p w:rsidR="0077238F" w:rsidRPr="00A83A61" w:rsidRDefault="0077238F" w:rsidP="006A7AAD">
      <w:pPr>
        <w:pStyle w:val="EndnoteText"/>
        <w:numPr>
          <w:ilvl w:val="0"/>
          <w:numId w:val="20"/>
        </w:numPr>
        <w:ind w:left="426" w:hanging="170"/>
        <w:rPr>
          <w:rFonts w:ascii="Century Gothic" w:hAnsi="Century Gothic"/>
          <w:color w:val="000000" w:themeColor="text1"/>
          <w:sz w:val="18"/>
          <w:szCs w:val="18"/>
        </w:rPr>
      </w:pPr>
      <w:r w:rsidRPr="00A83A61">
        <w:rPr>
          <w:rFonts w:ascii="Century Gothic" w:hAnsi="Century Gothic"/>
          <w:i/>
          <w:iCs/>
          <w:color w:val="000000" w:themeColor="text1"/>
          <w:sz w:val="18"/>
          <w:szCs w:val="18"/>
        </w:rPr>
        <w:t>2.3 Implementing due diligence: Seeking to prevent and mitigate adverse impacts</w:t>
      </w:r>
      <w:r w:rsidRPr="00A83A61">
        <w:rPr>
          <w:rFonts w:ascii="Century Gothic" w:hAnsi="Century Gothic"/>
          <w:color w:val="000000" w:themeColor="text1"/>
          <w:sz w:val="18"/>
          <w:szCs w:val="18"/>
        </w:rPr>
        <w:t>, where appropriate approaches may include ‘participation in industry or multi-stakeholder initiatives ... (e.g. PRI Collaboration Platform, UNEP Finance Initiative, investor networks on climate change, Corporate Sustainability Reporting Coalition’; and</w:t>
      </w:r>
    </w:p>
    <w:p w:rsidR="0077238F" w:rsidRPr="00A83A61" w:rsidRDefault="0077238F" w:rsidP="006A7AAD">
      <w:pPr>
        <w:pStyle w:val="EndnoteText"/>
        <w:numPr>
          <w:ilvl w:val="0"/>
          <w:numId w:val="20"/>
        </w:numPr>
        <w:ind w:left="426" w:hanging="170"/>
        <w:rPr>
          <w:rFonts w:ascii="Century Gothic" w:hAnsi="Century Gothic"/>
          <w:sz w:val="18"/>
          <w:szCs w:val="18"/>
        </w:rPr>
      </w:pPr>
      <w:r w:rsidRPr="00A83A61">
        <w:rPr>
          <w:rFonts w:ascii="Century Gothic" w:hAnsi="Century Gothic"/>
          <w:i/>
          <w:iCs/>
          <w:sz w:val="18"/>
          <w:szCs w:val="18"/>
        </w:rPr>
        <w:t>2.4 Implementing due diligence: Accounting through tracking and communicating on results</w:t>
      </w:r>
      <w:r w:rsidRPr="00A83A61">
        <w:rPr>
          <w:rFonts w:ascii="Century Gothic" w:hAnsi="Century Gothic"/>
          <w:sz w:val="18"/>
          <w:szCs w:val="18"/>
        </w:rPr>
        <w:t>, where one of the ‘Key considerations for investors ...’ noted that ‘mandatory RBC reporting is becoming increasingly common (e.g. Article 173 of the French Law for Energy Transition and Green Growth’</w:t>
      </w:r>
    </w:p>
  </w:endnote>
  <w:endnote w:id="24">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Responsible business conduct for institutional investors</w:t>
      </w:r>
      <w:r w:rsidRPr="00A83A61">
        <w:rPr>
          <w:rFonts w:ascii="Century Gothic" w:hAnsi="Century Gothic"/>
          <w:noProof/>
          <w:color w:val="000000" w:themeColor="text1"/>
          <w:sz w:val="18"/>
          <w:szCs w:val="18"/>
        </w:rPr>
        <w:t xml:space="preserve"> (2017, OECD Publishing)</w:t>
      </w:r>
      <w:r w:rsidRPr="00A83A61">
        <w:rPr>
          <w:rFonts w:ascii="Century Gothic" w:hAnsi="Century Gothic"/>
          <w:color w:val="000000" w:themeColor="text1"/>
          <w:sz w:val="18"/>
          <w:szCs w:val="18"/>
        </w:rPr>
        <w:t>, 3 (emphasis added)</w:t>
      </w:r>
    </w:p>
  </w:endnote>
  <w:endnote w:id="25">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RBC</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xml:space="preserve"> (approved by the OECD Investment Committee on 3 April 2018, and adopted by Council at Ministerial level on 30 May 2018).</w:t>
      </w:r>
    </w:p>
  </w:endnote>
  <w:endnote w:id="26">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Guidance for RBC</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50-51 (emphasis added).</w:t>
      </w:r>
    </w:p>
  </w:endnote>
  <w:endnote w:id="27">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for Corporate Lending</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xml:space="preserve"> (the OECD Investment Committee approved the document 7 October 2019).</w:t>
      </w:r>
    </w:p>
  </w:endnote>
  <w:endnote w:id="28">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Due Diligence for Corporate Lending</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3 (emphasis added).</w:t>
      </w:r>
    </w:p>
  </w:endnote>
  <w:endnote w:id="29">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‘Key considerations for RBC due diligence in banking transactions ... Measure 4: Track implementation and results’ which involves tracking ‘the implementation and effectiveness of the enterprise’s due diligence activities’ including measures such as ‘Actual changes with regard to adverse impacts (e.g. changes in carbon emissions rates of clients over time)’: </w:t>
      </w:r>
      <w:r w:rsidRPr="00A83A61">
        <w:rPr>
          <w:rFonts w:ascii="Century Gothic" w:hAnsi="Century Gothic"/>
          <w:noProof/>
          <w:sz w:val="18"/>
          <w:szCs w:val="18"/>
        </w:rPr>
        <w:t xml:space="preserve">OECD </w:t>
      </w:r>
      <w:r w:rsidRPr="00A83A61">
        <w:rPr>
          <w:rFonts w:ascii="Century Gothic" w:hAnsi="Century Gothic"/>
          <w:i/>
          <w:noProof/>
          <w:sz w:val="18"/>
          <w:szCs w:val="18"/>
        </w:rPr>
        <w:t>Due Diligence for Corporate Lending</w:t>
      </w:r>
      <w:r w:rsidRPr="00A83A61">
        <w:rPr>
          <w:rFonts w:ascii="Century Gothic" w:hAnsi="Century Gothic"/>
          <w:noProof/>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_Ref35508459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13</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sz w:val="18"/>
          <w:szCs w:val="18"/>
        </w:rPr>
        <w:t>, 27 &amp; 53-55.</w:t>
      </w:r>
    </w:p>
  </w:endnote>
  <w:endnote w:id="30">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eastAsia="Times New Roman" w:hAnsi="Century Gothic" w:cs="Times New Roman"/>
          <w:color w:val="000000" w:themeColor="text1"/>
          <w:sz w:val="18"/>
          <w:szCs w:val="18"/>
          <w:lang w:eastAsia="en-AU"/>
        </w:rPr>
        <w:t xml:space="preserve"> </w:t>
      </w:r>
      <w:r w:rsidRPr="00A83A61">
        <w:rPr>
          <w:rFonts w:ascii="Century Gothic" w:eastAsia="Times New Roman" w:hAnsi="Century Gothic" w:cs="Times New Roman"/>
          <w:noProof/>
          <w:color w:val="000000" w:themeColor="text1"/>
          <w:sz w:val="18"/>
          <w:szCs w:val="18"/>
          <w:lang w:eastAsia="en-AU"/>
        </w:rPr>
        <w:t xml:space="preserve">OECD </w:t>
      </w:r>
      <w:r w:rsidRPr="00A83A61">
        <w:rPr>
          <w:rFonts w:ascii="Century Gothic" w:eastAsia="Times New Roman" w:hAnsi="Century Gothic" w:cs="Times New Roman"/>
          <w:i/>
          <w:noProof/>
          <w:color w:val="000000" w:themeColor="text1"/>
          <w:sz w:val="18"/>
          <w:szCs w:val="18"/>
          <w:lang w:eastAsia="en-AU"/>
        </w:rPr>
        <w:t>Global Climate Action and Responsible Business Conduct</w:t>
      </w:r>
      <w:r w:rsidRPr="00A83A61">
        <w:rPr>
          <w:rFonts w:ascii="Century Gothic" w:eastAsia="Times New Roman" w:hAnsi="Century Gothic" w:cs="Times New Roman"/>
          <w:noProof/>
          <w:color w:val="000000" w:themeColor="text1"/>
          <w:sz w:val="18"/>
          <w:szCs w:val="18"/>
          <w:lang w:eastAsia="en-AU"/>
        </w:rPr>
        <w:t xml:space="preserve"> (above n</w:t>
      </w:r>
      <w:r w:rsidRPr="00A83A61">
        <w:rPr>
          <w:rFonts w:ascii="Century Gothic" w:eastAsia="Times New Roman" w:hAnsi="Century Gothic" w:cs="Times New Roman"/>
          <w:noProof/>
          <w:color w:val="000000" w:themeColor="text1"/>
          <w:sz w:val="18"/>
          <w:szCs w:val="18"/>
          <w:lang w:eastAsia="en-AU"/>
        </w:rPr>
        <w:fldChar w:fldCharType="begin"/>
      </w:r>
      <w:r w:rsidRPr="00A83A61">
        <w:rPr>
          <w:rFonts w:ascii="Century Gothic" w:eastAsia="Times New Roman" w:hAnsi="Century Gothic" w:cs="Times New Roman"/>
          <w:noProof/>
          <w:color w:val="000000" w:themeColor="text1"/>
          <w:sz w:val="18"/>
          <w:szCs w:val="18"/>
          <w:lang w:eastAsia="en-AU"/>
        </w:rPr>
        <w:instrText xml:space="preserve"> NOTEREF _Ref35510094 \h  \* MERGEFORMAT </w:instrText>
      </w:r>
      <w:r w:rsidRPr="00A83A61">
        <w:rPr>
          <w:rFonts w:ascii="Century Gothic" w:eastAsia="Times New Roman" w:hAnsi="Century Gothic" w:cs="Times New Roman"/>
          <w:noProof/>
          <w:color w:val="000000" w:themeColor="text1"/>
          <w:sz w:val="18"/>
          <w:szCs w:val="18"/>
          <w:lang w:eastAsia="en-AU"/>
        </w:rPr>
      </w:r>
      <w:r w:rsidRPr="00A83A61">
        <w:rPr>
          <w:rFonts w:ascii="Century Gothic" w:eastAsia="Times New Roman" w:hAnsi="Century Gothic" w:cs="Times New Roman"/>
          <w:noProof/>
          <w:color w:val="000000" w:themeColor="text1"/>
          <w:sz w:val="18"/>
          <w:szCs w:val="18"/>
          <w:lang w:eastAsia="en-AU"/>
        </w:rPr>
        <w:fldChar w:fldCharType="separate"/>
      </w:r>
      <w:r>
        <w:rPr>
          <w:rFonts w:ascii="Century Gothic" w:eastAsia="Times New Roman" w:hAnsi="Century Gothic" w:cs="Times New Roman"/>
          <w:noProof/>
          <w:color w:val="000000" w:themeColor="text1"/>
          <w:sz w:val="18"/>
          <w:szCs w:val="18"/>
          <w:lang w:eastAsia="en-AU"/>
        </w:rPr>
        <w:t>14</w:t>
      </w:r>
      <w:r w:rsidRPr="00A83A61">
        <w:rPr>
          <w:rFonts w:ascii="Century Gothic" w:eastAsia="Times New Roman" w:hAnsi="Century Gothic" w:cs="Times New Roman"/>
          <w:noProof/>
          <w:color w:val="000000" w:themeColor="text1"/>
          <w:sz w:val="18"/>
          <w:szCs w:val="18"/>
          <w:lang w:eastAsia="en-AU"/>
        </w:rPr>
        <w:fldChar w:fldCharType="end"/>
      </w:r>
      <w:r w:rsidRPr="00A83A61">
        <w:rPr>
          <w:rFonts w:ascii="Century Gothic" w:eastAsia="Times New Roman" w:hAnsi="Century Gothic" w:cs="Times New Roman"/>
          <w:noProof/>
          <w:color w:val="000000" w:themeColor="text1"/>
          <w:sz w:val="18"/>
          <w:szCs w:val="18"/>
          <w:lang w:eastAsia="en-AU"/>
        </w:rPr>
        <w:t>)</w:t>
      </w:r>
      <w:r w:rsidRPr="00A83A61">
        <w:rPr>
          <w:rFonts w:ascii="Century Gothic" w:eastAsia="Times New Roman" w:hAnsi="Century Gothic" w:cs="Times New Roman"/>
          <w:color w:val="000000" w:themeColor="text1"/>
          <w:sz w:val="18"/>
          <w:szCs w:val="18"/>
          <w:lang w:eastAsia="en-AU"/>
        </w:rPr>
        <w:t>.</w:t>
      </w:r>
    </w:p>
  </w:endnote>
  <w:endnote w:id="31">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Global Climate Action and Responsible Business Conduct</w:t>
      </w:r>
      <w:r w:rsidRPr="00A83A61">
        <w:rPr>
          <w:rFonts w:ascii="Century Gothic" w:hAnsi="Century Gothic"/>
          <w:noProof/>
          <w:color w:val="000000" w:themeColor="text1"/>
          <w:sz w:val="18"/>
          <w:szCs w:val="18"/>
        </w:rPr>
        <w:t xml:space="preserve"> (above n</w:t>
      </w:r>
      <w:r w:rsidRPr="00A83A61">
        <w:rPr>
          <w:rFonts w:ascii="Century Gothic" w:eastAsia="Times New Roman" w:hAnsi="Century Gothic" w:cs="Times New Roman"/>
          <w:noProof/>
          <w:color w:val="000000" w:themeColor="text1"/>
          <w:sz w:val="18"/>
          <w:szCs w:val="18"/>
          <w:lang w:eastAsia="en-AU"/>
        </w:rPr>
        <w:fldChar w:fldCharType="begin"/>
      </w:r>
      <w:r w:rsidRPr="00A83A61">
        <w:rPr>
          <w:rFonts w:ascii="Century Gothic" w:eastAsia="Times New Roman" w:hAnsi="Century Gothic" w:cs="Times New Roman"/>
          <w:noProof/>
          <w:color w:val="000000" w:themeColor="text1"/>
          <w:sz w:val="18"/>
          <w:szCs w:val="18"/>
          <w:lang w:eastAsia="en-AU"/>
        </w:rPr>
        <w:instrText xml:space="preserve"> NOTEREF _Ref35510094 \h  \* MERGEFORMAT </w:instrText>
      </w:r>
      <w:r w:rsidRPr="00A83A61">
        <w:rPr>
          <w:rFonts w:ascii="Century Gothic" w:eastAsia="Times New Roman" w:hAnsi="Century Gothic" w:cs="Times New Roman"/>
          <w:noProof/>
          <w:color w:val="000000" w:themeColor="text1"/>
          <w:sz w:val="18"/>
          <w:szCs w:val="18"/>
          <w:lang w:eastAsia="en-AU"/>
        </w:rPr>
      </w:r>
      <w:r w:rsidRPr="00A83A61">
        <w:rPr>
          <w:rFonts w:ascii="Century Gothic" w:eastAsia="Times New Roman" w:hAnsi="Century Gothic" w:cs="Times New Roman"/>
          <w:noProof/>
          <w:color w:val="000000" w:themeColor="text1"/>
          <w:sz w:val="18"/>
          <w:szCs w:val="18"/>
          <w:lang w:eastAsia="en-AU"/>
        </w:rPr>
        <w:fldChar w:fldCharType="separate"/>
      </w:r>
      <w:r>
        <w:rPr>
          <w:rFonts w:ascii="Century Gothic" w:eastAsia="Times New Roman" w:hAnsi="Century Gothic" w:cs="Times New Roman"/>
          <w:noProof/>
          <w:color w:val="000000" w:themeColor="text1"/>
          <w:sz w:val="18"/>
          <w:szCs w:val="18"/>
          <w:lang w:eastAsia="en-AU"/>
        </w:rPr>
        <w:t>14</w:t>
      </w:r>
      <w:r w:rsidRPr="00A83A61">
        <w:rPr>
          <w:rFonts w:ascii="Century Gothic" w:eastAsia="Times New Roman" w:hAnsi="Century Gothic" w:cs="Times New Roman"/>
          <w:noProof/>
          <w:color w:val="000000" w:themeColor="text1"/>
          <w:sz w:val="18"/>
          <w:szCs w:val="18"/>
          <w:lang w:eastAsia="en-AU"/>
        </w:rPr>
        <w:fldChar w:fldCharType="end"/>
      </w:r>
      <w:r w:rsidRPr="00A83A61">
        <w:rPr>
          <w:rFonts w:ascii="Century Gothic" w:eastAsia="Times New Roman" w:hAnsi="Century Gothic" w:cs="Times New Roman"/>
          <w:noProof/>
          <w:color w:val="000000" w:themeColor="text1"/>
          <w:sz w:val="18"/>
          <w:szCs w:val="18"/>
          <w:lang w:eastAsia="en-AU"/>
        </w:rPr>
        <w:t>)</w:t>
      </w:r>
      <w:r w:rsidRPr="00A83A61">
        <w:rPr>
          <w:rFonts w:ascii="Century Gothic" w:hAnsi="Century Gothic"/>
          <w:color w:val="000000" w:themeColor="text1"/>
          <w:sz w:val="18"/>
          <w:szCs w:val="18"/>
        </w:rPr>
        <w:t>, 3 (emphasis added).</w:t>
      </w:r>
    </w:p>
  </w:endnote>
  <w:endnote w:id="32">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Global Climate Action and Responsible Business Conduct</w:t>
      </w:r>
      <w:r w:rsidRPr="00A83A61">
        <w:rPr>
          <w:rFonts w:ascii="Century Gothic" w:hAnsi="Century Gothic"/>
          <w:noProof/>
          <w:color w:val="000000" w:themeColor="text1"/>
          <w:sz w:val="18"/>
          <w:szCs w:val="18"/>
        </w:rPr>
        <w:t xml:space="preserve"> (above n</w:t>
      </w:r>
      <w:r w:rsidRPr="00A83A61">
        <w:rPr>
          <w:rFonts w:ascii="Century Gothic" w:eastAsia="Times New Roman" w:hAnsi="Century Gothic" w:cs="Times New Roman"/>
          <w:noProof/>
          <w:color w:val="000000" w:themeColor="text1"/>
          <w:sz w:val="18"/>
          <w:szCs w:val="18"/>
          <w:lang w:eastAsia="en-AU"/>
        </w:rPr>
        <w:fldChar w:fldCharType="begin"/>
      </w:r>
      <w:r w:rsidRPr="00A83A61">
        <w:rPr>
          <w:rFonts w:ascii="Century Gothic" w:eastAsia="Times New Roman" w:hAnsi="Century Gothic" w:cs="Times New Roman"/>
          <w:noProof/>
          <w:color w:val="000000" w:themeColor="text1"/>
          <w:sz w:val="18"/>
          <w:szCs w:val="18"/>
          <w:lang w:eastAsia="en-AU"/>
        </w:rPr>
        <w:instrText xml:space="preserve"> NOTEREF _Ref35510094 \h  \* MERGEFORMAT </w:instrText>
      </w:r>
      <w:r w:rsidRPr="00A83A61">
        <w:rPr>
          <w:rFonts w:ascii="Century Gothic" w:eastAsia="Times New Roman" w:hAnsi="Century Gothic" w:cs="Times New Roman"/>
          <w:noProof/>
          <w:color w:val="000000" w:themeColor="text1"/>
          <w:sz w:val="18"/>
          <w:szCs w:val="18"/>
          <w:lang w:eastAsia="en-AU"/>
        </w:rPr>
      </w:r>
      <w:r w:rsidRPr="00A83A61">
        <w:rPr>
          <w:rFonts w:ascii="Century Gothic" w:eastAsia="Times New Roman" w:hAnsi="Century Gothic" w:cs="Times New Roman"/>
          <w:noProof/>
          <w:color w:val="000000" w:themeColor="text1"/>
          <w:sz w:val="18"/>
          <w:szCs w:val="18"/>
          <w:lang w:eastAsia="en-AU"/>
        </w:rPr>
        <w:fldChar w:fldCharType="separate"/>
      </w:r>
      <w:r>
        <w:rPr>
          <w:rFonts w:ascii="Century Gothic" w:eastAsia="Times New Roman" w:hAnsi="Century Gothic" w:cs="Times New Roman"/>
          <w:noProof/>
          <w:color w:val="000000" w:themeColor="text1"/>
          <w:sz w:val="18"/>
          <w:szCs w:val="18"/>
          <w:lang w:eastAsia="en-AU"/>
        </w:rPr>
        <w:t>14</w:t>
      </w:r>
      <w:r w:rsidRPr="00A83A61">
        <w:rPr>
          <w:rFonts w:ascii="Century Gothic" w:eastAsia="Times New Roman" w:hAnsi="Century Gothic" w:cs="Times New Roman"/>
          <w:noProof/>
          <w:color w:val="000000" w:themeColor="text1"/>
          <w:sz w:val="18"/>
          <w:szCs w:val="18"/>
          <w:lang w:eastAsia="en-AU"/>
        </w:rPr>
        <w:fldChar w:fldCharType="end"/>
      </w:r>
      <w:r w:rsidRPr="00A83A61">
        <w:rPr>
          <w:rFonts w:ascii="Century Gothic" w:eastAsia="Times New Roman" w:hAnsi="Century Gothic" w:cs="Times New Roman"/>
          <w:noProof/>
          <w:color w:val="000000" w:themeColor="text1"/>
          <w:sz w:val="18"/>
          <w:szCs w:val="18"/>
          <w:lang w:eastAsia="en-AU"/>
        </w:rPr>
        <w:t>)</w:t>
      </w:r>
      <w:r w:rsidRPr="00A83A61">
        <w:rPr>
          <w:rFonts w:ascii="Century Gothic" w:hAnsi="Century Gothic"/>
          <w:color w:val="000000" w:themeColor="text1"/>
          <w:sz w:val="18"/>
          <w:szCs w:val="18"/>
        </w:rPr>
        <w:t>, 3 (emphasis added).</w:t>
      </w:r>
    </w:p>
  </w:endnote>
  <w:endnote w:id="33">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Global Climate Action and Responsible Business Conduct</w:t>
      </w:r>
      <w:r w:rsidRPr="00A83A61">
        <w:rPr>
          <w:rFonts w:ascii="Century Gothic" w:hAnsi="Century Gothic"/>
          <w:noProof/>
          <w:color w:val="000000" w:themeColor="text1"/>
          <w:sz w:val="18"/>
          <w:szCs w:val="18"/>
        </w:rPr>
        <w:t xml:space="preserve"> (above n</w:t>
      </w:r>
      <w:r w:rsidRPr="00A83A61">
        <w:rPr>
          <w:rFonts w:ascii="Century Gothic" w:eastAsia="Times New Roman" w:hAnsi="Century Gothic" w:cs="Times New Roman"/>
          <w:noProof/>
          <w:color w:val="000000" w:themeColor="text1"/>
          <w:sz w:val="18"/>
          <w:szCs w:val="18"/>
          <w:lang w:eastAsia="en-AU"/>
        </w:rPr>
        <w:fldChar w:fldCharType="begin"/>
      </w:r>
      <w:r w:rsidRPr="00A83A61">
        <w:rPr>
          <w:rFonts w:ascii="Century Gothic" w:eastAsia="Times New Roman" w:hAnsi="Century Gothic" w:cs="Times New Roman"/>
          <w:noProof/>
          <w:color w:val="000000" w:themeColor="text1"/>
          <w:sz w:val="18"/>
          <w:szCs w:val="18"/>
          <w:lang w:eastAsia="en-AU"/>
        </w:rPr>
        <w:instrText xml:space="preserve"> NOTEREF _Ref35510094 \h  \* MERGEFORMAT </w:instrText>
      </w:r>
      <w:r w:rsidRPr="00A83A61">
        <w:rPr>
          <w:rFonts w:ascii="Century Gothic" w:eastAsia="Times New Roman" w:hAnsi="Century Gothic" w:cs="Times New Roman"/>
          <w:noProof/>
          <w:color w:val="000000" w:themeColor="text1"/>
          <w:sz w:val="18"/>
          <w:szCs w:val="18"/>
          <w:lang w:eastAsia="en-AU"/>
        </w:rPr>
      </w:r>
      <w:r w:rsidRPr="00A83A61">
        <w:rPr>
          <w:rFonts w:ascii="Century Gothic" w:eastAsia="Times New Roman" w:hAnsi="Century Gothic" w:cs="Times New Roman"/>
          <w:noProof/>
          <w:color w:val="000000" w:themeColor="text1"/>
          <w:sz w:val="18"/>
          <w:szCs w:val="18"/>
          <w:lang w:eastAsia="en-AU"/>
        </w:rPr>
        <w:fldChar w:fldCharType="separate"/>
      </w:r>
      <w:r>
        <w:rPr>
          <w:rFonts w:ascii="Century Gothic" w:eastAsia="Times New Roman" w:hAnsi="Century Gothic" w:cs="Times New Roman"/>
          <w:noProof/>
          <w:color w:val="000000" w:themeColor="text1"/>
          <w:sz w:val="18"/>
          <w:szCs w:val="18"/>
          <w:lang w:eastAsia="en-AU"/>
        </w:rPr>
        <w:t>14</w:t>
      </w:r>
      <w:r w:rsidRPr="00A83A61">
        <w:rPr>
          <w:rFonts w:ascii="Century Gothic" w:eastAsia="Times New Roman" w:hAnsi="Century Gothic" w:cs="Times New Roman"/>
          <w:noProof/>
          <w:color w:val="000000" w:themeColor="text1"/>
          <w:sz w:val="18"/>
          <w:szCs w:val="18"/>
          <w:lang w:eastAsia="en-AU"/>
        </w:rPr>
        <w:fldChar w:fldCharType="end"/>
      </w:r>
      <w:r w:rsidRPr="00A83A61">
        <w:rPr>
          <w:rFonts w:ascii="Century Gothic" w:eastAsia="Times New Roman" w:hAnsi="Century Gothic" w:cs="Times New Roman"/>
          <w:noProof/>
          <w:color w:val="000000" w:themeColor="text1"/>
          <w:sz w:val="18"/>
          <w:szCs w:val="18"/>
          <w:lang w:eastAsia="en-AU"/>
        </w:rPr>
        <w:t>)</w:t>
      </w:r>
      <w:r w:rsidRPr="00A83A61">
        <w:rPr>
          <w:rFonts w:ascii="Century Gothic" w:hAnsi="Century Gothic"/>
          <w:color w:val="000000" w:themeColor="text1"/>
          <w:sz w:val="18"/>
          <w:szCs w:val="18"/>
        </w:rPr>
        <w:t>, 3 (emphasis added).</w:t>
      </w:r>
    </w:p>
  </w:endnote>
  <w:endnote w:id="34">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The most relevant Australian proceedings are </w:t>
      </w:r>
      <w:r w:rsidRPr="00A83A61">
        <w:rPr>
          <w:rFonts w:ascii="Century Gothic" w:hAnsi="Century Gothic"/>
          <w:i/>
          <w:iCs/>
          <w:sz w:val="18"/>
          <w:szCs w:val="18"/>
        </w:rPr>
        <w:t>Mark McVeigh v Retail Employees Superannuation</w:t>
      </w:r>
      <w:r w:rsidRPr="00A83A61">
        <w:rPr>
          <w:rFonts w:ascii="Century Gothic" w:hAnsi="Century Gothic"/>
          <w:sz w:val="18"/>
          <w:szCs w:val="18"/>
        </w:rPr>
        <w:t xml:space="preserve"> (Federal Court NSD1333/2018) scheduled for hearing in July 2020 by orders of Justice Perram on 22 November 2019 (information from Commonwealth Courts Portal </w:t>
      </w:r>
      <w:hyperlink r:id="rId2" w:history="1">
        <w:r w:rsidRPr="00A83A61">
          <w:rPr>
            <w:rStyle w:val="Hyperlink"/>
            <w:rFonts w:ascii="Century Gothic" w:hAnsi="Century Gothic"/>
            <w:sz w:val="18"/>
            <w:szCs w:val="18"/>
          </w:rPr>
          <w:t>https://www.comcourts.gov.au/public/esearch/disclaimer</w:t>
        </w:r>
      </w:hyperlink>
      <w:r w:rsidRPr="00A83A61">
        <w:rPr>
          <w:rFonts w:ascii="Century Gothic" w:hAnsi="Century Gothic"/>
          <w:sz w:val="18"/>
          <w:szCs w:val="18"/>
        </w:rPr>
        <w:t xml:space="preserve"> accessed 9 March 2020).</w:t>
      </w:r>
    </w:p>
  </w:endnote>
  <w:endnote w:id="35">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sz w:val="18"/>
          <w:szCs w:val="18"/>
        </w:rPr>
        <w:t xml:space="preserve">OECD </w:t>
      </w:r>
      <w:r w:rsidRPr="00A83A61">
        <w:rPr>
          <w:rFonts w:ascii="Century Gothic" w:hAnsi="Century Gothic"/>
          <w:i/>
          <w:noProof/>
          <w:sz w:val="18"/>
          <w:szCs w:val="18"/>
        </w:rPr>
        <w:t>Guidelines for Multinational Enterprises</w:t>
      </w:r>
      <w:r w:rsidRPr="00A83A61">
        <w:rPr>
          <w:rFonts w:ascii="Century Gothic" w:hAnsi="Century Gothic"/>
          <w:noProof/>
          <w:sz w:val="18"/>
          <w:szCs w:val="18"/>
        </w:rPr>
        <w:t xml:space="preserve"> (2011)</w:t>
      </w:r>
      <w:r w:rsidRPr="00A83A61">
        <w:rPr>
          <w:rFonts w:ascii="Century Gothic" w:hAnsi="Century Gothic"/>
          <w:sz w:val="18"/>
          <w:szCs w:val="18"/>
        </w:rPr>
        <w:t>, Part I, [2].</w:t>
      </w:r>
    </w:p>
  </w:endnote>
  <w:endnote w:id="36">
    <w:p w:rsidR="0077238F" w:rsidRPr="00A83A61" w:rsidRDefault="0077238F" w:rsidP="006A7AAD">
      <w:pPr>
        <w:pStyle w:val="EndnoteText"/>
        <w:ind w:left="170" w:hanging="170"/>
        <w:rPr>
          <w:rFonts w:ascii="Century Gothic" w:hAnsi="Century Gothic"/>
          <w:sz w:val="18"/>
          <w:szCs w:val="18"/>
          <w:lang w:val="en-US"/>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sz w:val="18"/>
          <w:szCs w:val="18"/>
        </w:rPr>
        <w:t xml:space="preserve">Governor-General </w:t>
      </w:r>
      <w:r w:rsidRPr="00A83A61">
        <w:rPr>
          <w:rFonts w:ascii="Century Gothic" w:hAnsi="Century Gothic"/>
          <w:i/>
          <w:noProof/>
          <w:sz w:val="18"/>
          <w:szCs w:val="18"/>
        </w:rPr>
        <w:t>Letters Patent establishing National Royal Commission into Black Summer bushfires</w:t>
      </w:r>
      <w:r w:rsidRPr="00A83A61">
        <w:rPr>
          <w:rFonts w:ascii="Century Gothic" w:hAnsi="Century Gothic"/>
          <w:noProof/>
          <w:sz w:val="18"/>
          <w:szCs w:val="18"/>
        </w:rPr>
        <w:t xml:space="preserve"> (20 February 2020) Australian Government</w:t>
      </w:r>
      <w:r w:rsidRPr="00A83A61">
        <w:rPr>
          <w:rFonts w:ascii="Century Gothic" w:hAnsi="Century Gothic"/>
          <w:sz w:val="18"/>
          <w:szCs w:val="18"/>
          <w:lang w:val="en-US"/>
        </w:rPr>
        <w:t>, 1-2 (emphasis added).</w:t>
      </w:r>
    </w:p>
  </w:endnote>
  <w:endnote w:id="37">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ASFI, </w:t>
      </w:r>
      <w:r w:rsidRPr="00A83A61">
        <w:rPr>
          <w:rFonts w:ascii="Century Gothic" w:hAnsi="Century Gothic"/>
          <w:i/>
          <w:noProof/>
          <w:color w:val="000000" w:themeColor="text1"/>
          <w:sz w:val="18"/>
          <w:szCs w:val="18"/>
        </w:rPr>
        <w:t>Developing an Australian Sustainable Finance Roadmap: Progress Report</w:t>
      </w:r>
      <w:r w:rsidRPr="00A83A61">
        <w:rPr>
          <w:rFonts w:ascii="Century Gothic" w:hAnsi="Century Gothic"/>
          <w:noProof/>
          <w:color w:val="000000" w:themeColor="text1"/>
          <w:sz w:val="18"/>
          <w:szCs w:val="18"/>
        </w:rPr>
        <w:t xml:space="preserve"> (2019, Australian Sustainable Finance Initiative)</w:t>
      </w:r>
      <w:r w:rsidRPr="00A83A61">
        <w:rPr>
          <w:rFonts w:ascii="Century Gothic" w:hAnsi="Century Gothic"/>
          <w:color w:val="000000" w:themeColor="text1"/>
          <w:sz w:val="18"/>
          <w:szCs w:val="18"/>
        </w:rPr>
        <w:t>.</w:t>
      </w:r>
    </w:p>
  </w:endnote>
  <w:endnote w:id="38">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ASFI, </w:t>
      </w:r>
      <w:r w:rsidRPr="00A83A61">
        <w:rPr>
          <w:rFonts w:ascii="Century Gothic" w:hAnsi="Century Gothic"/>
          <w:i/>
          <w:noProof/>
          <w:color w:val="000000" w:themeColor="text1"/>
          <w:sz w:val="18"/>
          <w:szCs w:val="18"/>
        </w:rPr>
        <w:t>What is ASFI?</w:t>
      </w:r>
      <w:r w:rsidRPr="00A83A61">
        <w:rPr>
          <w:rFonts w:ascii="Century Gothic" w:hAnsi="Century Gothic"/>
          <w:noProof/>
          <w:color w:val="000000" w:themeColor="text1"/>
          <w:sz w:val="18"/>
          <w:szCs w:val="18"/>
        </w:rPr>
        <w:t xml:space="preserve"> https://www.sustainablefinance.org.au/ (accessed 9 March 2020)</w:t>
      </w:r>
      <w:r w:rsidRPr="00A83A61">
        <w:rPr>
          <w:rFonts w:ascii="Century Gothic" w:hAnsi="Century Gothic"/>
          <w:color w:val="000000" w:themeColor="text1"/>
          <w:sz w:val="18"/>
          <w:szCs w:val="18"/>
        </w:rPr>
        <w:t>.</w:t>
      </w:r>
    </w:p>
  </w:endnote>
  <w:endnote w:id="39">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ASFI </w:t>
      </w:r>
      <w:r w:rsidRPr="00A83A61">
        <w:rPr>
          <w:rFonts w:ascii="Century Gothic" w:hAnsi="Century Gothic"/>
          <w:i/>
          <w:noProof/>
          <w:color w:val="000000" w:themeColor="text1"/>
          <w:sz w:val="18"/>
          <w:szCs w:val="18"/>
        </w:rPr>
        <w:t>What is ASFI?</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_Ref35510432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38</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w:t>
      </w:r>
    </w:p>
  </w:endnote>
  <w:endnote w:id="40">
    <w:p w:rsidR="0077238F" w:rsidRPr="00A83A61" w:rsidRDefault="0077238F" w:rsidP="006A7AAD">
      <w:pPr>
        <w:pStyle w:val="EndnoteText"/>
        <w:ind w:left="170" w:hanging="170"/>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 xml:space="preserve">ASFI </w:t>
      </w:r>
      <w:r w:rsidRPr="00A83A61">
        <w:rPr>
          <w:rFonts w:ascii="Century Gothic" w:hAnsi="Century Gothic"/>
          <w:i/>
          <w:noProof/>
          <w:color w:val="000000" w:themeColor="text1"/>
          <w:sz w:val="18"/>
          <w:szCs w:val="18"/>
        </w:rPr>
        <w:t>Progress Report</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_Ref35510450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37</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25.</w:t>
      </w:r>
    </w:p>
  </w:endnote>
  <w:endnote w:id="41">
    <w:p w:rsidR="0077238F" w:rsidRPr="00A83A61" w:rsidRDefault="0077238F" w:rsidP="006A7AAD">
      <w:pPr>
        <w:pStyle w:val="EndnoteText"/>
        <w:rPr>
          <w:rFonts w:ascii="Century Gothic" w:hAnsi="Century Gothic"/>
          <w:sz w:val="18"/>
          <w:szCs w:val="18"/>
        </w:rPr>
      </w:pPr>
      <w:r w:rsidRPr="00A83A61">
        <w:rPr>
          <w:rStyle w:val="EndnoteReference"/>
          <w:rFonts w:ascii="Century Gothic" w:hAnsi="Century Gothic"/>
          <w:sz w:val="18"/>
          <w:szCs w:val="18"/>
        </w:rPr>
        <w:endnoteRef/>
      </w:r>
      <w:r w:rsidRPr="00A83A61">
        <w:rPr>
          <w:rFonts w:ascii="Century Gothic" w:hAnsi="Century Gothic"/>
          <w:sz w:val="18"/>
          <w:szCs w:val="18"/>
        </w:rPr>
        <w:t xml:space="preserve"> </w:t>
      </w:r>
      <w:r w:rsidRPr="00A83A61">
        <w:rPr>
          <w:rFonts w:ascii="Century Gothic" w:hAnsi="Century Gothic"/>
          <w:noProof/>
          <w:color w:val="000000" w:themeColor="text1"/>
          <w:sz w:val="18"/>
          <w:szCs w:val="18"/>
        </w:rPr>
        <w:t xml:space="preserve">ASFI </w:t>
      </w:r>
      <w:r w:rsidRPr="00A83A61">
        <w:rPr>
          <w:rFonts w:ascii="Century Gothic" w:hAnsi="Century Gothic"/>
          <w:i/>
          <w:noProof/>
          <w:color w:val="000000" w:themeColor="text1"/>
          <w:sz w:val="18"/>
          <w:szCs w:val="18"/>
        </w:rPr>
        <w:t>Progress Report</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_Ref35510450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37</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36.</w:t>
      </w:r>
    </w:p>
  </w:endnote>
  <w:endnote w:id="42">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10.</w:t>
      </w:r>
    </w:p>
  </w:endnote>
  <w:endnote w:id="43">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12.</w:t>
      </w:r>
    </w:p>
  </w:endnote>
  <w:endnote w:id="44">
    <w:p w:rsidR="0077238F" w:rsidRPr="00A83A61" w:rsidRDefault="0077238F" w:rsidP="006A7AAD">
      <w:pPr>
        <w:pStyle w:val="EndnoteText"/>
        <w:ind w:left="170" w:hanging="170"/>
        <w:rPr>
          <w:rFonts w:ascii="Century Gothic" w:hAnsi="Century Gothic"/>
          <w:color w:val="000000" w:themeColor="text1"/>
          <w:sz w:val="18"/>
          <w:szCs w:val="18"/>
        </w:rPr>
      </w:pPr>
      <w:r w:rsidRPr="00A83A61">
        <w:rPr>
          <w:rStyle w:val="EndnoteReference"/>
          <w:rFonts w:ascii="Century Gothic" w:hAnsi="Century Gothic"/>
          <w:color w:val="000000" w:themeColor="text1"/>
          <w:sz w:val="18"/>
          <w:szCs w:val="18"/>
        </w:rPr>
        <w:endnoteRef/>
      </w:r>
      <w:r w:rsidRPr="00A83A61">
        <w:rPr>
          <w:rFonts w:ascii="Century Gothic" w:hAnsi="Century Gothic"/>
          <w:color w:val="000000" w:themeColor="text1"/>
          <w:sz w:val="18"/>
          <w:szCs w:val="18"/>
        </w:rPr>
        <w:t xml:space="preserve"> </w:t>
      </w:r>
      <w:r w:rsidRPr="00A83A61">
        <w:rPr>
          <w:rFonts w:ascii="Century Gothic" w:hAnsi="Century Gothic"/>
          <w:noProof/>
          <w:color w:val="000000" w:themeColor="text1"/>
          <w:sz w:val="18"/>
          <w:szCs w:val="18"/>
        </w:rPr>
        <w:t xml:space="preserve">OECD </w:t>
      </w:r>
      <w:r w:rsidRPr="00A83A61">
        <w:rPr>
          <w:rFonts w:ascii="Century Gothic" w:hAnsi="Century Gothic"/>
          <w:i/>
          <w:noProof/>
          <w:color w:val="000000" w:themeColor="text1"/>
          <w:sz w:val="18"/>
          <w:szCs w:val="18"/>
        </w:rPr>
        <w:t>Guide for Initial Assessments</w:t>
      </w:r>
      <w:r w:rsidRPr="00A83A61">
        <w:rPr>
          <w:rFonts w:ascii="Century Gothic" w:hAnsi="Century Gothic"/>
          <w:noProof/>
          <w:color w:val="000000" w:themeColor="text1"/>
          <w:sz w:val="18"/>
          <w:szCs w:val="18"/>
        </w:rPr>
        <w:t xml:space="preserve"> (above n</w:t>
      </w:r>
      <w:r w:rsidRPr="00A83A61">
        <w:rPr>
          <w:rFonts w:ascii="Century Gothic" w:hAnsi="Century Gothic"/>
          <w:noProof/>
          <w:color w:val="000000" w:themeColor="text1"/>
          <w:sz w:val="18"/>
          <w:szCs w:val="18"/>
        </w:rPr>
        <w:fldChar w:fldCharType="begin"/>
      </w:r>
      <w:r w:rsidRPr="00A83A61">
        <w:rPr>
          <w:rFonts w:ascii="Century Gothic" w:hAnsi="Century Gothic"/>
          <w:noProof/>
          <w:color w:val="000000" w:themeColor="text1"/>
          <w:sz w:val="18"/>
          <w:szCs w:val="18"/>
        </w:rPr>
        <w:instrText xml:space="preserve"> NOTEREF _Ref35505814 \h  \* MERGEFORMAT </w:instrText>
      </w:r>
      <w:r w:rsidRPr="00A83A61">
        <w:rPr>
          <w:rFonts w:ascii="Century Gothic" w:hAnsi="Century Gothic"/>
          <w:noProof/>
          <w:color w:val="000000" w:themeColor="text1"/>
          <w:sz w:val="18"/>
          <w:szCs w:val="18"/>
        </w:rPr>
      </w:r>
      <w:r w:rsidRPr="00A83A61">
        <w:rPr>
          <w:rFonts w:ascii="Century Gothic" w:hAnsi="Century Gothic"/>
          <w:noProof/>
          <w:color w:val="000000" w:themeColor="text1"/>
          <w:sz w:val="18"/>
          <w:szCs w:val="18"/>
        </w:rPr>
        <w:fldChar w:fldCharType="separate"/>
      </w:r>
      <w:r>
        <w:rPr>
          <w:rFonts w:ascii="Century Gothic" w:hAnsi="Century Gothic"/>
          <w:noProof/>
          <w:color w:val="000000" w:themeColor="text1"/>
          <w:sz w:val="18"/>
          <w:szCs w:val="18"/>
        </w:rPr>
        <w:t>1</w:t>
      </w:r>
      <w:r w:rsidRPr="00A83A61">
        <w:rPr>
          <w:rFonts w:ascii="Century Gothic" w:hAnsi="Century Gothic"/>
          <w:noProof/>
          <w:color w:val="000000" w:themeColor="text1"/>
          <w:sz w:val="18"/>
          <w:szCs w:val="18"/>
        </w:rPr>
        <w:fldChar w:fldCharType="end"/>
      </w:r>
      <w:r w:rsidRPr="00A83A61">
        <w:rPr>
          <w:rFonts w:ascii="Century Gothic" w:hAnsi="Century Gothic"/>
          <w:noProof/>
          <w:color w:val="000000" w:themeColor="text1"/>
          <w:sz w:val="18"/>
          <w:szCs w:val="18"/>
        </w:rPr>
        <w:t>)</w:t>
      </w:r>
      <w:r w:rsidRPr="00A83A61">
        <w:rPr>
          <w:rFonts w:ascii="Century Gothic" w:hAnsi="Century Gothic"/>
          <w:color w:val="000000" w:themeColor="text1"/>
          <w:sz w:val="18"/>
          <w:szCs w:val="18"/>
        </w:rPr>
        <w:t>,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8F" w:rsidRPr="00F668D3" w:rsidRDefault="0077238F" w:rsidP="0019588C">
    <w:pPr>
      <w:pStyle w:val="Footer"/>
      <w:jc w:val="right"/>
      <w:rPr>
        <w:rFonts w:ascii="Century Gothic" w:hAnsi="Century Gothic"/>
        <w:sz w:val="20"/>
        <w:szCs w:val="20"/>
      </w:rPr>
    </w:pPr>
    <w:r w:rsidRPr="00F668D3">
      <w:rPr>
        <w:rFonts w:ascii="Century Gothic" w:hAnsi="Century Gothic"/>
        <w:caps/>
        <w:color w:val="4472C4" w:themeColor="accent1"/>
        <w:sz w:val="20"/>
        <w:szCs w:val="20"/>
      </w:rPr>
      <w:t>P</w:t>
    </w:r>
    <w:r w:rsidRPr="00F668D3">
      <w:rPr>
        <w:rFonts w:ascii="Century Gothic" w:hAnsi="Century Gothic"/>
        <w:color w:val="4472C4" w:themeColor="accent1"/>
        <w:sz w:val="20"/>
        <w:szCs w:val="20"/>
      </w:rPr>
      <w:t>age</w:t>
    </w:r>
    <w:r w:rsidRPr="00F668D3">
      <w:rPr>
        <w:rFonts w:ascii="Century Gothic" w:hAnsi="Century Gothic"/>
        <w:caps/>
        <w:color w:val="4472C4" w:themeColor="accent1"/>
        <w:sz w:val="20"/>
        <w:szCs w:val="20"/>
      </w:rPr>
      <w:t xml:space="preserve"> </w:t>
    </w:r>
    <w:r w:rsidRPr="00F668D3">
      <w:rPr>
        <w:rFonts w:ascii="Century Gothic" w:hAnsi="Century Gothic"/>
        <w:caps/>
        <w:color w:val="4472C4" w:themeColor="accent1"/>
        <w:sz w:val="20"/>
        <w:szCs w:val="20"/>
      </w:rPr>
      <w:fldChar w:fldCharType="begin"/>
    </w:r>
    <w:r w:rsidRPr="00F668D3">
      <w:rPr>
        <w:rFonts w:ascii="Century Gothic" w:hAnsi="Century Gothic"/>
        <w:caps/>
        <w:color w:val="4472C4" w:themeColor="accent1"/>
        <w:sz w:val="20"/>
        <w:szCs w:val="20"/>
      </w:rPr>
      <w:instrText xml:space="preserve"> PAGE   \* MERGEFORMAT </w:instrText>
    </w:r>
    <w:r w:rsidRPr="00F668D3">
      <w:rPr>
        <w:rFonts w:ascii="Century Gothic" w:hAnsi="Century Gothic"/>
        <w:caps/>
        <w:color w:val="4472C4" w:themeColor="accent1"/>
        <w:sz w:val="20"/>
        <w:szCs w:val="20"/>
      </w:rPr>
      <w:fldChar w:fldCharType="separate"/>
    </w:r>
    <w:r w:rsidR="00E03964">
      <w:rPr>
        <w:rFonts w:ascii="Century Gothic" w:hAnsi="Century Gothic"/>
        <w:caps/>
        <w:noProof/>
        <w:color w:val="4472C4" w:themeColor="accent1"/>
        <w:sz w:val="20"/>
        <w:szCs w:val="20"/>
      </w:rPr>
      <w:t>20</w:t>
    </w:r>
    <w:r w:rsidRPr="00F668D3">
      <w:rPr>
        <w:rFonts w:ascii="Century Gothic" w:hAnsi="Century Gothic"/>
        <w:caps/>
        <w:noProof/>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8F" w:rsidRPr="00AF4526" w:rsidRDefault="0077238F" w:rsidP="0019588C">
    <w:pPr>
      <w:pStyle w:val="Disclaimer"/>
      <w:rPr>
        <w:lang w:val="en-US"/>
      </w:rPr>
    </w:pPr>
    <w:r w:rsidRPr="00AF4526">
      <w:rPr>
        <w:lang w:val="en-US"/>
      </w:rPr>
      <w:t>Disclaimer</w:t>
    </w:r>
  </w:p>
  <w:p w:rsidR="0077238F" w:rsidRDefault="0077238F" w:rsidP="0019588C">
    <w:pPr>
      <w:pStyle w:val="Disclaimer"/>
    </w:pPr>
    <w:r>
      <w:rPr>
        <w:lang w:val="en-US"/>
      </w:rPr>
      <w:t>The</w:t>
    </w:r>
    <w:r w:rsidRPr="00AF4526">
      <w:rPr>
        <w:lang w:val="en-US"/>
      </w:rPr>
      <w:t xml:space="preserv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w:t>
    </w:r>
    <w:r>
      <w:rPr>
        <w:lang w:val="en-US"/>
      </w:rPr>
      <w:t xml:space="preserve">, nor does it </w:t>
    </w:r>
    <w:r w:rsidRPr="001772B9">
      <w:rPr>
        <w:lang w:val="en-US"/>
      </w:rPr>
      <w:t xml:space="preserve">accept </w:t>
    </w:r>
    <w:r>
      <w:rPr>
        <w:lang w:val="en-US"/>
      </w:rPr>
      <w:t>any</w:t>
    </w:r>
    <w:r w:rsidRPr="001772B9">
      <w:rPr>
        <w:lang w:val="en-US"/>
      </w:rPr>
      <w:t xml:space="preserve"> responsibility for the accuracy or completeness of any material contained </w:t>
    </w:r>
    <w:r w:rsidRPr="00AF4526">
      <w:rPr>
        <w:lang w:val="en-US"/>
      </w:rPr>
      <w:t>herein</w:t>
    </w:r>
    <w:r>
      <w:rPr>
        <w:lang w:val="en-US"/>
      </w:rPr>
      <w:t xml:space="preserve">. Readers should </w:t>
    </w:r>
    <w:r w:rsidRPr="001772B9">
      <w:rPr>
        <w:lang w:val="en-US"/>
      </w:rPr>
      <w:t xml:space="preserve">exercise their own </w:t>
    </w:r>
    <w:r w:rsidRPr="00AF4526">
      <w:rPr>
        <w:lang w:val="en-US"/>
      </w:rPr>
      <w:t xml:space="preserve">judgement </w:t>
    </w:r>
    <w:r w:rsidRPr="001772B9">
      <w:rPr>
        <w:lang w:val="en-US"/>
      </w:rPr>
      <w:t xml:space="preserve">with respect to </w:t>
    </w:r>
    <w:r w:rsidRPr="00AF4526">
      <w:rPr>
        <w:lang w:val="en-US"/>
      </w:rPr>
      <w:t>interpretation</w:t>
    </w:r>
    <w:r w:rsidRPr="001772B9">
      <w:rPr>
        <w:lang w:val="en-US"/>
      </w:rPr>
      <w:t>.</w:t>
    </w:r>
    <w:r w:rsidRPr="00AF4526">
      <w:rPr>
        <w:lang w:val="en-US"/>
      </w:rPr>
      <w:t xml:space="preserve"> This </w:t>
    </w:r>
    <w:r w:rsidRPr="001772B9">
      <w:rPr>
        <w:lang w:val="en-US"/>
      </w:rPr>
      <w:t>material include</w:t>
    </w:r>
    <w:r w:rsidRPr="00AF4526">
      <w:rPr>
        <w:lang w:val="en-US"/>
      </w:rPr>
      <w:t>s the</w:t>
    </w:r>
    <w:r w:rsidRPr="001772B9">
      <w:rPr>
        <w:lang w:val="en-US"/>
      </w:rPr>
      <w:t xml:space="preserve"> views of third parties, which do not necessarily reflect the views of the Commonwealth, or indicate its commitment to a particular course of action.</w:t>
    </w:r>
    <w:r w:rsidRPr="00AF4526">
      <w:rPr>
        <w:lang w:val="en-US"/>
      </w:rPr>
      <w:t xml:space="preserve"> </w:t>
    </w:r>
    <w:r w:rsidRPr="001772B9">
      <w:rPr>
        <w:lang w:val="en-US"/>
      </w:rPr>
      <w:t xml:space="preserve">Links to other websites </w:t>
    </w:r>
    <w:r>
      <w:rPr>
        <w:lang w:val="en-US"/>
      </w:rPr>
      <w:t xml:space="preserve">and listings of other people or </w:t>
    </w:r>
    <w:r w:rsidRPr="00F829AB">
      <w:t>organisations</w:t>
    </w:r>
    <w:r>
      <w:rPr>
        <w:lang w:val="en-US"/>
      </w:rPr>
      <w:t xml:space="preserve"> </w:t>
    </w:r>
    <w:r w:rsidRPr="001772B9">
      <w:rPr>
        <w:lang w:val="en-US"/>
      </w:rPr>
      <w:t xml:space="preserve">are </w:t>
    </w:r>
    <w:r>
      <w:rPr>
        <w:lang w:val="en-US"/>
      </w:rPr>
      <w:t xml:space="preserve">included </w:t>
    </w:r>
    <w:r w:rsidRPr="001772B9">
      <w:rPr>
        <w:lang w:val="en-US"/>
      </w:rPr>
      <w:t>for convenience and do not constitute endorsement of those sites, product</w:t>
    </w:r>
    <w:r>
      <w:rPr>
        <w:lang w:val="en-US"/>
      </w:rPr>
      <w:t>s</w:t>
    </w:r>
    <w:r w:rsidRPr="001772B9">
      <w:rPr>
        <w:lang w:val="en-US"/>
      </w:rPr>
      <w:t xml:space="preserve"> or service</w:t>
    </w:r>
    <w:r>
      <w:rPr>
        <w:lang w:val="en-US"/>
      </w:rPr>
      <w:t>s</w:t>
    </w:r>
    <w:r w:rsidRPr="001772B9">
      <w:rPr>
        <w:lang w:val="en-US"/>
      </w:rPr>
      <w:t>.</w:t>
    </w:r>
    <w:r>
      <w:rPr>
        <w:lang w:val="en-US"/>
      </w:rPr>
      <w:t xml:space="preserve"> </w:t>
    </w:r>
    <w:r w:rsidRPr="0094629C">
      <w:rPr>
        <w:lang w:val="en-US"/>
      </w:rPr>
      <w:t xml:space="preserve">The Commonwealth Government respects the privacy of personal </w:t>
    </w:r>
    <w:r>
      <w:rPr>
        <w:lang w:val="en-US"/>
      </w:rPr>
      <w:t xml:space="preserve">and commercially sensitive </w:t>
    </w:r>
    <w:r w:rsidRPr="0094629C">
      <w:rPr>
        <w:lang w:val="en-US"/>
      </w:rPr>
      <w:t xml:space="preserve">information provided by </w:t>
    </w:r>
    <w:r>
      <w:rPr>
        <w:lang w:val="en-US"/>
      </w:rPr>
      <w:t>parties</w:t>
    </w:r>
    <w:r w:rsidRPr="0094629C">
      <w:rPr>
        <w:lang w:val="en-US"/>
      </w:rPr>
      <w:t>, as per the requirements of the Privacy Act 1988 and the Freedom of Information Act 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2A" w:rsidRDefault="00A95A2A" w:rsidP="00FD6E77">
      <w:pPr>
        <w:spacing w:after="0" w:line="240" w:lineRule="auto"/>
      </w:pPr>
      <w:r>
        <w:separator/>
      </w:r>
    </w:p>
  </w:footnote>
  <w:footnote w:type="continuationSeparator" w:id="0">
    <w:p w:rsidR="00A95A2A" w:rsidRDefault="00A95A2A" w:rsidP="00FD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8F" w:rsidRDefault="0077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8F" w:rsidRDefault="0077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8F" w:rsidRDefault="0077238F" w:rsidP="0019588C">
    <w:pPr>
      <w:pStyle w:val="Header"/>
      <w:spacing w:after="840"/>
      <w:jc w:val="center"/>
    </w:pPr>
    <w:r>
      <w:rPr>
        <w:noProof/>
        <w:lang w:eastAsia="en-AU"/>
      </w:rPr>
      <w:drawing>
        <wp:inline distT="0" distB="0" distL="0" distR="0" wp14:anchorId="50AF7B9E" wp14:editId="7726320A">
          <wp:extent cx="2009554" cy="1778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sNCP logo - dark background (high res).JPG"/>
                  <pic:cNvPicPr/>
                </pic:nvPicPr>
                <pic:blipFill>
                  <a:blip r:embed="rId1">
                    <a:extLst>
                      <a:ext uri="{28A0092B-C50C-407E-A947-70E740481C1C}">
                        <a14:useLocalDpi xmlns:a14="http://schemas.microsoft.com/office/drawing/2010/main" val="0"/>
                      </a:ext>
                    </a:extLst>
                  </a:blip>
                  <a:stretch>
                    <a:fillRect/>
                  </a:stretch>
                </pic:blipFill>
                <pic:spPr>
                  <a:xfrm>
                    <a:off x="0" y="0"/>
                    <a:ext cx="2030108" cy="1796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926"/>
    <w:multiLevelType w:val="multilevel"/>
    <w:tmpl w:val="65669AA4"/>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B60C6"/>
    <w:multiLevelType w:val="hybridMultilevel"/>
    <w:tmpl w:val="CA84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6627E"/>
    <w:multiLevelType w:val="multilevel"/>
    <w:tmpl w:val="A8B49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5" w15:restartNumberingAfterBreak="0">
    <w:nsid w:val="197E35C1"/>
    <w:multiLevelType w:val="multilevel"/>
    <w:tmpl w:val="23AA819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DE75B4"/>
    <w:multiLevelType w:val="multilevel"/>
    <w:tmpl w:val="71F42458"/>
    <w:lvl w:ilvl="0">
      <w:start w:val="2"/>
      <w:numFmt w:val="decimal"/>
      <w:lvlText w:val="%1."/>
      <w:lvlJc w:val="left"/>
      <w:pPr>
        <w:tabs>
          <w:tab w:val="left" w:pos="288"/>
        </w:tabs>
        <w:ind w:left="720"/>
      </w:pPr>
      <w:rPr>
        <w:rFonts w:ascii="Times New Roman" w:eastAsia="Times New Roman" w:hAnsi="Times New Roman"/>
        <w: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26BF0"/>
    <w:multiLevelType w:val="multilevel"/>
    <w:tmpl w:val="CC660076"/>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684780"/>
    <w:multiLevelType w:val="hybridMultilevel"/>
    <w:tmpl w:val="9D3A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A68CE"/>
    <w:multiLevelType w:val="hybridMultilevel"/>
    <w:tmpl w:val="F8CE9BC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2B7F617C"/>
    <w:multiLevelType w:val="multilevel"/>
    <w:tmpl w:val="C6CC2AA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8B120CB"/>
    <w:multiLevelType w:val="multilevel"/>
    <w:tmpl w:val="A4F23FBC"/>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463D1A"/>
    <w:multiLevelType w:val="multilevel"/>
    <w:tmpl w:val="B01A8A8C"/>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D6E8A"/>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D2A10EC"/>
    <w:multiLevelType w:val="multilevel"/>
    <w:tmpl w:val="D4625C4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C47A9A"/>
    <w:multiLevelType w:val="multilevel"/>
    <w:tmpl w:val="C6CC2AA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A3372C"/>
    <w:multiLevelType w:val="hybridMultilevel"/>
    <w:tmpl w:val="BC92A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ED5400"/>
    <w:multiLevelType w:val="hybridMultilevel"/>
    <w:tmpl w:val="A8D4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63F1F"/>
    <w:multiLevelType w:val="multilevel"/>
    <w:tmpl w:val="764A6340"/>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C21F2"/>
    <w:multiLevelType w:val="multilevel"/>
    <w:tmpl w:val="C6CC2AA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101123"/>
    <w:multiLevelType w:val="hybridMultilevel"/>
    <w:tmpl w:val="1F4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E30A9D"/>
    <w:multiLevelType w:val="multilevel"/>
    <w:tmpl w:val="0F6CEA14"/>
    <w:name w:val="StandardNumberedList"/>
    <w:lvl w:ilvl="0">
      <w:start w:val="1"/>
      <w:numFmt w:val="decimal"/>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
  </w:num>
  <w:num w:numId="3">
    <w:abstractNumId w:val="14"/>
  </w:num>
  <w:num w:numId="4">
    <w:abstractNumId w:val="0"/>
  </w:num>
  <w:num w:numId="5">
    <w:abstractNumId w:val="18"/>
  </w:num>
  <w:num w:numId="6">
    <w:abstractNumId w:val="8"/>
  </w:num>
  <w:num w:numId="7">
    <w:abstractNumId w:val="17"/>
  </w:num>
  <w:num w:numId="8">
    <w:abstractNumId w:val="1"/>
  </w:num>
  <w:num w:numId="9">
    <w:abstractNumId w:val="2"/>
  </w:num>
  <w:num w:numId="10">
    <w:abstractNumId w:val="16"/>
  </w:num>
  <w:num w:numId="11">
    <w:abstractNumId w:val="13"/>
  </w:num>
  <w:num w:numId="12">
    <w:abstractNumId w:val="12"/>
  </w:num>
  <w:num w:numId="13">
    <w:abstractNumId w:val="11"/>
  </w:num>
  <w:num w:numId="14">
    <w:abstractNumId w:val="7"/>
  </w:num>
  <w:num w:numId="15">
    <w:abstractNumId w:val="20"/>
  </w:num>
  <w:num w:numId="16">
    <w:abstractNumId w:val="6"/>
  </w:num>
  <w:num w:numId="17">
    <w:abstractNumId w:val="15"/>
  </w:num>
  <w:num w:numId="18">
    <w:abstractNumId w:val="19"/>
  </w:num>
  <w:num w:numId="19">
    <w:abstractNumId w:val="3"/>
  </w:num>
  <w:num w:numId="20">
    <w:abstractNumId w:val="9"/>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6E77"/>
    <w:rsid w:val="00005269"/>
    <w:rsid w:val="00013737"/>
    <w:rsid w:val="0001415A"/>
    <w:rsid w:val="00044724"/>
    <w:rsid w:val="00081B7D"/>
    <w:rsid w:val="00086F9C"/>
    <w:rsid w:val="00092885"/>
    <w:rsid w:val="00092B2B"/>
    <w:rsid w:val="00097101"/>
    <w:rsid w:val="000A23FB"/>
    <w:rsid w:val="000A2B0F"/>
    <w:rsid w:val="000E4B7E"/>
    <w:rsid w:val="0012060D"/>
    <w:rsid w:val="00144BFA"/>
    <w:rsid w:val="0015338E"/>
    <w:rsid w:val="001702E7"/>
    <w:rsid w:val="001743BA"/>
    <w:rsid w:val="00175D0D"/>
    <w:rsid w:val="00193385"/>
    <w:rsid w:val="0019588C"/>
    <w:rsid w:val="001C69D5"/>
    <w:rsid w:val="001C737A"/>
    <w:rsid w:val="001D3988"/>
    <w:rsid w:val="00214763"/>
    <w:rsid w:val="00235AE8"/>
    <w:rsid w:val="00237856"/>
    <w:rsid w:val="002414A7"/>
    <w:rsid w:val="0026399E"/>
    <w:rsid w:val="002B6D42"/>
    <w:rsid w:val="002C392F"/>
    <w:rsid w:val="002E37A1"/>
    <w:rsid w:val="00302841"/>
    <w:rsid w:val="00317F26"/>
    <w:rsid w:val="003344D0"/>
    <w:rsid w:val="00340C22"/>
    <w:rsid w:val="00360681"/>
    <w:rsid w:val="003671A1"/>
    <w:rsid w:val="003676DE"/>
    <w:rsid w:val="00397E23"/>
    <w:rsid w:val="003C477F"/>
    <w:rsid w:val="003D3A12"/>
    <w:rsid w:val="003E7D9F"/>
    <w:rsid w:val="003F116B"/>
    <w:rsid w:val="003F5B71"/>
    <w:rsid w:val="004023D2"/>
    <w:rsid w:val="0041533B"/>
    <w:rsid w:val="00464B1D"/>
    <w:rsid w:val="00467C46"/>
    <w:rsid w:val="00470F6D"/>
    <w:rsid w:val="0047763B"/>
    <w:rsid w:val="004A75EF"/>
    <w:rsid w:val="004E2413"/>
    <w:rsid w:val="00500BC0"/>
    <w:rsid w:val="0054664E"/>
    <w:rsid w:val="00546CE7"/>
    <w:rsid w:val="005568C7"/>
    <w:rsid w:val="00586E30"/>
    <w:rsid w:val="00593AD7"/>
    <w:rsid w:val="005A4BE6"/>
    <w:rsid w:val="005C2E45"/>
    <w:rsid w:val="005E4765"/>
    <w:rsid w:val="005F2520"/>
    <w:rsid w:val="0064516A"/>
    <w:rsid w:val="006474A2"/>
    <w:rsid w:val="00651509"/>
    <w:rsid w:val="0067562A"/>
    <w:rsid w:val="006870C9"/>
    <w:rsid w:val="006957D0"/>
    <w:rsid w:val="006A7652"/>
    <w:rsid w:val="006A7AAD"/>
    <w:rsid w:val="006B32D6"/>
    <w:rsid w:val="006D0912"/>
    <w:rsid w:val="006F4B73"/>
    <w:rsid w:val="007002F5"/>
    <w:rsid w:val="00710313"/>
    <w:rsid w:val="007169EE"/>
    <w:rsid w:val="00720DC2"/>
    <w:rsid w:val="00726F78"/>
    <w:rsid w:val="0074269D"/>
    <w:rsid w:val="00742DA6"/>
    <w:rsid w:val="00755C58"/>
    <w:rsid w:val="007660D7"/>
    <w:rsid w:val="0076722C"/>
    <w:rsid w:val="0077238F"/>
    <w:rsid w:val="007C24F4"/>
    <w:rsid w:val="007C33E2"/>
    <w:rsid w:val="007D1598"/>
    <w:rsid w:val="007E5495"/>
    <w:rsid w:val="00806E83"/>
    <w:rsid w:val="0082392D"/>
    <w:rsid w:val="0084263D"/>
    <w:rsid w:val="00843B08"/>
    <w:rsid w:val="008A3E6A"/>
    <w:rsid w:val="008B7727"/>
    <w:rsid w:val="008C0AEB"/>
    <w:rsid w:val="009346C7"/>
    <w:rsid w:val="0093735A"/>
    <w:rsid w:val="00952B3D"/>
    <w:rsid w:val="0096553A"/>
    <w:rsid w:val="00966E18"/>
    <w:rsid w:val="009A6DB2"/>
    <w:rsid w:val="009B7E86"/>
    <w:rsid w:val="009F2A84"/>
    <w:rsid w:val="009F4CA3"/>
    <w:rsid w:val="00A01082"/>
    <w:rsid w:val="00A15CCC"/>
    <w:rsid w:val="00A20981"/>
    <w:rsid w:val="00A20EAC"/>
    <w:rsid w:val="00A366A1"/>
    <w:rsid w:val="00A70D13"/>
    <w:rsid w:val="00A83A61"/>
    <w:rsid w:val="00A83A74"/>
    <w:rsid w:val="00A90C65"/>
    <w:rsid w:val="00A95A2A"/>
    <w:rsid w:val="00AB78BB"/>
    <w:rsid w:val="00AC0F7A"/>
    <w:rsid w:val="00AF13D3"/>
    <w:rsid w:val="00B01EE3"/>
    <w:rsid w:val="00B13762"/>
    <w:rsid w:val="00B30959"/>
    <w:rsid w:val="00B34DA5"/>
    <w:rsid w:val="00B50004"/>
    <w:rsid w:val="00B54EA6"/>
    <w:rsid w:val="00B66051"/>
    <w:rsid w:val="00BA0801"/>
    <w:rsid w:val="00C05797"/>
    <w:rsid w:val="00C44414"/>
    <w:rsid w:val="00C6377B"/>
    <w:rsid w:val="00C767BF"/>
    <w:rsid w:val="00CA1C3B"/>
    <w:rsid w:val="00CD75AF"/>
    <w:rsid w:val="00D008B1"/>
    <w:rsid w:val="00D161F5"/>
    <w:rsid w:val="00D224D6"/>
    <w:rsid w:val="00D2405A"/>
    <w:rsid w:val="00D7199C"/>
    <w:rsid w:val="00D829C3"/>
    <w:rsid w:val="00D83DA6"/>
    <w:rsid w:val="00DA7DD6"/>
    <w:rsid w:val="00DB5860"/>
    <w:rsid w:val="00DF5980"/>
    <w:rsid w:val="00E03964"/>
    <w:rsid w:val="00E07BF8"/>
    <w:rsid w:val="00E21F2C"/>
    <w:rsid w:val="00E44C7F"/>
    <w:rsid w:val="00E62B8D"/>
    <w:rsid w:val="00E923A4"/>
    <w:rsid w:val="00E94018"/>
    <w:rsid w:val="00ED4233"/>
    <w:rsid w:val="00EE2D35"/>
    <w:rsid w:val="00EF0F7E"/>
    <w:rsid w:val="00EF1CD5"/>
    <w:rsid w:val="00F21E01"/>
    <w:rsid w:val="00F358E5"/>
    <w:rsid w:val="00F50F0B"/>
    <w:rsid w:val="00F53646"/>
    <w:rsid w:val="00FB683C"/>
    <w:rsid w:val="00FC1BF2"/>
    <w:rsid w:val="00FD0074"/>
    <w:rsid w:val="00FD2133"/>
    <w:rsid w:val="00FD6E77"/>
    <w:rsid w:val="00FE5A88"/>
    <w:rsid w:val="00FF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7B803D-1377-44FF-9C1A-8407653C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77"/>
    <w:pPr>
      <w:spacing w:after="200" w:line="276" w:lineRule="auto"/>
    </w:pPr>
  </w:style>
  <w:style w:type="paragraph" w:styleId="Heading1">
    <w:name w:val="heading 1"/>
    <w:basedOn w:val="Normal"/>
    <w:next w:val="Normal"/>
    <w:link w:val="Heading1Char"/>
    <w:qFormat/>
    <w:rsid w:val="00FD6E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D6E77"/>
    <w:pPr>
      <w:keepNext/>
      <w:keepLines/>
      <w:numPr>
        <w:ilvl w:val="1"/>
        <w:numId w:val="3"/>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D6E77"/>
    <w:pPr>
      <w:keepNext/>
      <w:keepLines/>
      <w:numPr>
        <w:ilvl w:val="2"/>
        <w:numId w:val="3"/>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D6E7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6E7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6E7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6E7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6E7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E7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E7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D6E7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D6E7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D6E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6E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6E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6E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6E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E7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D6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E77"/>
  </w:style>
  <w:style w:type="paragraph" w:styleId="Footer">
    <w:name w:val="footer"/>
    <w:basedOn w:val="Normal"/>
    <w:link w:val="FooterChar"/>
    <w:uiPriority w:val="99"/>
    <w:unhideWhenUsed/>
    <w:rsid w:val="00FD6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E77"/>
  </w:style>
  <w:style w:type="paragraph" w:styleId="Title">
    <w:name w:val="Title"/>
    <w:basedOn w:val="Normal"/>
    <w:next w:val="Normal"/>
    <w:link w:val="TitleChar"/>
    <w:uiPriority w:val="10"/>
    <w:qFormat/>
    <w:rsid w:val="00FD6E7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6E77"/>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D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FD6E77"/>
    <w:pPr>
      <w:spacing w:after="0" w:line="240" w:lineRule="auto"/>
    </w:pPr>
    <w:rPr>
      <w:sz w:val="18"/>
    </w:rPr>
  </w:style>
  <w:style w:type="character" w:customStyle="1" w:styleId="OutlineNumbered1Char">
    <w:name w:val="Outline Numbered 1 Char"/>
    <w:basedOn w:val="DefaultParagraphFont"/>
    <w:link w:val="OutlineNumbered1"/>
    <w:rsid w:val="00FD6E77"/>
    <w:rPr>
      <w:sz w:val="18"/>
    </w:rPr>
  </w:style>
  <w:style w:type="paragraph" w:customStyle="1" w:styleId="OutlineNumbered2">
    <w:name w:val="Outline Numbered 2"/>
    <w:basedOn w:val="Normal"/>
    <w:link w:val="OutlineNumbered2Char"/>
    <w:rsid w:val="00FD6E77"/>
    <w:pPr>
      <w:numPr>
        <w:ilvl w:val="1"/>
        <w:numId w:val="1"/>
      </w:numPr>
      <w:spacing w:after="0" w:line="240" w:lineRule="auto"/>
    </w:pPr>
    <w:rPr>
      <w:sz w:val="18"/>
    </w:rPr>
  </w:style>
  <w:style w:type="character" w:customStyle="1" w:styleId="OutlineNumbered2Char">
    <w:name w:val="Outline Numbered 2 Char"/>
    <w:basedOn w:val="DefaultParagraphFont"/>
    <w:link w:val="OutlineNumbered2"/>
    <w:rsid w:val="00FD6E77"/>
    <w:rPr>
      <w:sz w:val="18"/>
    </w:rPr>
  </w:style>
  <w:style w:type="paragraph" w:customStyle="1" w:styleId="OutlineNumbered3">
    <w:name w:val="Outline Numbered 3"/>
    <w:basedOn w:val="Normal"/>
    <w:link w:val="OutlineNumbered3Char"/>
    <w:rsid w:val="00FD6E77"/>
    <w:pPr>
      <w:numPr>
        <w:ilvl w:val="2"/>
        <w:numId w:val="1"/>
      </w:numPr>
      <w:spacing w:after="0" w:line="240" w:lineRule="auto"/>
    </w:pPr>
    <w:rPr>
      <w:sz w:val="18"/>
    </w:rPr>
  </w:style>
  <w:style w:type="character" w:customStyle="1" w:styleId="OutlineNumbered3Char">
    <w:name w:val="Outline Numbered 3 Char"/>
    <w:basedOn w:val="DefaultParagraphFont"/>
    <w:link w:val="OutlineNumbered3"/>
    <w:rsid w:val="00FD6E77"/>
    <w:rPr>
      <w:sz w:val="18"/>
    </w:rPr>
  </w:style>
  <w:style w:type="paragraph" w:customStyle="1" w:styleId="Bullet">
    <w:name w:val="Bullet"/>
    <w:basedOn w:val="Normal"/>
    <w:link w:val="BulletChar"/>
    <w:rsid w:val="00FD6E77"/>
    <w:pPr>
      <w:numPr>
        <w:numId w:val="2"/>
      </w:numPr>
      <w:spacing w:after="0" w:line="240" w:lineRule="auto"/>
    </w:pPr>
    <w:rPr>
      <w:sz w:val="18"/>
    </w:rPr>
  </w:style>
  <w:style w:type="character" w:customStyle="1" w:styleId="BulletChar">
    <w:name w:val="Bullet Char"/>
    <w:basedOn w:val="DefaultParagraphFont"/>
    <w:link w:val="Bullet"/>
    <w:rsid w:val="00FD6E77"/>
    <w:rPr>
      <w:sz w:val="18"/>
    </w:rPr>
  </w:style>
  <w:style w:type="paragraph" w:customStyle="1" w:styleId="Dash">
    <w:name w:val="Dash"/>
    <w:basedOn w:val="Normal"/>
    <w:link w:val="DashChar"/>
    <w:rsid w:val="00FD6E77"/>
    <w:pPr>
      <w:numPr>
        <w:ilvl w:val="1"/>
        <w:numId w:val="2"/>
      </w:numPr>
      <w:spacing w:after="0" w:line="240" w:lineRule="auto"/>
    </w:pPr>
    <w:rPr>
      <w:sz w:val="18"/>
    </w:rPr>
  </w:style>
  <w:style w:type="character" w:customStyle="1" w:styleId="DashChar">
    <w:name w:val="Dash Char"/>
    <w:basedOn w:val="DefaultParagraphFont"/>
    <w:link w:val="Dash"/>
    <w:rsid w:val="00FD6E77"/>
    <w:rPr>
      <w:sz w:val="18"/>
    </w:rPr>
  </w:style>
  <w:style w:type="paragraph" w:customStyle="1" w:styleId="DoubleDot">
    <w:name w:val="Double Dot"/>
    <w:basedOn w:val="Normal"/>
    <w:link w:val="DoubleDotChar"/>
    <w:rsid w:val="00FD6E77"/>
    <w:pPr>
      <w:numPr>
        <w:ilvl w:val="2"/>
        <w:numId w:val="2"/>
      </w:numPr>
      <w:spacing w:after="0" w:line="240" w:lineRule="auto"/>
    </w:pPr>
    <w:rPr>
      <w:sz w:val="18"/>
    </w:rPr>
  </w:style>
  <w:style w:type="character" w:customStyle="1" w:styleId="DoubleDotChar">
    <w:name w:val="Double Dot Char"/>
    <w:basedOn w:val="DefaultParagraphFont"/>
    <w:link w:val="DoubleDot"/>
    <w:rsid w:val="00FD6E77"/>
    <w:rPr>
      <w:sz w:val="18"/>
    </w:rPr>
  </w:style>
  <w:style w:type="character" w:styleId="Hyperlink">
    <w:name w:val="Hyperlink"/>
    <w:basedOn w:val="DefaultParagraphFont"/>
    <w:uiPriority w:val="99"/>
    <w:unhideWhenUsed/>
    <w:rsid w:val="00FD6E77"/>
    <w:rPr>
      <w:color w:val="0563C1" w:themeColor="hyperlink"/>
      <w:u w:val="single"/>
    </w:rPr>
  </w:style>
  <w:style w:type="character" w:styleId="CommentReference">
    <w:name w:val="annotation reference"/>
    <w:basedOn w:val="DefaultParagraphFont"/>
    <w:uiPriority w:val="99"/>
    <w:semiHidden/>
    <w:unhideWhenUsed/>
    <w:rsid w:val="00FD6E77"/>
    <w:rPr>
      <w:sz w:val="16"/>
      <w:szCs w:val="16"/>
    </w:rPr>
  </w:style>
  <w:style w:type="paragraph" w:styleId="CommentText">
    <w:name w:val="annotation text"/>
    <w:basedOn w:val="Normal"/>
    <w:link w:val="CommentTextChar"/>
    <w:uiPriority w:val="99"/>
    <w:semiHidden/>
    <w:unhideWhenUsed/>
    <w:rsid w:val="00FD6E77"/>
    <w:pPr>
      <w:spacing w:line="240" w:lineRule="auto"/>
    </w:pPr>
    <w:rPr>
      <w:sz w:val="20"/>
      <w:szCs w:val="20"/>
    </w:rPr>
  </w:style>
  <w:style w:type="character" w:customStyle="1" w:styleId="CommentTextChar">
    <w:name w:val="Comment Text Char"/>
    <w:basedOn w:val="DefaultParagraphFont"/>
    <w:link w:val="CommentText"/>
    <w:uiPriority w:val="99"/>
    <w:semiHidden/>
    <w:rsid w:val="00FD6E77"/>
    <w:rPr>
      <w:sz w:val="20"/>
      <w:szCs w:val="20"/>
    </w:rPr>
  </w:style>
  <w:style w:type="paragraph" w:styleId="CommentSubject">
    <w:name w:val="annotation subject"/>
    <w:basedOn w:val="CommentText"/>
    <w:next w:val="CommentText"/>
    <w:link w:val="CommentSubjectChar"/>
    <w:uiPriority w:val="99"/>
    <w:semiHidden/>
    <w:unhideWhenUsed/>
    <w:rsid w:val="00FD6E77"/>
    <w:rPr>
      <w:b/>
      <w:bCs/>
    </w:rPr>
  </w:style>
  <w:style w:type="character" w:customStyle="1" w:styleId="CommentSubjectChar">
    <w:name w:val="Comment Subject Char"/>
    <w:basedOn w:val="CommentTextChar"/>
    <w:link w:val="CommentSubject"/>
    <w:uiPriority w:val="99"/>
    <w:semiHidden/>
    <w:rsid w:val="00FD6E77"/>
    <w:rPr>
      <w:b/>
      <w:bCs/>
      <w:sz w:val="20"/>
      <w:szCs w:val="20"/>
    </w:rPr>
  </w:style>
  <w:style w:type="paragraph" w:styleId="BalloonText">
    <w:name w:val="Balloon Text"/>
    <w:basedOn w:val="Normal"/>
    <w:link w:val="BalloonTextChar"/>
    <w:uiPriority w:val="99"/>
    <w:semiHidden/>
    <w:unhideWhenUsed/>
    <w:rsid w:val="00FD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77"/>
    <w:rPr>
      <w:rFonts w:ascii="Tahoma" w:hAnsi="Tahoma" w:cs="Tahoma"/>
      <w:sz w:val="16"/>
      <w:szCs w:val="16"/>
    </w:rPr>
  </w:style>
  <w:style w:type="paragraph" w:styleId="TOCHeading">
    <w:name w:val="TOC Heading"/>
    <w:basedOn w:val="Heading1"/>
    <w:next w:val="Normal"/>
    <w:uiPriority w:val="39"/>
    <w:semiHidden/>
    <w:unhideWhenUsed/>
    <w:qFormat/>
    <w:rsid w:val="00FD6E77"/>
    <w:pPr>
      <w:outlineLvl w:val="9"/>
    </w:pPr>
    <w:rPr>
      <w:lang w:val="en-US" w:eastAsia="ja-JP"/>
    </w:rPr>
  </w:style>
  <w:style w:type="paragraph" w:styleId="TOC1">
    <w:name w:val="toc 1"/>
    <w:basedOn w:val="Normal"/>
    <w:next w:val="Normal"/>
    <w:autoRedefine/>
    <w:uiPriority w:val="39"/>
    <w:unhideWhenUsed/>
    <w:rsid w:val="00FD6E77"/>
    <w:pPr>
      <w:spacing w:before="240" w:after="0" w:line="240" w:lineRule="auto"/>
    </w:pPr>
    <w:rPr>
      <w:rFonts w:ascii="Century Gothic" w:hAnsi="Century Gothic"/>
      <w:b/>
      <w:sz w:val="20"/>
    </w:rPr>
  </w:style>
  <w:style w:type="paragraph" w:styleId="TOC2">
    <w:name w:val="toc 2"/>
    <w:basedOn w:val="Normal"/>
    <w:next w:val="Normal"/>
    <w:autoRedefine/>
    <w:uiPriority w:val="39"/>
    <w:unhideWhenUsed/>
    <w:rsid w:val="00FD6E77"/>
    <w:pPr>
      <w:spacing w:before="120" w:after="0" w:line="240" w:lineRule="auto"/>
      <w:ind w:left="221"/>
    </w:pPr>
    <w:rPr>
      <w:rFonts w:ascii="Century Gothic" w:hAnsi="Century Gothic"/>
      <w:i/>
      <w:sz w:val="20"/>
    </w:rPr>
  </w:style>
  <w:style w:type="paragraph" w:styleId="TOC3">
    <w:name w:val="toc 3"/>
    <w:basedOn w:val="Normal"/>
    <w:next w:val="Normal"/>
    <w:autoRedefine/>
    <w:uiPriority w:val="39"/>
    <w:unhideWhenUsed/>
    <w:rsid w:val="00B13762"/>
    <w:pPr>
      <w:tabs>
        <w:tab w:val="right" w:leader="dot" w:pos="9628"/>
      </w:tabs>
      <w:spacing w:before="120" w:after="0" w:line="240" w:lineRule="auto"/>
      <w:ind w:left="442"/>
    </w:pPr>
    <w:rPr>
      <w:rFonts w:ascii="Century Gothic" w:hAnsi="Century Gothic"/>
      <w:sz w:val="20"/>
    </w:rPr>
  </w:style>
  <w:style w:type="paragraph" w:styleId="FootnoteText">
    <w:name w:val="footnote text"/>
    <w:basedOn w:val="Normal"/>
    <w:link w:val="FootnoteTextChar"/>
    <w:uiPriority w:val="99"/>
    <w:unhideWhenUsed/>
    <w:rsid w:val="00FD6E77"/>
    <w:pPr>
      <w:spacing w:after="0" w:line="240" w:lineRule="auto"/>
    </w:pPr>
    <w:rPr>
      <w:sz w:val="20"/>
      <w:szCs w:val="20"/>
    </w:rPr>
  </w:style>
  <w:style w:type="character" w:customStyle="1" w:styleId="FootnoteTextChar">
    <w:name w:val="Footnote Text Char"/>
    <w:basedOn w:val="DefaultParagraphFont"/>
    <w:link w:val="FootnoteText"/>
    <w:uiPriority w:val="99"/>
    <w:rsid w:val="00FD6E77"/>
    <w:rPr>
      <w:sz w:val="20"/>
      <w:szCs w:val="20"/>
    </w:rPr>
  </w:style>
  <w:style w:type="character" w:styleId="FootnoteReference">
    <w:name w:val="footnote reference"/>
    <w:basedOn w:val="DefaultParagraphFont"/>
    <w:uiPriority w:val="99"/>
    <w:semiHidden/>
    <w:unhideWhenUsed/>
    <w:rsid w:val="00FD6E77"/>
    <w:rPr>
      <w:vertAlign w:val="superscript"/>
    </w:rPr>
  </w:style>
  <w:style w:type="paragraph" w:styleId="Revision">
    <w:name w:val="Revision"/>
    <w:hidden/>
    <w:uiPriority w:val="99"/>
    <w:semiHidden/>
    <w:rsid w:val="00FD6E77"/>
    <w:pPr>
      <w:spacing w:after="0" w:line="240" w:lineRule="auto"/>
    </w:pPr>
  </w:style>
  <w:style w:type="character" w:styleId="FollowedHyperlink">
    <w:name w:val="FollowedHyperlink"/>
    <w:basedOn w:val="DefaultParagraphFont"/>
    <w:uiPriority w:val="99"/>
    <w:semiHidden/>
    <w:unhideWhenUsed/>
    <w:rsid w:val="00FD6E77"/>
    <w:rPr>
      <w:color w:val="954F72" w:themeColor="followedHyperlink"/>
      <w:u w:val="single"/>
    </w:rPr>
  </w:style>
  <w:style w:type="paragraph" w:styleId="ListParagraph">
    <w:name w:val="List Paragraph"/>
    <w:basedOn w:val="Normal"/>
    <w:uiPriority w:val="34"/>
    <w:qFormat/>
    <w:rsid w:val="00FD6E77"/>
    <w:pPr>
      <w:ind w:left="720"/>
      <w:contextualSpacing/>
    </w:pPr>
  </w:style>
  <w:style w:type="paragraph" w:customStyle="1" w:styleId="Default">
    <w:name w:val="Default"/>
    <w:rsid w:val="00FD6E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D6E7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FD6E77"/>
    <w:rPr>
      <w:color w:val="605E5C"/>
      <w:shd w:val="clear" w:color="auto" w:fill="E1DFDD"/>
    </w:rPr>
  </w:style>
  <w:style w:type="paragraph" w:customStyle="1" w:styleId="resp-tab-item">
    <w:name w:val="resp-tab-item"/>
    <w:basedOn w:val="Normal"/>
    <w:rsid w:val="00FD6E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FD6E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FD6E77"/>
    <w:rPr>
      <w:color w:val="605E5C"/>
      <w:shd w:val="clear" w:color="auto" w:fill="E1DFDD"/>
    </w:rPr>
  </w:style>
  <w:style w:type="paragraph" w:styleId="EndnoteText">
    <w:name w:val="endnote text"/>
    <w:basedOn w:val="Normal"/>
    <w:link w:val="EndnoteTextChar"/>
    <w:uiPriority w:val="99"/>
    <w:unhideWhenUsed/>
    <w:rsid w:val="00FD6E77"/>
    <w:pPr>
      <w:spacing w:after="0" w:line="240" w:lineRule="auto"/>
    </w:pPr>
    <w:rPr>
      <w:sz w:val="20"/>
      <w:szCs w:val="20"/>
    </w:rPr>
  </w:style>
  <w:style w:type="character" w:customStyle="1" w:styleId="EndnoteTextChar">
    <w:name w:val="Endnote Text Char"/>
    <w:basedOn w:val="DefaultParagraphFont"/>
    <w:link w:val="EndnoteText"/>
    <w:uiPriority w:val="99"/>
    <w:rsid w:val="00FD6E77"/>
    <w:rPr>
      <w:sz w:val="20"/>
      <w:szCs w:val="20"/>
    </w:rPr>
  </w:style>
  <w:style w:type="character" w:styleId="EndnoteReference">
    <w:name w:val="endnote reference"/>
    <w:basedOn w:val="DefaultParagraphFont"/>
    <w:uiPriority w:val="99"/>
    <w:semiHidden/>
    <w:unhideWhenUsed/>
    <w:rsid w:val="00FD6E77"/>
    <w:rPr>
      <w:vertAlign w:val="superscript"/>
    </w:rPr>
  </w:style>
  <w:style w:type="paragraph" w:customStyle="1" w:styleId="EndNoteBibliographyTitle">
    <w:name w:val="EndNote Bibliography Title"/>
    <w:basedOn w:val="Normal"/>
    <w:link w:val="EndNoteBibliographyTitleChar"/>
    <w:rsid w:val="00FD6E77"/>
    <w:pPr>
      <w:spacing w:after="0"/>
      <w:jc w:val="center"/>
    </w:pPr>
    <w:rPr>
      <w:rFonts w:ascii="Century Gothic" w:hAnsi="Century Gothic"/>
      <w:noProof/>
      <w:sz w:val="20"/>
      <w:szCs w:val="20"/>
      <w:lang w:val="en-US"/>
    </w:rPr>
  </w:style>
  <w:style w:type="character" w:customStyle="1" w:styleId="EndNoteBibliographyTitleChar">
    <w:name w:val="EndNote Bibliography Title Char"/>
    <w:basedOn w:val="FootnoteTextChar"/>
    <w:link w:val="EndNoteBibliographyTitle"/>
    <w:rsid w:val="00FD6E77"/>
    <w:rPr>
      <w:rFonts w:ascii="Century Gothic" w:hAnsi="Century Gothic"/>
      <w:noProof/>
      <w:sz w:val="20"/>
      <w:szCs w:val="20"/>
      <w:lang w:val="en-US"/>
    </w:rPr>
  </w:style>
  <w:style w:type="paragraph" w:customStyle="1" w:styleId="EndNoteBibliography">
    <w:name w:val="EndNote Bibliography"/>
    <w:basedOn w:val="Normal"/>
    <w:link w:val="EndNoteBibliographyChar"/>
    <w:rsid w:val="00FD6E77"/>
    <w:pPr>
      <w:spacing w:line="240" w:lineRule="auto"/>
      <w:jc w:val="both"/>
    </w:pPr>
    <w:rPr>
      <w:rFonts w:ascii="Century Gothic" w:hAnsi="Century Gothic"/>
      <w:noProof/>
      <w:sz w:val="20"/>
      <w:szCs w:val="20"/>
      <w:lang w:val="en-US"/>
    </w:rPr>
  </w:style>
  <w:style w:type="character" w:customStyle="1" w:styleId="EndNoteBibliographyChar">
    <w:name w:val="EndNote Bibliography Char"/>
    <w:basedOn w:val="FootnoteTextChar"/>
    <w:link w:val="EndNoteBibliography"/>
    <w:rsid w:val="00FD6E77"/>
    <w:rPr>
      <w:rFonts w:ascii="Century Gothic" w:hAnsi="Century Gothic"/>
      <w:noProof/>
      <w:sz w:val="20"/>
      <w:szCs w:val="20"/>
      <w:lang w:val="en-US"/>
    </w:rPr>
  </w:style>
  <w:style w:type="character" w:customStyle="1" w:styleId="UnresolvedMention3">
    <w:name w:val="Unresolved Mention3"/>
    <w:basedOn w:val="DefaultParagraphFont"/>
    <w:uiPriority w:val="99"/>
    <w:semiHidden/>
    <w:unhideWhenUsed/>
    <w:rsid w:val="00FD6E77"/>
    <w:rPr>
      <w:color w:val="605E5C"/>
      <w:shd w:val="clear" w:color="auto" w:fill="E1DFDD"/>
    </w:rPr>
  </w:style>
  <w:style w:type="paragraph" w:customStyle="1" w:styleId="AlphaParagraph">
    <w:name w:val="Alpha Paragraph"/>
    <w:basedOn w:val="Normal"/>
    <w:qFormat/>
    <w:rsid w:val="00FD6E77"/>
    <w:pPr>
      <w:numPr>
        <w:ilvl w:val="1"/>
        <w:numId w:val="14"/>
      </w:numPr>
      <w:spacing w:after="240" w:line="280" w:lineRule="exact"/>
      <w:jc w:val="both"/>
    </w:pPr>
    <w:rPr>
      <w:rFonts w:ascii="Century Gothic" w:eastAsia="Times New Roman" w:hAnsi="Century Gothic" w:cs="Times New Roman"/>
      <w:color w:val="000000" w:themeColor="text1"/>
      <w:lang w:eastAsia="en-AU"/>
    </w:rPr>
  </w:style>
  <w:style w:type="paragraph" w:customStyle="1" w:styleId="Romannumeral">
    <w:name w:val="Roman numeral"/>
    <w:basedOn w:val="Normal"/>
    <w:rsid w:val="00FD6E77"/>
    <w:pPr>
      <w:numPr>
        <w:numId w:val="14"/>
      </w:numPr>
      <w:spacing w:after="240" w:line="280" w:lineRule="exact"/>
      <w:jc w:val="both"/>
    </w:pPr>
    <w:rPr>
      <w:rFonts w:ascii="Century Gothic" w:eastAsia="Times New Roman" w:hAnsi="Century Gothic" w:cs="Times New Roman"/>
      <w:color w:val="000000" w:themeColor="text1"/>
      <w:lang w:eastAsia="en-AU"/>
    </w:rPr>
  </w:style>
  <w:style w:type="numbering" w:customStyle="1" w:styleId="BulletedList">
    <w:name w:val="Bulleted List"/>
    <w:uiPriority w:val="99"/>
    <w:rsid w:val="00FD6E77"/>
    <w:pPr>
      <w:numPr>
        <w:numId w:val="13"/>
      </w:numPr>
    </w:pPr>
  </w:style>
  <w:style w:type="paragraph" w:customStyle="1" w:styleId="ReportDate">
    <w:name w:val="Report Date"/>
    <w:basedOn w:val="Normal"/>
    <w:link w:val="ReportDateChar"/>
    <w:rsid w:val="00FD6E77"/>
    <w:pPr>
      <w:keepNext/>
      <w:spacing w:before="240" w:after="120" w:line="240" w:lineRule="auto"/>
      <w:ind w:right="142"/>
      <w:jc w:val="right"/>
    </w:pPr>
    <w:rPr>
      <w:rFonts w:ascii="Century Gothic" w:eastAsia="Times New Roman" w:hAnsi="Century Gothic" w:cs="Times New Roman"/>
      <w:color w:val="5B5E60"/>
      <w:sz w:val="28"/>
      <w:lang w:eastAsia="en-AU"/>
    </w:rPr>
  </w:style>
  <w:style w:type="paragraph" w:styleId="Subtitle">
    <w:name w:val="Subtitle"/>
    <w:next w:val="Normal"/>
    <w:link w:val="SubtitleChar"/>
    <w:uiPriority w:val="11"/>
    <w:qFormat/>
    <w:rsid w:val="00FD6E77"/>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D6E77"/>
    <w:rPr>
      <w:rFonts w:ascii="Century Gothic" w:eastAsia="Times New Roman" w:hAnsi="Century Gothic" w:cs="Times New Roman"/>
      <w:noProof/>
      <w:color w:val="5B5E60"/>
      <w:sz w:val="36"/>
      <w:szCs w:val="24"/>
      <w:lang w:eastAsia="en-AU"/>
    </w:rPr>
  </w:style>
  <w:style w:type="character" w:customStyle="1" w:styleId="ReportDateChar">
    <w:name w:val="Report Date Char"/>
    <w:basedOn w:val="DefaultParagraphFont"/>
    <w:link w:val="ReportDate"/>
    <w:rsid w:val="00FD6E77"/>
    <w:rPr>
      <w:rFonts w:ascii="Century Gothic" w:eastAsia="Times New Roman" w:hAnsi="Century Gothic" w:cs="Times New Roman"/>
      <w:color w:val="5B5E60"/>
      <w:sz w:val="28"/>
      <w:lang w:eastAsia="en-AU"/>
    </w:rPr>
  </w:style>
  <w:style w:type="paragraph" w:customStyle="1" w:styleId="TableGraphic">
    <w:name w:val="Table Graphic"/>
    <w:basedOn w:val="Normal"/>
    <w:next w:val="Normal"/>
    <w:qFormat/>
    <w:rsid w:val="00FD6E77"/>
    <w:pPr>
      <w:keepNext/>
      <w:spacing w:after="0" w:line="240" w:lineRule="auto"/>
    </w:pPr>
    <w:rPr>
      <w:rFonts w:ascii="Calibri" w:eastAsia="Times New Roman" w:hAnsi="Calibri" w:cs="Arial"/>
      <w:bCs/>
      <w:color w:val="004A7F"/>
      <w:kern w:val="32"/>
      <w:sz w:val="48"/>
      <w:szCs w:val="36"/>
      <w:lang w:eastAsia="en-AU"/>
    </w:rPr>
  </w:style>
  <w:style w:type="paragraph" w:customStyle="1" w:styleId="SubSubTitle">
    <w:name w:val="SubSubTitle"/>
    <w:basedOn w:val="Normal"/>
    <w:rsid w:val="00FD6E77"/>
    <w:pPr>
      <w:spacing w:after="960" w:line="240" w:lineRule="auto"/>
      <w:ind w:left="170"/>
      <w:jc w:val="both"/>
    </w:pPr>
    <w:rPr>
      <w:rFonts w:ascii="Futura Bk BT" w:eastAsiaTheme="minorEastAsia" w:hAnsi="Futura Bk BT"/>
      <w:color w:val="5B5E60"/>
      <w:sz w:val="24"/>
      <w:szCs w:val="26"/>
      <w:lang w:val="en-US" w:eastAsia="ja-JP"/>
    </w:rPr>
  </w:style>
  <w:style w:type="paragraph" w:customStyle="1" w:styleId="SubSubSubTitle">
    <w:name w:val="SubSubSubTitle"/>
    <w:basedOn w:val="Normal"/>
    <w:rsid w:val="00FD6E77"/>
    <w:pPr>
      <w:spacing w:after="240" w:line="240" w:lineRule="auto"/>
      <w:ind w:left="170"/>
    </w:pPr>
    <w:rPr>
      <w:rFonts w:ascii="Century Gothic" w:eastAsia="Times New Roman" w:hAnsi="Century Gothic" w:cs="Times New Roman"/>
      <w:color w:val="3A87C8"/>
      <w:sz w:val="24"/>
      <w:szCs w:val="24"/>
      <w:lang w:eastAsia="en-AU"/>
    </w:rPr>
  </w:style>
  <w:style w:type="paragraph" w:customStyle="1" w:styleId="Heading1-NoTOC">
    <w:name w:val="Heading 1 - No TOC"/>
    <w:basedOn w:val="Heading1"/>
    <w:rsid w:val="00FD6E77"/>
    <w:pPr>
      <w:keepLines w:val="0"/>
      <w:pageBreakBefore/>
      <w:pBdr>
        <w:bottom w:val="single" w:sz="12" w:space="10" w:color="3A87C8"/>
      </w:pBdr>
      <w:spacing w:before="0" w:after="480" w:line="240" w:lineRule="auto"/>
      <w:outlineLvl w:val="9"/>
    </w:pPr>
    <w:rPr>
      <w:rFonts w:ascii="Calibri" w:eastAsia="Times New Roman" w:hAnsi="Calibri" w:cs="Arial"/>
      <w:bCs w:val="0"/>
      <w:caps/>
      <w:color w:val="3A87C8"/>
      <w:kern w:val="32"/>
      <w:sz w:val="44"/>
      <w:szCs w:val="36"/>
      <w:lang w:eastAsia="en-AU"/>
    </w:rPr>
  </w:style>
  <w:style w:type="paragraph" w:customStyle="1" w:styleId="BoxBullet">
    <w:name w:val="Box Bullet"/>
    <w:basedOn w:val="Normal"/>
    <w:rsid w:val="00FD6E77"/>
    <w:pPr>
      <w:numPr>
        <w:numId w:val="19"/>
      </w:numPr>
      <w:spacing w:after="240" w:line="280" w:lineRule="exact"/>
      <w:ind w:left="284" w:hanging="284"/>
      <w:jc w:val="both"/>
    </w:pPr>
    <w:rPr>
      <w:rFonts w:ascii="Century Gothic" w:eastAsia="Times New Roman" w:hAnsi="Century Gothic" w:cs="Times New Roman"/>
      <w:color w:val="000000" w:themeColor="text1"/>
      <w:lang w:eastAsia="en-AU"/>
    </w:rPr>
  </w:style>
  <w:style w:type="paragraph" w:customStyle="1" w:styleId="BoxDash">
    <w:name w:val="Box Dash"/>
    <w:basedOn w:val="Normal"/>
    <w:rsid w:val="00FD6E77"/>
    <w:pPr>
      <w:numPr>
        <w:ilvl w:val="1"/>
        <w:numId w:val="19"/>
      </w:numPr>
      <w:spacing w:after="240" w:line="280" w:lineRule="exact"/>
      <w:ind w:left="568"/>
      <w:jc w:val="both"/>
    </w:pPr>
    <w:rPr>
      <w:rFonts w:ascii="Century Gothic" w:eastAsia="Times New Roman" w:hAnsi="Century Gothic" w:cs="Times New Roman"/>
      <w:color w:val="000000" w:themeColor="text1"/>
      <w:lang w:eastAsia="en-AU"/>
    </w:rPr>
  </w:style>
  <w:style w:type="paragraph" w:customStyle="1" w:styleId="BoxDoubleDot">
    <w:name w:val="Box Double Dot"/>
    <w:basedOn w:val="Normal"/>
    <w:rsid w:val="00FD6E77"/>
    <w:pPr>
      <w:numPr>
        <w:ilvl w:val="2"/>
        <w:numId w:val="19"/>
      </w:numPr>
      <w:spacing w:after="240" w:line="280" w:lineRule="exact"/>
      <w:ind w:left="851" w:hanging="284"/>
      <w:jc w:val="both"/>
    </w:pPr>
    <w:rPr>
      <w:rFonts w:ascii="Century Gothic" w:eastAsia="Times New Roman" w:hAnsi="Century Gothic" w:cs="Times New Roman"/>
      <w:color w:val="000000" w:themeColor="text1"/>
      <w:lang w:eastAsia="en-AU"/>
    </w:rPr>
  </w:style>
  <w:style w:type="numbering" w:customStyle="1" w:styleId="BoxBulletedList">
    <w:name w:val="Box Bulleted List"/>
    <w:uiPriority w:val="99"/>
    <w:rsid w:val="00FD6E77"/>
    <w:pPr>
      <w:numPr>
        <w:numId w:val="19"/>
      </w:numPr>
    </w:pPr>
  </w:style>
  <w:style w:type="paragraph" w:customStyle="1" w:styleId="Disclaimer">
    <w:name w:val="Disclaimer"/>
    <w:basedOn w:val="ReportDate"/>
    <w:rsid w:val="00FD6E77"/>
    <w:pPr>
      <w:spacing w:before="0" w:after="0"/>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neguidelines.oecd.org/databa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tsanhonour.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mailto:Secretariat@AusNCP.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usncp.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legalcode" TargetMode="External"/><Relationship Id="rId22" Type="http://schemas.openxmlformats.org/officeDocument/2006/relationships/hyperlink" Target="http://ausncp.gov.au/about/governance-and-advisory-board" TargetMode="Externa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comcourts.gov.au/public/esearch/disclaimer" TargetMode="External"/><Relationship Id="rId1" Type="http://schemas.openxmlformats.org/officeDocument/2006/relationships/hyperlink" Target="http://www.anz.com.au/content/dam/anzcomau/documents/pdf/aboutus/climate-change-statemen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3716" ma:contentTypeDescription="" ma:contentTypeScope="" ma:versionID="6a1f13000c4ca4a08da94c0eef6fd32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2020MG-1494553492-8074</_dlc_DocId>
    <_dlc_DocIdUrl xmlns="0f563589-9cf9-4143-b1eb-fb0534803d38">
      <Url>http://tweb/sites/mg/fitpd/_layouts/15/DocIdRedir.aspx?ID=2020MG-1494553492-8074</Url>
      <Description>2020MG-1494553492-8074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BAD9-D988-45D9-8FC0-F73CAFCE1C65}">
  <ds:schemaRefs>
    <ds:schemaRef ds:uri="http://schemas.microsoft.com/sharepoint/v3/contenttype/forms"/>
  </ds:schemaRefs>
</ds:datastoreItem>
</file>

<file path=customXml/itemProps2.xml><?xml version="1.0" encoding="utf-8"?>
<ds:datastoreItem xmlns:ds="http://schemas.openxmlformats.org/officeDocument/2006/customXml" ds:itemID="{84C8CBA6-475F-4519-AD75-A73124B1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715E2-DFF6-4E8D-B123-54273A84C55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960E38C2-4814-4692-8BA0-D3D31A904D33}">
  <ds:schemaRefs>
    <ds:schemaRef ds:uri="http://schemas.microsoft.com/sharepoint/events"/>
  </ds:schemaRefs>
</ds:datastoreItem>
</file>

<file path=customXml/itemProps5.xml><?xml version="1.0" encoding="utf-8"?>
<ds:datastoreItem xmlns:ds="http://schemas.openxmlformats.org/officeDocument/2006/customXml" ds:itemID="{028111DE-E5AA-492E-ACF9-D0F5669FF1AA}">
  <ds:schemaRefs>
    <ds:schemaRef ds:uri="office.server.policy"/>
  </ds:schemaRefs>
</ds:datastoreItem>
</file>

<file path=customXml/itemProps6.xml><?xml version="1.0" encoding="utf-8"?>
<ds:datastoreItem xmlns:ds="http://schemas.openxmlformats.org/officeDocument/2006/customXml" ds:itemID="{6F7DEF8D-52FB-41FC-BB69-4A051812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6845</Words>
  <Characters>39471</Characters>
  <Application>Microsoft Office Word</Application>
  <DocSecurity>0</DocSecurity>
  <Lines>710</Lines>
  <Paragraphs>221</Paragraphs>
  <ScaleCrop>false</ScaleCrop>
  <HeadingPairs>
    <vt:vector size="2" baseType="variant">
      <vt:variant>
        <vt:lpstr>Title</vt:lpstr>
      </vt:variant>
      <vt:variant>
        <vt:i4>1</vt:i4>
      </vt:variant>
    </vt:vector>
  </HeadingPairs>
  <TitlesOfParts>
    <vt:vector size="1" baseType="lpstr">
      <vt:lpstr>Complaint 20. Friends of the Earth, Egan, Dodds and Simons – Initial Assessment, November 2020</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20. Friends of the Earth, Egan, Dodds and Simons – Initial Assessment, November 2020</dc:title>
  <dc:subject/>
  <dc:creator>AusNCP</dc:creator>
  <cp:keywords/>
  <dc:description/>
  <cp:lastModifiedBy>Hill, Christine</cp:lastModifiedBy>
  <cp:revision>2</cp:revision>
  <cp:lastPrinted>2020-10-30T01:46:00Z</cp:lastPrinted>
  <dcterms:created xsi:type="dcterms:W3CDTF">2020-11-24T01:59:00Z</dcterms:created>
  <dcterms:modified xsi:type="dcterms:W3CDTF">2020-11-24T02:06:00Z</dcterms:modified>
</cp:coreProperties>
</file>