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b/>
          <w:caps/>
          <w:noProof w:val="0"/>
          <w:color w:val="595959" w:themeColor="text1" w:themeTint="A6"/>
          <w:kern w:val="32"/>
          <w:sz w:val="22"/>
          <w:szCs w:val="22"/>
        </w:rPr>
        <w:id w:val="-583061974"/>
        <w:docPartObj>
          <w:docPartGallery w:val="Cover Pages"/>
          <w:docPartUnique/>
        </w:docPartObj>
      </w:sdtPr>
      <w:sdtEndPr/>
      <w:sdtContent>
        <w:bookmarkStart w:id="0" w:name="_GoBack" w:displacedByCustomXml="prev"/>
        <w:bookmarkEnd w:id="0" w:displacedByCustomXml="prev"/>
        <w:tbl>
          <w:tblPr>
            <w:tblW w:w="0" w:type="auto"/>
            <w:jc w:val="center"/>
            <w:tblBorders>
              <w:left w:val="single" w:sz="24" w:space="0" w:color="3A87C8"/>
            </w:tblBorders>
            <w:tblLook w:val="04A0" w:firstRow="1" w:lastRow="0" w:firstColumn="1" w:lastColumn="0" w:noHBand="0" w:noVBand="1"/>
          </w:tblPr>
          <w:tblGrid>
            <w:gridCol w:w="7621"/>
          </w:tblGrid>
          <w:tr w:rsidR="009C08BB" w:rsidRPr="005E5199" w14:paraId="3A08FB4B" w14:textId="77777777" w:rsidTr="00CE33D8">
            <w:trPr>
              <w:jc w:val="center"/>
            </w:trPr>
            <w:tc>
              <w:tcPr>
                <w:tcW w:w="7621" w:type="dxa"/>
              </w:tcPr>
              <w:p w14:paraId="2746B50E" w14:textId="7F7664CF" w:rsidR="009C08BB" w:rsidRPr="005E5199" w:rsidRDefault="009C08BB" w:rsidP="00CE33D8">
                <w:pPr>
                  <w:pStyle w:val="Subtitle"/>
                  <w:ind w:left="170"/>
                  <w:rPr>
                    <w:noProof w:val="0"/>
                  </w:rPr>
                </w:pPr>
                <w:r w:rsidRPr="005E5199">
                  <w:rPr>
                    <w:noProof w:val="0"/>
                  </w:rPr>
                  <w:t>Australian National Contact Point</w:t>
                </w:r>
              </w:p>
              <w:p w14:paraId="5E9CA23E" w14:textId="77777777" w:rsidR="009C08BB" w:rsidRPr="005E5199" w:rsidRDefault="009C08BB" w:rsidP="00CE33D8">
                <w:pPr>
                  <w:pStyle w:val="SubSubTitle"/>
                  <w:rPr>
                    <w:lang w:val="en-AU"/>
                  </w:rPr>
                </w:pPr>
                <w:r w:rsidRPr="005E5199">
                  <w:rPr>
                    <w:lang w:val="en-AU"/>
                  </w:rPr>
                  <w:t>for the OECD Guidelines for Multinational Enterprises</w:t>
                </w:r>
              </w:p>
            </w:tc>
          </w:tr>
          <w:tr w:rsidR="009C08BB" w:rsidRPr="005E5199" w14:paraId="79CAF75F" w14:textId="77777777" w:rsidTr="00CE33D8">
            <w:trPr>
              <w:jc w:val="center"/>
            </w:trPr>
            <w:tc>
              <w:tcPr>
                <w:tcW w:w="7621" w:type="dxa"/>
              </w:tcPr>
              <w:p w14:paraId="059D2CC3" w14:textId="46850A5A" w:rsidR="009C08BB" w:rsidRPr="005E5199" w:rsidRDefault="00550C4E" w:rsidP="00CE33D8">
                <w:pPr>
                  <w:pStyle w:val="Title"/>
                  <w:rPr>
                    <w:lang w:val="en-AU"/>
                  </w:rPr>
                </w:pPr>
                <w:r>
                  <w:rPr>
                    <w:lang w:val="en-AU"/>
                  </w:rPr>
                  <w:t>Final Statement</w:t>
                </w:r>
                <w:r w:rsidR="009C08BB" w:rsidRPr="005E5199">
                  <w:rPr>
                    <w:lang w:val="en-AU"/>
                  </w:rPr>
                  <w:t xml:space="preserve"> </w:t>
                </w:r>
              </w:p>
            </w:tc>
          </w:tr>
          <w:tr w:rsidR="009C08BB" w:rsidRPr="005E5199" w14:paraId="4260E592" w14:textId="77777777" w:rsidTr="00CE33D8">
            <w:trPr>
              <w:jc w:val="center"/>
            </w:trPr>
            <w:tc>
              <w:tcPr>
                <w:tcW w:w="7621" w:type="dxa"/>
              </w:tcPr>
              <w:p w14:paraId="7A81031A" w14:textId="00C6FE0F" w:rsidR="009C08BB" w:rsidRPr="005E5199" w:rsidRDefault="009C08BB" w:rsidP="00941B39">
                <w:pPr>
                  <w:pStyle w:val="SubSubSubTitle"/>
                </w:pPr>
                <w:r w:rsidRPr="005E5199">
                  <w:t xml:space="preserve">This complaint was submitted by </w:t>
                </w:r>
                <w:r w:rsidR="002D0741">
                  <w:t xml:space="preserve">Mr Robert Palin, on behalf of the descendants of the Oswald Weiss </w:t>
                </w:r>
                <w:r w:rsidR="00550C4E">
                  <w:t>E</w:t>
                </w:r>
                <w:r w:rsidR="002D0741">
                  <w:t>state, against</w:t>
                </w:r>
                <w:r w:rsidR="00941B39">
                  <w:t xml:space="preserve"> Deutsche Bank Australia</w:t>
                </w:r>
                <w:r w:rsidR="00550C4E">
                  <w:t>,</w:t>
                </w:r>
                <w:r w:rsidR="002D0741" w:rsidRPr="002D0741">
                  <w:t xml:space="preserve"> </w:t>
                </w:r>
                <w:r w:rsidR="00941B39">
                  <w:t>a subsidiary office of Deutsche Bank Germany</w:t>
                </w:r>
                <w:r w:rsidR="00550C4E">
                  <w:t>.</w:t>
                </w:r>
              </w:p>
            </w:tc>
          </w:tr>
          <w:tr w:rsidR="009C08BB" w:rsidRPr="005E5199" w14:paraId="1FA6F2C2" w14:textId="77777777" w:rsidTr="00CE33D8">
            <w:trPr>
              <w:jc w:val="center"/>
            </w:trPr>
            <w:tc>
              <w:tcPr>
                <w:tcW w:w="7621" w:type="dxa"/>
              </w:tcPr>
              <w:p w14:paraId="1A53E5E3" w14:textId="2598FAC2" w:rsidR="009C08BB" w:rsidRPr="005E5199" w:rsidRDefault="009C08BB" w:rsidP="00186CBA">
                <w:pPr>
                  <w:pStyle w:val="ReportDate"/>
                </w:pPr>
                <w:r w:rsidRPr="005E5199">
                  <w:t xml:space="preserve">Published </w:t>
                </w:r>
                <w:r w:rsidR="00400B25" w:rsidRPr="00186CBA">
                  <w:t>1</w:t>
                </w:r>
                <w:r w:rsidR="00186CBA" w:rsidRPr="00186CBA">
                  <w:t>3</w:t>
                </w:r>
                <w:r w:rsidR="00010645" w:rsidRPr="00186CBA">
                  <w:t xml:space="preserve"> </w:t>
                </w:r>
                <w:r w:rsidR="00596E1D" w:rsidRPr="00186CBA">
                  <w:t>December</w:t>
                </w:r>
                <w:r w:rsidR="001220D3" w:rsidRPr="00E66943">
                  <w:t xml:space="preserve"> </w:t>
                </w:r>
                <w:r w:rsidRPr="00E66943">
                  <w:t>2019</w:t>
                </w:r>
              </w:p>
            </w:tc>
          </w:tr>
        </w:tbl>
        <w:p w14:paraId="5D7E3D07" w14:textId="77777777" w:rsidR="002C150F" w:rsidRDefault="002C150F" w:rsidP="009C08BB">
          <w:r>
            <w:br w:type="page"/>
          </w:r>
        </w:p>
        <w:p w14:paraId="551C1ADE" w14:textId="62CC9508" w:rsidR="009C08BB" w:rsidRPr="005E5199" w:rsidRDefault="009C08BB" w:rsidP="009C08BB">
          <w:r w:rsidRPr="00DB45A6">
            <w:lastRenderedPageBreak/>
            <w:t>© Commonwealth of Australia 201</w:t>
          </w:r>
          <w:r w:rsidR="00DB45A6" w:rsidRPr="00DB45A6">
            <w:t>9</w:t>
          </w:r>
        </w:p>
        <w:p w14:paraId="323FA7CB" w14:textId="77777777" w:rsidR="009C08BB" w:rsidRPr="005E5199" w:rsidRDefault="009C08BB" w:rsidP="009C08BB">
          <w:pPr>
            <w:rPr>
              <w:sz w:val="24"/>
              <w:szCs w:val="24"/>
            </w:rPr>
          </w:pPr>
          <w:r w:rsidRPr="005E5199">
            <w:t>This publication is available for your use under a</w:t>
          </w:r>
          <w:r w:rsidRPr="005E5199">
            <w:rPr>
              <w:rFonts w:cs="Calibri"/>
              <w:sz w:val="24"/>
              <w:szCs w:val="24"/>
            </w:rPr>
            <w:t xml:space="preserve"> </w:t>
          </w:r>
          <w:hyperlink r:id="rId13" w:history="1">
            <w:r w:rsidRPr="00457337">
              <w:rPr>
                <w:rStyle w:val="Hyperlink"/>
                <w:b w:val="0"/>
              </w:rPr>
              <w:t>Creative Commons Attribution 3.0 Australia</w:t>
            </w:r>
          </w:hyperlink>
          <w:r w:rsidRPr="005E5199">
            <w:rPr>
              <w:rFonts w:cs="Calibri"/>
              <w:sz w:val="24"/>
              <w:szCs w:val="24"/>
            </w:rPr>
            <w:t xml:space="preserve"> </w:t>
          </w:r>
          <w:r w:rsidRPr="005E5199">
            <w:t>licence, with the exception of the Commonwealth Coat of Arms, the Treasury logo, photographs, images, signatures and where otherwise stated. The full licence terms are available from</w:t>
          </w:r>
          <w:r w:rsidRPr="005E5199">
            <w:rPr>
              <w:rFonts w:cs="Calibri"/>
              <w:sz w:val="24"/>
              <w:szCs w:val="24"/>
            </w:rPr>
            <w:t xml:space="preserve"> </w:t>
          </w:r>
          <w:hyperlink r:id="rId14" w:history="1">
            <w:r w:rsidRPr="00457337">
              <w:rPr>
                <w:rStyle w:val="Hyperlink"/>
                <w:b w:val="0"/>
              </w:rPr>
              <w:t>http://creativecommons.org/licenses/by/3.0/au/</w:t>
            </w:r>
            <w:r w:rsidRPr="00457337">
              <w:rPr>
                <w:rStyle w:val="Hyperlink"/>
                <w:b w:val="0"/>
              </w:rPr>
              <w:br/>
            </w:r>
            <w:proofErr w:type="spellStart"/>
            <w:r w:rsidRPr="00457337">
              <w:rPr>
                <w:rStyle w:val="Hyperlink"/>
                <w:b w:val="0"/>
              </w:rPr>
              <w:t>legalcode</w:t>
            </w:r>
            <w:proofErr w:type="spellEnd"/>
          </w:hyperlink>
          <w:r w:rsidRPr="00457337">
            <w:rPr>
              <w:b/>
              <w:color w:val="004A7F"/>
            </w:rPr>
            <w:t>.</w:t>
          </w:r>
        </w:p>
        <w:p w14:paraId="4F14D4DC" w14:textId="77777777" w:rsidR="009C08BB" w:rsidRPr="005E5199" w:rsidRDefault="009C08BB" w:rsidP="009C08BB">
          <w:pPr>
            <w:pStyle w:val="TableGraphic"/>
          </w:pPr>
          <w:r w:rsidRPr="005E5199">
            <w:rPr>
              <w:noProof/>
            </w:rPr>
            <w:drawing>
              <wp:anchor distT="0" distB="0" distL="114300" distR="114300" simplePos="0" relativeHeight="251658240" behindDoc="0" locked="0" layoutInCell="1" allowOverlap="1" wp14:anchorId="11A84F09" wp14:editId="00ECD721">
                <wp:simplePos x="0" y="0"/>
                <wp:positionH relativeFrom="column">
                  <wp:posOffset>4445</wp:posOffset>
                </wp:positionH>
                <wp:positionV relativeFrom="paragraph">
                  <wp:posOffset>4445</wp:posOffset>
                </wp:positionV>
                <wp:extent cx="809625" cy="285750"/>
                <wp:effectExtent l="0" t="0" r="9525" b="0"/>
                <wp:wrapSquare wrapText="bothSides"/>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36EC03" w14:textId="77777777" w:rsidR="009C08BB" w:rsidRPr="005E5199" w:rsidRDefault="009C08BB" w:rsidP="009C08BB">
          <w:r w:rsidRPr="005E5199">
            <w:t>Use of Treasury material under a</w:t>
          </w:r>
          <w:r w:rsidRPr="005E5199">
            <w:rPr>
              <w:rFonts w:cs="Calibri"/>
              <w:sz w:val="24"/>
              <w:szCs w:val="24"/>
            </w:rPr>
            <w:t xml:space="preserve"> </w:t>
          </w:r>
          <w:hyperlink r:id="rId16" w:history="1">
            <w:r w:rsidRPr="00457337">
              <w:rPr>
                <w:rStyle w:val="Hyperlink"/>
                <w:b w:val="0"/>
              </w:rPr>
              <w:t>Creative Commons Attribution 3.0 Australia</w:t>
            </w:r>
          </w:hyperlink>
          <w:r w:rsidRPr="005E5199">
            <w:rPr>
              <w:b/>
              <w:color w:val="004A7F"/>
            </w:rPr>
            <w:t xml:space="preserve"> </w:t>
          </w:r>
          <w:r w:rsidRPr="005E5199">
            <w:t>licence requires you to attribute the work (but not in any way that suggests that the Treasury endorses you or your use of the work).</w:t>
          </w:r>
        </w:p>
        <w:p w14:paraId="6F092519" w14:textId="77777777" w:rsidR="009C08BB" w:rsidRPr="005E5199" w:rsidRDefault="009C08BB" w:rsidP="009C08BB">
          <w:pPr>
            <w:ind w:left="567"/>
            <w:rPr>
              <w:i/>
            </w:rPr>
          </w:pPr>
          <w:r w:rsidRPr="005E5199">
            <w:rPr>
              <w:i/>
            </w:rPr>
            <w:t>Treasury material used ‘as supplied’.</w:t>
          </w:r>
        </w:p>
        <w:p w14:paraId="4CE13395" w14:textId="77777777" w:rsidR="009C08BB" w:rsidRPr="005E5199" w:rsidRDefault="009C08BB" w:rsidP="009C08BB">
          <w:r w:rsidRPr="005E5199">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7684AC93" w14:textId="77777777" w:rsidR="009C08BB" w:rsidRPr="005E5199" w:rsidRDefault="009C08BB" w:rsidP="009C08BB">
          <w:pPr>
            <w:ind w:left="567"/>
            <w:rPr>
              <w:i/>
            </w:rPr>
          </w:pPr>
          <w:r w:rsidRPr="005E5199">
            <w:rPr>
              <w:i/>
            </w:rPr>
            <w:t>Source: The Australian Government the Treasury</w:t>
          </w:r>
        </w:p>
        <w:p w14:paraId="5ADD6E40" w14:textId="77777777" w:rsidR="009C08BB" w:rsidRPr="005E5199" w:rsidRDefault="009C08BB" w:rsidP="009C08BB">
          <w:pPr>
            <w:rPr>
              <w:b/>
            </w:rPr>
          </w:pPr>
          <w:r w:rsidRPr="005E5199">
            <w:rPr>
              <w:b/>
            </w:rPr>
            <w:t>Derivative material</w:t>
          </w:r>
        </w:p>
        <w:p w14:paraId="7BDB67FC" w14:textId="77777777" w:rsidR="009C08BB" w:rsidRPr="005E5199" w:rsidRDefault="009C08BB" w:rsidP="009C08BB">
          <w:r w:rsidRPr="005E5199">
            <w:t>If you have modified or transformed Treasury material, or derived new material from those of the Treasury in any way, then Treasury prefers the following attribution:</w:t>
          </w:r>
        </w:p>
        <w:p w14:paraId="2B312D7A" w14:textId="77777777" w:rsidR="009C08BB" w:rsidRPr="005E5199" w:rsidRDefault="009C08BB" w:rsidP="009C08BB">
          <w:pPr>
            <w:ind w:left="567"/>
            <w:rPr>
              <w:i/>
            </w:rPr>
          </w:pPr>
          <w:r w:rsidRPr="005E5199">
            <w:rPr>
              <w:i/>
            </w:rPr>
            <w:t>Based on The Australian Government the Treasury data</w:t>
          </w:r>
        </w:p>
        <w:p w14:paraId="18AA6FC6" w14:textId="77777777" w:rsidR="009C08BB" w:rsidRPr="005E5199" w:rsidRDefault="009C08BB" w:rsidP="009C08BB">
          <w:pPr>
            <w:rPr>
              <w:b/>
            </w:rPr>
          </w:pPr>
          <w:r w:rsidRPr="005E5199">
            <w:rPr>
              <w:b/>
            </w:rPr>
            <w:t>Use of the Coat of Arms</w:t>
          </w:r>
        </w:p>
        <w:p w14:paraId="5D8EB939" w14:textId="77777777" w:rsidR="009C08BB" w:rsidRPr="005E5199" w:rsidRDefault="009C08BB" w:rsidP="009C08BB">
          <w:r w:rsidRPr="005E5199">
            <w:t>The terms under which the Coat of Arms can be used are set out on the It’s an Honour website (see </w:t>
          </w:r>
          <w:hyperlink r:id="rId17" w:history="1">
            <w:r w:rsidRPr="00457337">
              <w:rPr>
                <w:rStyle w:val="Hyperlink"/>
                <w:b w:val="0"/>
              </w:rPr>
              <w:t>www.itsanhonour.gov.au</w:t>
            </w:r>
          </w:hyperlink>
          <w:r w:rsidRPr="005E5199">
            <w:t>).</w:t>
          </w:r>
        </w:p>
        <w:p w14:paraId="4764A5AF" w14:textId="77777777" w:rsidR="009C08BB" w:rsidRPr="005E5199" w:rsidRDefault="009C08BB" w:rsidP="009C08BB">
          <w:pPr>
            <w:rPr>
              <w:b/>
            </w:rPr>
          </w:pPr>
          <w:r w:rsidRPr="005E5199">
            <w:rPr>
              <w:b/>
            </w:rPr>
            <w:t>Other uses</w:t>
          </w:r>
        </w:p>
        <w:p w14:paraId="7B350C94" w14:textId="77777777" w:rsidR="009C08BB" w:rsidRPr="005E5199" w:rsidRDefault="009C08BB" w:rsidP="009C08BB">
          <w:r w:rsidRPr="005E5199">
            <w:t>Enquiries regarding this licence and any other use of this document are welcome at:</w:t>
          </w:r>
        </w:p>
        <w:p w14:paraId="3D307A15" w14:textId="77777777" w:rsidR="009C08BB" w:rsidRPr="005E5199" w:rsidRDefault="009C08BB" w:rsidP="009C08BB">
          <w:pPr>
            <w:ind w:left="567"/>
            <w:jc w:val="left"/>
            <w:rPr>
              <w:b/>
              <w:color w:val="004A7F"/>
            </w:rPr>
          </w:pPr>
          <w:r w:rsidRPr="005E5199">
            <w:t>Manager</w:t>
          </w:r>
          <w:r w:rsidRPr="005E5199">
            <w:br/>
            <w:t>Editorial, Media and Speeches Unit</w:t>
          </w:r>
          <w:r w:rsidRPr="005E5199">
            <w:br/>
            <w:t>The Treasury</w:t>
          </w:r>
          <w:r w:rsidRPr="005E5199">
            <w:br/>
            <w:t xml:space="preserve">Langton Crescent </w:t>
          </w:r>
          <w:r w:rsidRPr="005E5199">
            <w:br/>
          </w:r>
          <w:proofErr w:type="gramStart"/>
          <w:r w:rsidRPr="005E5199">
            <w:t>Parkes  ACT</w:t>
          </w:r>
          <w:proofErr w:type="gramEnd"/>
          <w:r w:rsidRPr="005E5199">
            <w:t xml:space="preserve">  2600</w:t>
          </w:r>
          <w:r w:rsidRPr="005E5199">
            <w:br/>
            <w:t xml:space="preserve">Email: </w:t>
          </w:r>
          <w:hyperlink r:id="rId18" w:history="1">
            <w:r w:rsidRPr="00457337">
              <w:rPr>
                <w:rStyle w:val="Hyperlink"/>
                <w:b w:val="0"/>
              </w:rPr>
              <w:t>medialiaison@treasury.gov.au</w:t>
            </w:r>
          </w:hyperlink>
        </w:p>
        <w:sdt>
          <w:sdtPr>
            <w:rPr>
              <w:rFonts w:ascii="Century Gothic" w:hAnsi="Century Gothic" w:cs="Times New Roman"/>
              <w:b w:val="0"/>
              <w:caps w:val="0"/>
              <w:noProof/>
              <w:color w:val="595959" w:themeColor="text1" w:themeTint="A6"/>
              <w:kern w:val="0"/>
              <w:sz w:val="22"/>
              <w:szCs w:val="22"/>
            </w:rPr>
            <w:id w:val="-1122075217"/>
            <w:docPartObj>
              <w:docPartGallery w:val="Table of Contents"/>
              <w:docPartUnique/>
            </w:docPartObj>
          </w:sdtPr>
          <w:sdtEndPr>
            <w:rPr>
              <w:bCs/>
              <w:noProof w:val="0"/>
            </w:rPr>
          </w:sdtEndPr>
          <w:sdtContent>
            <w:p w14:paraId="7E65AC58" w14:textId="77777777" w:rsidR="009C08BB" w:rsidRPr="005E5199" w:rsidRDefault="009C08BB" w:rsidP="009C08BB">
              <w:pPr>
                <w:pStyle w:val="Heading1-NoTOC"/>
              </w:pPr>
              <w:r w:rsidRPr="005E5199">
                <w:t xml:space="preserve">Contents </w:t>
              </w:r>
            </w:p>
            <w:p w14:paraId="27831CD0" w14:textId="014FFBEE" w:rsidR="009D527F" w:rsidRDefault="009C08BB">
              <w:pPr>
                <w:pStyle w:val="TOC1"/>
                <w:rPr>
                  <w:rFonts w:asciiTheme="minorHAnsi" w:eastAsiaTheme="minorEastAsia" w:hAnsiTheme="minorHAnsi" w:cstheme="minorBidi"/>
                  <w:b w:val="0"/>
                  <w:caps w:val="0"/>
                  <w:noProof/>
                  <w:color w:val="auto"/>
                </w:rPr>
              </w:pPr>
              <w:r w:rsidRPr="005E5199">
                <w:rPr>
                  <w:b w:val="0"/>
                  <w:caps w:val="0"/>
                </w:rPr>
                <w:fldChar w:fldCharType="begin"/>
              </w:r>
              <w:r w:rsidRPr="005E5199">
                <w:rPr>
                  <w:b w:val="0"/>
                  <w:caps w:val="0"/>
                </w:rPr>
                <w:instrText xml:space="preserve"> TOC \o "1-2" \h \z \u </w:instrText>
              </w:r>
              <w:r w:rsidRPr="005E5199">
                <w:rPr>
                  <w:b w:val="0"/>
                  <w:caps w:val="0"/>
                </w:rPr>
                <w:fldChar w:fldCharType="separate"/>
              </w:r>
              <w:hyperlink w:anchor="_Toc22811205" w:history="1">
                <w:r w:rsidR="009D527F" w:rsidRPr="004E0878">
                  <w:rPr>
                    <w:rStyle w:val="Hyperlink"/>
                    <w:noProof/>
                  </w:rPr>
                  <w:t>Executive Summary</w:t>
                </w:r>
                <w:r w:rsidR="009D527F">
                  <w:rPr>
                    <w:noProof/>
                    <w:webHidden/>
                  </w:rPr>
                  <w:tab/>
                </w:r>
                <w:r w:rsidR="009D527F">
                  <w:rPr>
                    <w:noProof/>
                    <w:webHidden/>
                  </w:rPr>
                  <w:fldChar w:fldCharType="begin"/>
                </w:r>
                <w:r w:rsidR="009D527F">
                  <w:rPr>
                    <w:noProof/>
                    <w:webHidden/>
                  </w:rPr>
                  <w:instrText xml:space="preserve"> PAGEREF _Toc22811205 \h </w:instrText>
                </w:r>
                <w:r w:rsidR="009D527F">
                  <w:rPr>
                    <w:noProof/>
                    <w:webHidden/>
                  </w:rPr>
                </w:r>
                <w:r w:rsidR="009D527F">
                  <w:rPr>
                    <w:noProof/>
                    <w:webHidden/>
                  </w:rPr>
                  <w:fldChar w:fldCharType="separate"/>
                </w:r>
                <w:r w:rsidR="00706C38">
                  <w:rPr>
                    <w:noProof/>
                    <w:webHidden/>
                  </w:rPr>
                  <w:t>4</w:t>
                </w:r>
                <w:r w:rsidR="009D527F">
                  <w:rPr>
                    <w:noProof/>
                    <w:webHidden/>
                  </w:rPr>
                  <w:fldChar w:fldCharType="end"/>
                </w:r>
              </w:hyperlink>
            </w:p>
            <w:p w14:paraId="6BF50D82" w14:textId="758E43D6" w:rsidR="009D527F" w:rsidRDefault="00706C38">
              <w:pPr>
                <w:pStyle w:val="TOC2"/>
                <w:rPr>
                  <w:rFonts w:asciiTheme="minorHAnsi" w:eastAsiaTheme="minorEastAsia" w:hAnsiTheme="minorHAnsi" w:cstheme="minorBidi"/>
                  <w:noProof/>
                  <w:color w:val="auto"/>
                </w:rPr>
              </w:pPr>
              <w:hyperlink w:anchor="_Toc22811206" w:history="1">
                <w:r w:rsidR="009D527F" w:rsidRPr="004E0878">
                  <w:rPr>
                    <w:rStyle w:val="Hyperlink"/>
                    <w:noProof/>
                  </w:rPr>
                  <w:t>Publications</w:t>
                </w:r>
                <w:r w:rsidR="009D527F">
                  <w:rPr>
                    <w:noProof/>
                    <w:webHidden/>
                  </w:rPr>
                  <w:tab/>
                </w:r>
                <w:r w:rsidR="009D527F">
                  <w:rPr>
                    <w:noProof/>
                    <w:webHidden/>
                  </w:rPr>
                  <w:fldChar w:fldCharType="begin"/>
                </w:r>
                <w:r w:rsidR="009D527F">
                  <w:rPr>
                    <w:noProof/>
                    <w:webHidden/>
                  </w:rPr>
                  <w:instrText xml:space="preserve"> PAGEREF _Toc22811206 \h </w:instrText>
                </w:r>
                <w:r w:rsidR="009D527F">
                  <w:rPr>
                    <w:noProof/>
                    <w:webHidden/>
                  </w:rPr>
                </w:r>
                <w:r w:rsidR="009D527F">
                  <w:rPr>
                    <w:noProof/>
                    <w:webHidden/>
                  </w:rPr>
                  <w:fldChar w:fldCharType="separate"/>
                </w:r>
                <w:r>
                  <w:rPr>
                    <w:noProof/>
                    <w:webHidden/>
                  </w:rPr>
                  <w:t>7</w:t>
                </w:r>
                <w:r w:rsidR="009D527F">
                  <w:rPr>
                    <w:noProof/>
                    <w:webHidden/>
                  </w:rPr>
                  <w:fldChar w:fldCharType="end"/>
                </w:r>
              </w:hyperlink>
            </w:p>
            <w:p w14:paraId="33142C0A" w14:textId="79462001" w:rsidR="009D527F" w:rsidRDefault="00706C38">
              <w:pPr>
                <w:pStyle w:val="TOC2"/>
                <w:rPr>
                  <w:rFonts w:asciiTheme="minorHAnsi" w:eastAsiaTheme="minorEastAsia" w:hAnsiTheme="minorHAnsi" w:cstheme="minorBidi"/>
                  <w:noProof/>
                  <w:color w:val="auto"/>
                </w:rPr>
              </w:pPr>
              <w:hyperlink w:anchor="_Toc22811207" w:history="1">
                <w:r w:rsidR="009D527F" w:rsidRPr="004E0878">
                  <w:rPr>
                    <w:rStyle w:val="Hyperlink"/>
                    <w:noProof/>
                  </w:rPr>
                  <w:t>Schedule of events</w:t>
                </w:r>
                <w:r w:rsidR="009D527F">
                  <w:rPr>
                    <w:noProof/>
                    <w:webHidden/>
                  </w:rPr>
                  <w:tab/>
                </w:r>
                <w:r w:rsidR="009D527F">
                  <w:rPr>
                    <w:noProof/>
                    <w:webHidden/>
                  </w:rPr>
                  <w:fldChar w:fldCharType="begin"/>
                </w:r>
                <w:r w:rsidR="009D527F">
                  <w:rPr>
                    <w:noProof/>
                    <w:webHidden/>
                  </w:rPr>
                  <w:instrText xml:space="preserve"> PAGEREF _Toc22811207 \h </w:instrText>
                </w:r>
                <w:r w:rsidR="009D527F">
                  <w:rPr>
                    <w:noProof/>
                    <w:webHidden/>
                  </w:rPr>
                </w:r>
                <w:r w:rsidR="009D527F">
                  <w:rPr>
                    <w:noProof/>
                    <w:webHidden/>
                  </w:rPr>
                  <w:fldChar w:fldCharType="separate"/>
                </w:r>
                <w:r>
                  <w:rPr>
                    <w:noProof/>
                    <w:webHidden/>
                  </w:rPr>
                  <w:t>7</w:t>
                </w:r>
                <w:r w:rsidR="009D527F">
                  <w:rPr>
                    <w:noProof/>
                    <w:webHidden/>
                  </w:rPr>
                  <w:fldChar w:fldCharType="end"/>
                </w:r>
              </w:hyperlink>
            </w:p>
            <w:p w14:paraId="27EA4032" w14:textId="3F340652" w:rsidR="009D527F" w:rsidRDefault="00706C38">
              <w:pPr>
                <w:pStyle w:val="TOC1"/>
                <w:rPr>
                  <w:rFonts w:asciiTheme="minorHAnsi" w:eastAsiaTheme="minorEastAsia" w:hAnsiTheme="minorHAnsi" w:cstheme="minorBidi"/>
                  <w:b w:val="0"/>
                  <w:caps w:val="0"/>
                  <w:noProof/>
                  <w:color w:val="auto"/>
                </w:rPr>
              </w:pPr>
              <w:hyperlink w:anchor="_Toc22811208" w:history="1">
                <w:r w:rsidR="009D527F" w:rsidRPr="004E0878">
                  <w:rPr>
                    <w:rStyle w:val="Hyperlink"/>
                    <w:noProof/>
                  </w:rPr>
                  <w:t>Institutional arrangements</w:t>
                </w:r>
                <w:r w:rsidR="009D527F">
                  <w:rPr>
                    <w:noProof/>
                    <w:webHidden/>
                  </w:rPr>
                  <w:tab/>
                </w:r>
                <w:r w:rsidR="009D527F">
                  <w:rPr>
                    <w:noProof/>
                    <w:webHidden/>
                  </w:rPr>
                  <w:fldChar w:fldCharType="begin"/>
                </w:r>
                <w:r w:rsidR="009D527F">
                  <w:rPr>
                    <w:noProof/>
                    <w:webHidden/>
                  </w:rPr>
                  <w:instrText xml:space="preserve"> PAGEREF _Toc22811208 \h </w:instrText>
                </w:r>
                <w:r w:rsidR="009D527F">
                  <w:rPr>
                    <w:noProof/>
                    <w:webHidden/>
                  </w:rPr>
                </w:r>
                <w:r w:rsidR="009D527F">
                  <w:rPr>
                    <w:noProof/>
                    <w:webHidden/>
                  </w:rPr>
                  <w:fldChar w:fldCharType="separate"/>
                </w:r>
                <w:r>
                  <w:rPr>
                    <w:noProof/>
                    <w:webHidden/>
                  </w:rPr>
                  <w:t>8</w:t>
                </w:r>
                <w:r w:rsidR="009D527F">
                  <w:rPr>
                    <w:noProof/>
                    <w:webHidden/>
                  </w:rPr>
                  <w:fldChar w:fldCharType="end"/>
                </w:r>
              </w:hyperlink>
            </w:p>
            <w:p w14:paraId="60AD795B" w14:textId="310CFBAB" w:rsidR="009D527F" w:rsidRDefault="00706C38">
              <w:pPr>
                <w:pStyle w:val="TOC1"/>
                <w:rPr>
                  <w:rFonts w:asciiTheme="minorHAnsi" w:eastAsiaTheme="minorEastAsia" w:hAnsiTheme="minorHAnsi" w:cstheme="minorBidi"/>
                  <w:b w:val="0"/>
                  <w:caps w:val="0"/>
                  <w:noProof/>
                  <w:color w:val="auto"/>
                </w:rPr>
              </w:pPr>
              <w:hyperlink w:anchor="_Toc22811209" w:history="1">
                <w:r w:rsidR="009D527F" w:rsidRPr="004E0878">
                  <w:rPr>
                    <w:rStyle w:val="Hyperlink"/>
                    <w:noProof/>
                  </w:rPr>
                  <w:t>Governance</w:t>
                </w:r>
                <w:r w:rsidR="009D527F">
                  <w:rPr>
                    <w:noProof/>
                    <w:webHidden/>
                  </w:rPr>
                  <w:tab/>
                </w:r>
                <w:r w:rsidR="009D527F">
                  <w:rPr>
                    <w:noProof/>
                    <w:webHidden/>
                  </w:rPr>
                  <w:fldChar w:fldCharType="begin"/>
                </w:r>
                <w:r w:rsidR="009D527F">
                  <w:rPr>
                    <w:noProof/>
                    <w:webHidden/>
                  </w:rPr>
                  <w:instrText xml:space="preserve"> PAGEREF _Toc22811209 \h </w:instrText>
                </w:r>
                <w:r w:rsidR="009D527F">
                  <w:rPr>
                    <w:noProof/>
                    <w:webHidden/>
                  </w:rPr>
                </w:r>
                <w:r w:rsidR="009D527F">
                  <w:rPr>
                    <w:noProof/>
                    <w:webHidden/>
                  </w:rPr>
                  <w:fldChar w:fldCharType="separate"/>
                </w:r>
                <w:r>
                  <w:rPr>
                    <w:noProof/>
                    <w:webHidden/>
                  </w:rPr>
                  <w:t>9</w:t>
                </w:r>
                <w:r w:rsidR="009D527F">
                  <w:rPr>
                    <w:noProof/>
                    <w:webHidden/>
                  </w:rPr>
                  <w:fldChar w:fldCharType="end"/>
                </w:r>
              </w:hyperlink>
            </w:p>
            <w:p w14:paraId="25988A4A" w14:textId="4A39D3E7" w:rsidR="009C08BB" w:rsidRPr="005E5199" w:rsidRDefault="009C08BB" w:rsidP="009C08BB">
              <w:r w:rsidRPr="005E5199">
                <w:rPr>
                  <w:b/>
                  <w:caps/>
                  <w:color w:val="5B5E60"/>
                </w:rPr>
                <w:fldChar w:fldCharType="end"/>
              </w:r>
            </w:p>
          </w:sdtContent>
        </w:sdt>
        <w:p w14:paraId="50206691" w14:textId="0CCD78E9" w:rsidR="009C08BB" w:rsidRPr="005E5199" w:rsidRDefault="009C08BB" w:rsidP="009C08BB">
          <w:pPr>
            <w:pStyle w:val="Heading1"/>
          </w:pPr>
          <w:bookmarkStart w:id="1" w:name="_Toc22811205"/>
          <w:r w:rsidRPr="005E5199">
            <w:t>Executive Summary</w:t>
          </w:r>
        </w:p>
      </w:sdtContent>
    </w:sdt>
    <w:bookmarkEnd w:id="1" w:displacedByCustomXml="prev"/>
    <w:p w14:paraId="060B9B53" w14:textId="692F7135" w:rsidR="009C08BB" w:rsidRPr="00DB45A6" w:rsidRDefault="009C08BB" w:rsidP="00186CBA">
      <w:pPr>
        <w:pStyle w:val="OutlineNumbered1"/>
        <w:numPr>
          <w:ilvl w:val="0"/>
          <w:numId w:val="34"/>
        </w:numPr>
        <w:rPr>
          <w:b/>
          <w:color w:val="000000" w:themeColor="text1"/>
        </w:rPr>
      </w:pPr>
      <w:r w:rsidRPr="00DB45A6">
        <w:rPr>
          <w:color w:val="000000" w:themeColor="text1"/>
        </w:rPr>
        <w:t xml:space="preserve">On </w:t>
      </w:r>
      <w:r w:rsidR="00071308" w:rsidRPr="00DB45A6">
        <w:rPr>
          <w:color w:val="000000" w:themeColor="text1"/>
        </w:rPr>
        <w:t>14 July</w:t>
      </w:r>
      <w:r w:rsidRPr="00DB45A6">
        <w:rPr>
          <w:color w:val="000000" w:themeColor="text1"/>
        </w:rPr>
        <w:t xml:space="preserve"> 2019, the Australian National Contact Point (AusNCP) received a complaint from Mr Robert Palin</w:t>
      </w:r>
      <w:r w:rsidR="00550C4E" w:rsidRPr="00DB45A6">
        <w:rPr>
          <w:color w:val="000000" w:themeColor="text1"/>
        </w:rPr>
        <w:t xml:space="preserve"> (the notifier)</w:t>
      </w:r>
      <w:r w:rsidR="00071308" w:rsidRPr="00DB45A6">
        <w:rPr>
          <w:color w:val="000000" w:themeColor="text1"/>
        </w:rPr>
        <w:t>,</w:t>
      </w:r>
      <w:r w:rsidRPr="00DB45A6">
        <w:rPr>
          <w:color w:val="000000" w:themeColor="text1"/>
        </w:rPr>
        <w:t xml:space="preserve"> </w:t>
      </w:r>
      <w:r w:rsidR="00F25CD8" w:rsidRPr="00DB45A6">
        <w:rPr>
          <w:color w:val="000000" w:themeColor="text1"/>
        </w:rPr>
        <w:t xml:space="preserve">against </w:t>
      </w:r>
      <w:r w:rsidR="004C7DE6">
        <w:rPr>
          <w:color w:val="000000" w:themeColor="text1"/>
        </w:rPr>
        <w:t>Deutsche Bank Australia</w:t>
      </w:r>
      <w:r w:rsidR="00071308" w:rsidRPr="00DB45A6">
        <w:rPr>
          <w:color w:val="000000" w:themeColor="text1"/>
        </w:rPr>
        <w:t xml:space="preserve"> (the enterprise)</w:t>
      </w:r>
      <w:r w:rsidR="002F2AED" w:rsidRPr="00DB45A6">
        <w:rPr>
          <w:color w:val="000000" w:themeColor="text1"/>
        </w:rPr>
        <w:t xml:space="preserve">, </w:t>
      </w:r>
      <w:r w:rsidR="00C220F5">
        <w:rPr>
          <w:color w:val="000000" w:themeColor="text1"/>
        </w:rPr>
        <w:t>which is a subsidiary office of Deutsche Bank Germany.</w:t>
      </w:r>
      <w:r w:rsidR="00186CBA">
        <w:rPr>
          <w:color w:val="000000" w:themeColor="text1"/>
        </w:rPr>
        <w:t xml:space="preserve"> In the complaint, Mr Palin states he is </w:t>
      </w:r>
      <w:r w:rsidR="00186CBA" w:rsidRPr="00186CBA">
        <w:rPr>
          <w:color w:val="000000" w:themeColor="text1"/>
        </w:rPr>
        <w:t>acting on behalf of the descendants of the Oswald Weiss Estate</w:t>
      </w:r>
      <w:r w:rsidR="00186CBA">
        <w:rPr>
          <w:color w:val="000000" w:themeColor="text1"/>
        </w:rPr>
        <w:t>.</w:t>
      </w:r>
    </w:p>
    <w:p w14:paraId="3057C597" w14:textId="77777777" w:rsidR="00B25C37" w:rsidRPr="00E00DF5" w:rsidRDefault="009C08BB" w:rsidP="00C13852">
      <w:pPr>
        <w:pStyle w:val="OutlineNumbered1"/>
        <w:numPr>
          <w:ilvl w:val="0"/>
          <w:numId w:val="34"/>
        </w:numPr>
        <w:rPr>
          <w:b/>
          <w:color w:val="000000" w:themeColor="text1"/>
        </w:rPr>
      </w:pPr>
      <w:r w:rsidRPr="00236DDD">
        <w:rPr>
          <w:color w:val="000000" w:themeColor="text1"/>
        </w:rPr>
        <w:t>T</w:t>
      </w:r>
      <w:r w:rsidR="00071308" w:rsidRPr="00236DDD">
        <w:rPr>
          <w:color w:val="000000" w:themeColor="text1"/>
        </w:rPr>
        <w:t xml:space="preserve">he </w:t>
      </w:r>
      <w:r w:rsidR="00714BB8" w:rsidRPr="00236DDD">
        <w:rPr>
          <w:color w:val="000000" w:themeColor="text1"/>
        </w:rPr>
        <w:t xml:space="preserve">notifier </w:t>
      </w:r>
      <w:r w:rsidR="00236DDD" w:rsidRPr="00236DDD">
        <w:rPr>
          <w:color w:val="000000" w:themeColor="text1"/>
        </w:rPr>
        <w:t xml:space="preserve">alleges that during World War Two, in the former state of Czechoslovakia, Deutsche Bank was directly involved with the German National Socialist Regime in the illegal and forced expropriation of substantial financial assets belonging to the Weiss family, namely family-owned company shareholdings in </w:t>
      </w:r>
      <w:proofErr w:type="spellStart"/>
      <w:r w:rsidR="00236DDD" w:rsidRPr="00236DDD">
        <w:rPr>
          <w:color w:val="000000" w:themeColor="text1"/>
        </w:rPr>
        <w:t>Erste</w:t>
      </w:r>
      <w:proofErr w:type="spellEnd"/>
      <w:r w:rsidR="00236DDD" w:rsidRPr="00236DDD">
        <w:rPr>
          <w:color w:val="000000" w:themeColor="text1"/>
        </w:rPr>
        <w:t xml:space="preserve"> </w:t>
      </w:r>
      <w:proofErr w:type="spellStart"/>
      <w:r w:rsidR="00236DDD" w:rsidRPr="00236DDD">
        <w:rPr>
          <w:color w:val="000000" w:themeColor="text1"/>
        </w:rPr>
        <w:t>Böhmische</w:t>
      </w:r>
      <w:proofErr w:type="spellEnd"/>
      <w:r w:rsidR="00236DDD" w:rsidRPr="00236DDD">
        <w:rPr>
          <w:color w:val="000000" w:themeColor="text1"/>
        </w:rPr>
        <w:t xml:space="preserve"> </w:t>
      </w:r>
      <w:proofErr w:type="spellStart"/>
      <w:r w:rsidR="00236DDD" w:rsidRPr="00236DDD">
        <w:rPr>
          <w:color w:val="000000" w:themeColor="text1"/>
        </w:rPr>
        <w:t>Glasindustrie</w:t>
      </w:r>
      <w:proofErr w:type="spellEnd"/>
      <w:r w:rsidR="00236DDD" w:rsidRPr="00236DDD">
        <w:rPr>
          <w:color w:val="000000" w:themeColor="text1"/>
        </w:rPr>
        <w:t xml:space="preserve"> AG (EBG, </w:t>
      </w:r>
      <w:r w:rsidR="00C13852">
        <w:rPr>
          <w:color w:val="000000" w:themeColor="text1"/>
        </w:rPr>
        <w:t xml:space="preserve">also known as </w:t>
      </w:r>
      <w:r w:rsidR="00236DDD" w:rsidRPr="00236DDD">
        <w:rPr>
          <w:color w:val="000000" w:themeColor="text1"/>
        </w:rPr>
        <w:t>First Bohemian Glassworks Ltd</w:t>
      </w:r>
      <w:r w:rsidR="00C13852">
        <w:rPr>
          <w:color w:val="000000" w:themeColor="text1"/>
        </w:rPr>
        <w:t xml:space="preserve"> and </w:t>
      </w:r>
      <w:r w:rsidR="00C13852" w:rsidRPr="00C13852">
        <w:rPr>
          <w:color w:val="000000" w:themeColor="text1"/>
        </w:rPr>
        <w:t xml:space="preserve">the </w:t>
      </w:r>
      <w:proofErr w:type="spellStart"/>
      <w:r w:rsidR="00C13852" w:rsidRPr="00C13852">
        <w:rPr>
          <w:color w:val="000000" w:themeColor="text1"/>
        </w:rPr>
        <w:t>Olovi</w:t>
      </w:r>
      <w:proofErr w:type="spellEnd"/>
      <w:r w:rsidR="00C13852" w:rsidRPr="00C13852">
        <w:rPr>
          <w:color w:val="000000" w:themeColor="text1"/>
        </w:rPr>
        <w:t xml:space="preserve"> factory</w:t>
      </w:r>
      <w:r w:rsidR="00236DDD" w:rsidRPr="00236DDD">
        <w:rPr>
          <w:color w:val="000000" w:themeColor="text1"/>
        </w:rPr>
        <w:t xml:space="preserve">). </w:t>
      </w:r>
    </w:p>
    <w:p w14:paraId="233CA1E4" w14:textId="77777777" w:rsidR="00B25C37" w:rsidRPr="00E00DF5" w:rsidRDefault="00B25C37" w:rsidP="00C13852">
      <w:pPr>
        <w:pStyle w:val="OutlineNumbered1"/>
        <w:numPr>
          <w:ilvl w:val="0"/>
          <w:numId w:val="34"/>
        </w:numPr>
        <w:rPr>
          <w:b/>
          <w:color w:val="000000" w:themeColor="text1"/>
        </w:rPr>
      </w:pPr>
      <w:r>
        <w:rPr>
          <w:color w:val="000000" w:themeColor="text1"/>
        </w:rPr>
        <w:t xml:space="preserve">The notifier further alleges that </w:t>
      </w:r>
      <w:r w:rsidRPr="00236DDD">
        <w:rPr>
          <w:color w:val="000000" w:themeColor="text1"/>
        </w:rPr>
        <w:t>Deutsche Bank was directly involved in: illegal transfers of EBG funds; charging unreasonable fees without crediting any interest on EBG deposit accounts between 1939 to 2016; freezing Weiss family personal shares in EBG for the entire war period, resulting in the total loss of value of these shares; and blocking Weiss family personal deposits and transferring these deposits to the Gestapo.</w:t>
      </w:r>
    </w:p>
    <w:p w14:paraId="327DA5E2" w14:textId="76A53DEB" w:rsidR="00236DDD" w:rsidRDefault="00236DDD" w:rsidP="00236DDD">
      <w:pPr>
        <w:pStyle w:val="OutlineNumbered1"/>
        <w:numPr>
          <w:ilvl w:val="0"/>
          <w:numId w:val="34"/>
        </w:numPr>
        <w:rPr>
          <w:color w:val="000000" w:themeColor="text1"/>
        </w:rPr>
      </w:pPr>
      <w:r>
        <w:rPr>
          <w:color w:val="000000" w:themeColor="text1"/>
        </w:rPr>
        <w:t>Regarding outcomes sought from the AusNCP process, t</w:t>
      </w:r>
      <w:r w:rsidRPr="00236DDD">
        <w:rPr>
          <w:color w:val="000000" w:themeColor="text1"/>
        </w:rPr>
        <w:t xml:space="preserve">he notifier </w:t>
      </w:r>
      <w:r w:rsidR="009641E9">
        <w:rPr>
          <w:color w:val="000000" w:themeColor="text1"/>
        </w:rPr>
        <w:t xml:space="preserve">maintains the claims of the Weiss family for the cash deposits which </w:t>
      </w:r>
      <w:r w:rsidR="00186CBA">
        <w:rPr>
          <w:color w:val="000000" w:themeColor="text1"/>
        </w:rPr>
        <w:t xml:space="preserve">were held by </w:t>
      </w:r>
      <w:r w:rsidR="009641E9">
        <w:rPr>
          <w:color w:val="000000" w:themeColor="text1"/>
        </w:rPr>
        <w:t xml:space="preserve">Deutsche Bank. The notifier </w:t>
      </w:r>
      <w:r w:rsidRPr="00236DDD">
        <w:rPr>
          <w:color w:val="000000" w:themeColor="text1"/>
        </w:rPr>
        <w:t>hopes to achieve an early compromise settlement by way of mediation and has sought the AusNCP’s assistance to pursue a claim for restitution.</w:t>
      </w:r>
    </w:p>
    <w:p w14:paraId="70CAD091" w14:textId="7AF226FB" w:rsidR="00186CBA" w:rsidRPr="00186CBA" w:rsidRDefault="00186CBA" w:rsidP="00186CBA">
      <w:pPr>
        <w:pStyle w:val="ListParagraph"/>
        <w:numPr>
          <w:ilvl w:val="0"/>
          <w:numId w:val="34"/>
        </w:numPr>
        <w:rPr>
          <w:color w:val="000000" w:themeColor="text1"/>
        </w:rPr>
      </w:pPr>
      <w:r w:rsidRPr="00186CBA">
        <w:rPr>
          <w:color w:val="000000" w:themeColor="text1"/>
        </w:rPr>
        <w:t xml:space="preserve">Deutsche Bank’s position is that it has undertaken a thorough review and investigation of the claims made by the notifier, and having done so, denies those claims. </w:t>
      </w:r>
    </w:p>
    <w:p w14:paraId="12292ADE" w14:textId="542D7F93" w:rsidR="003776E8" w:rsidRDefault="00E87833" w:rsidP="00236DDD">
      <w:pPr>
        <w:pStyle w:val="OutlineNumbered1"/>
        <w:numPr>
          <w:ilvl w:val="0"/>
          <w:numId w:val="34"/>
        </w:numPr>
        <w:rPr>
          <w:color w:val="000000" w:themeColor="text1"/>
        </w:rPr>
      </w:pPr>
      <w:r>
        <w:rPr>
          <w:color w:val="000000" w:themeColor="text1"/>
        </w:rPr>
        <w:t xml:space="preserve">The AusNCP spoke with both parties </w:t>
      </w:r>
      <w:r w:rsidR="00010645">
        <w:rPr>
          <w:color w:val="000000" w:themeColor="text1"/>
        </w:rPr>
        <w:t>during</w:t>
      </w:r>
      <w:r>
        <w:rPr>
          <w:color w:val="000000" w:themeColor="text1"/>
        </w:rPr>
        <w:t xml:space="preserve"> the Initial Assessment process, to share and clarify relevant information</w:t>
      </w:r>
      <w:r w:rsidR="00D06866">
        <w:rPr>
          <w:color w:val="000000" w:themeColor="text1"/>
        </w:rPr>
        <w:t xml:space="preserve">. </w:t>
      </w:r>
      <w:r w:rsidR="00871150">
        <w:rPr>
          <w:color w:val="000000" w:themeColor="text1"/>
        </w:rPr>
        <w:t>The i</w:t>
      </w:r>
      <w:r w:rsidR="00D06866">
        <w:rPr>
          <w:color w:val="000000" w:themeColor="text1"/>
        </w:rPr>
        <w:t xml:space="preserve">nformation </w:t>
      </w:r>
      <w:r w:rsidR="00486875">
        <w:rPr>
          <w:color w:val="000000" w:themeColor="text1"/>
        </w:rPr>
        <w:t xml:space="preserve">provided by the notifier was </w:t>
      </w:r>
      <w:r w:rsidR="00D06866">
        <w:rPr>
          <w:color w:val="000000" w:themeColor="text1"/>
        </w:rPr>
        <w:t xml:space="preserve">shared </w:t>
      </w:r>
      <w:r w:rsidR="00486875">
        <w:rPr>
          <w:color w:val="000000" w:themeColor="text1"/>
        </w:rPr>
        <w:t>by the AusNCP with the enterprise and with permission from the notifier.</w:t>
      </w:r>
      <w:r w:rsidR="00871150">
        <w:rPr>
          <w:color w:val="000000" w:themeColor="text1"/>
        </w:rPr>
        <w:t xml:space="preserve"> </w:t>
      </w:r>
      <w:r w:rsidR="00D06866">
        <w:rPr>
          <w:color w:val="000000" w:themeColor="text1"/>
        </w:rPr>
        <w:t>The AusNCP</w:t>
      </w:r>
      <w:r w:rsidR="008967D1">
        <w:rPr>
          <w:color w:val="000000" w:themeColor="text1"/>
        </w:rPr>
        <w:t xml:space="preserve"> is satisfied that the information provided</w:t>
      </w:r>
      <w:r w:rsidR="0053706B">
        <w:rPr>
          <w:color w:val="000000" w:themeColor="text1"/>
        </w:rPr>
        <w:t xml:space="preserve"> by both parties</w:t>
      </w:r>
      <w:r w:rsidR="008967D1">
        <w:rPr>
          <w:color w:val="000000" w:themeColor="text1"/>
        </w:rPr>
        <w:t xml:space="preserve"> was sufficient to undertake a thorough </w:t>
      </w:r>
      <w:r w:rsidR="003A6533">
        <w:rPr>
          <w:color w:val="000000" w:themeColor="text1"/>
        </w:rPr>
        <w:t xml:space="preserve">initial </w:t>
      </w:r>
      <w:r w:rsidR="008967D1">
        <w:rPr>
          <w:color w:val="000000" w:themeColor="text1"/>
        </w:rPr>
        <w:t>assessment</w:t>
      </w:r>
      <w:r>
        <w:rPr>
          <w:color w:val="000000" w:themeColor="text1"/>
        </w:rPr>
        <w:t xml:space="preserve">. </w:t>
      </w:r>
    </w:p>
    <w:p w14:paraId="76C1CF93" w14:textId="259996F9" w:rsidR="006E03B4" w:rsidRPr="00DB45A6" w:rsidRDefault="0048270C" w:rsidP="00DB45A6">
      <w:pPr>
        <w:pStyle w:val="OutlineNumbered1"/>
        <w:numPr>
          <w:ilvl w:val="0"/>
          <w:numId w:val="34"/>
        </w:numPr>
        <w:rPr>
          <w:color w:val="000000" w:themeColor="text1"/>
        </w:rPr>
      </w:pPr>
      <w:r>
        <w:rPr>
          <w:color w:val="000000" w:themeColor="text1"/>
        </w:rPr>
        <w:t>T</w:t>
      </w:r>
      <w:r w:rsidR="004B79CE" w:rsidRPr="00451891">
        <w:rPr>
          <w:color w:val="000000" w:themeColor="text1"/>
        </w:rPr>
        <w:t xml:space="preserve">he AusNCP has considered the </w:t>
      </w:r>
      <w:r w:rsidR="006E03B4" w:rsidRPr="00DB45A6">
        <w:rPr>
          <w:color w:val="000000" w:themeColor="text1"/>
        </w:rPr>
        <w:t xml:space="preserve">six </w:t>
      </w:r>
      <w:r w:rsidR="00604409" w:rsidRPr="00DB45A6">
        <w:rPr>
          <w:color w:val="000000" w:themeColor="text1"/>
        </w:rPr>
        <w:t xml:space="preserve">admissibility </w:t>
      </w:r>
      <w:r w:rsidR="006E03B4" w:rsidRPr="00DB45A6">
        <w:rPr>
          <w:color w:val="000000" w:themeColor="text1"/>
        </w:rPr>
        <w:t>criteria</w:t>
      </w:r>
      <w:r w:rsidR="0095710C" w:rsidRPr="00DB45A6">
        <w:rPr>
          <w:rStyle w:val="FootnoteReference"/>
          <w:color w:val="000000" w:themeColor="text1"/>
        </w:rPr>
        <w:footnoteReference w:id="2"/>
      </w:r>
      <w:r w:rsidR="004E77E8" w:rsidRPr="00DB45A6">
        <w:rPr>
          <w:color w:val="000000" w:themeColor="text1"/>
        </w:rPr>
        <w:t xml:space="preserve"> as part of the Initial Assessment process</w:t>
      </w:r>
      <w:r w:rsidR="004B79CE">
        <w:rPr>
          <w:color w:val="000000" w:themeColor="text1"/>
        </w:rPr>
        <w:t xml:space="preserve"> and </w:t>
      </w:r>
      <w:r w:rsidR="00335107">
        <w:rPr>
          <w:color w:val="000000" w:themeColor="text1"/>
        </w:rPr>
        <w:t xml:space="preserve">determined </w:t>
      </w:r>
      <w:r w:rsidR="00C61DDF" w:rsidRPr="00DB45A6">
        <w:rPr>
          <w:color w:val="000000" w:themeColor="text1"/>
        </w:rPr>
        <w:t xml:space="preserve">not </w:t>
      </w:r>
      <w:r w:rsidR="00335107">
        <w:rPr>
          <w:color w:val="000000" w:themeColor="text1"/>
        </w:rPr>
        <w:t xml:space="preserve">to </w:t>
      </w:r>
      <w:r w:rsidR="00C61DDF" w:rsidRPr="00DB45A6">
        <w:rPr>
          <w:color w:val="000000" w:themeColor="text1"/>
        </w:rPr>
        <w:t>accept this complaint</w:t>
      </w:r>
      <w:r w:rsidR="004B79CE">
        <w:rPr>
          <w:color w:val="000000" w:themeColor="text1"/>
        </w:rPr>
        <w:t>.</w:t>
      </w:r>
      <w:r w:rsidR="00C61DDF" w:rsidRPr="00DB45A6">
        <w:rPr>
          <w:color w:val="000000" w:themeColor="text1"/>
        </w:rPr>
        <w:t xml:space="preserve"> </w:t>
      </w:r>
      <w:r w:rsidR="004B79CE">
        <w:rPr>
          <w:color w:val="000000" w:themeColor="text1"/>
        </w:rPr>
        <w:t>T</w:t>
      </w:r>
      <w:r w:rsidR="00124F4B" w:rsidRPr="00DB45A6">
        <w:rPr>
          <w:color w:val="000000" w:themeColor="text1"/>
        </w:rPr>
        <w:t xml:space="preserve">he </w:t>
      </w:r>
      <w:r w:rsidR="006E03B4" w:rsidRPr="00DB45A6">
        <w:rPr>
          <w:color w:val="000000" w:themeColor="text1"/>
        </w:rPr>
        <w:t>following</w:t>
      </w:r>
      <w:r w:rsidR="00C61DDF" w:rsidRPr="00DB45A6">
        <w:rPr>
          <w:color w:val="000000" w:themeColor="text1"/>
        </w:rPr>
        <w:t xml:space="preserve"> observations</w:t>
      </w:r>
      <w:r w:rsidR="004B79CE">
        <w:rPr>
          <w:color w:val="000000" w:themeColor="text1"/>
        </w:rPr>
        <w:t xml:space="preserve"> were made during the assessment</w:t>
      </w:r>
      <w:r w:rsidR="009D1824" w:rsidRPr="00DB45A6">
        <w:rPr>
          <w:color w:val="000000" w:themeColor="text1"/>
        </w:rPr>
        <w:t>.</w:t>
      </w:r>
    </w:p>
    <w:p w14:paraId="2C79044E" w14:textId="48CEE489" w:rsidR="009D1824" w:rsidRPr="00055D4A" w:rsidRDefault="00FA500E" w:rsidP="00055D4A">
      <w:pPr>
        <w:pStyle w:val="OutlineNumbered1"/>
        <w:numPr>
          <w:ilvl w:val="1"/>
          <w:numId w:val="34"/>
        </w:numPr>
        <w:rPr>
          <w:color w:val="000000" w:themeColor="text1"/>
        </w:rPr>
      </w:pPr>
      <w:r w:rsidRPr="00055D4A">
        <w:rPr>
          <w:color w:val="000000" w:themeColor="text1"/>
        </w:rPr>
        <w:t xml:space="preserve">The complaint does not relate to the implementation of the OECD Guidelines. </w:t>
      </w:r>
      <w:r w:rsidR="00A15D1A" w:rsidRPr="00055D4A">
        <w:rPr>
          <w:color w:val="000000" w:themeColor="text1"/>
        </w:rPr>
        <w:t>T</w:t>
      </w:r>
      <w:r w:rsidRPr="00055D4A">
        <w:rPr>
          <w:color w:val="000000" w:themeColor="text1"/>
        </w:rPr>
        <w:t xml:space="preserve">he Guidelines did not exist at the time of the alleged </w:t>
      </w:r>
      <w:r w:rsidR="0048270C">
        <w:rPr>
          <w:color w:val="000000" w:themeColor="text1"/>
        </w:rPr>
        <w:t xml:space="preserve">original </w:t>
      </w:r>
      <w:r w:rsidRPr="00055D4A">
        <w:rPr>
          <w:color w:val="000000" w:themeColor="text1"/>
        </w:rPr>
        <w:t>actions</w:t>
      </w:r>
      <w:r w:rsidR="0048270C">
        <w:rPr>
          <w:color w:val="000000" w:themeColor="text1"/>
        </w:rPr>
        <w:t xml:space="preserve"> that underpin the </w:t>
      </w:r>
      <w:r w:rsidR="00B21FC4">
        <w:rPr>
          <w:color w:val="000000" w:themeColor="text1"/>
        </w:rPr>
        <w:t>overall claim.</w:t>
      </w:r>
    </w:p>
    <w:p w14:paraId="5E66DDD5" w14:textId="446F1EE6" w:rsidR="00055D4A" w:rsidRDefault="00694129" w:rsidP="00055D4A">
      <w:pPr>
        <w:pStyle w:val="OutlineNumbered1"/>
        <w:numPr>
          <w:ilvl w:val="1"/>
          <w:numId w:val="34"/>
        </w:numPr>
        <w:rPr>
          <w:color w:val="000000" w:themeColor="text1"/>
        </w:rPr>
      </w:pPr>
      <w:r w:rsidRPr="00055D4A">
        <w:rPr>
          <w:color w:val="000000" w:themeColor="text1"/>
        </w:rPr>
        <w:t xml:space="preserve">Due to the significant passage of time, it is difficult for a non-judicial mechanism such as an NCP (particularly the Australian NCP) to </w:t>
      </w:r>
      <w:r w:rsidR="00FA22B3">
        <w:rPr>
          <w:color w:val="000000" w:themeColor="text1"/>
        </w:rPr>
        <w:t xml:space="preserve">independently </w:t>
      </w:r>
      <w:r w:rsidRPr="00055D4A">
        <w:rPr>
          <w:color w:val="000000" w:themeColor="text1"/>
        </w:rPr>
        <w:t>verify the direct link</w:t>
      </w:r>
      <w:r w:rsidR="00FA22B3">
        <w:rPr>
          <w:color w:val="000000" w:themeColor="text1"/>
        </w:rPr>
        <w:t>s</w:t>
      </w:r>
      <w:r w:rsidRPr="00055D4A">
        <w:rPr>
          <w:rStyle w:val="FootnoteReference"/>
          <w:color w:val="000000" w:themeColor="text1"/>
        </w:rPr>
        <w:footnoteReference w:id="3"/>
      </w:r>
      <w:r w:rsidRPr="00055D4A">
        <w:rPr>
          <w:color w:val="000000" w:themeColor="text1"/>
        </w:rPr>
        <w:t xml:space="preserve"> in the relationships between the enterprise</w:t>
      </w:r>
      <w:r w:rsidR="00FA22B3">
        <w:rPr>
          <w:color w:val="000000" w:themeColor="text1"/>
        </w:rPr>
        <w:t>s and the</w:t>
      </w:r>
      <w:r w:rsidR="00B25C37">
        <w:rPr>
          <w:color w:val="000000" w:themeColor="text1"/>
        </w:rPr>
        <w:t xml:space="preserve"> alleged </w:t>
      </w:r>
      <w:r w:rsidR="00FA22B3">
        <w:rPr>
          <w:color w:val="000000" w:themeColor="text1"/>
        </w:rPr>
        <w:t xml:space="preserve">actions, </w:t>
      </w:r>
      <w:r w:rsidR="00B25C37">
        <w:rPr>
          <w:color w:val="000000" w:themeColor="text1"/>
        </w:rPr>
        <w:t xml:space="preserve">and the ownership of </w:t>
      </w:r>
      <w:r w:rsidR="009641E9">
        <w:rPr>
          <w:color w:val="000000" w:themeColor="text1"/>
        </w:rPr>
        <w:t xml:space="preserve">relevant </w:t>
      </w:r>
      <w:r w:rsidR="00B25C37">
        <w:rPr>
          <w:color w:val="000000" w:themeColor="text1"/>
        </w:rPr>
        <w:t>accounts</w:t>
      </w:r>
      <w:r w:rsidR="00FA22B3">
        <w:rPr>
          <w:color w:val="000000" w:themeColor="text1"/>
        </w:rPr>
        <w:t>.</w:t>
      </w:r>
    </w:p>
    <w:p w14:paraId="3EF4EF60" w14:textId="47004295" w:rsidR="00EB3B05" w:rsidRDefault="00A93EE2" w:rsidP="00EB3B05">
      <w:pPr>
        <w:pStyle w:val="OutlineNumbered1"/>
        <w:numPr>
          <w:ilvl w:val="1"/>
          <w:numId w:val="34"/>
        </w:numPr>
        <w:rPr>
          <w:color w:val="000000" w:themeColor="text1"/>
        </w:rPr>
      </w:pPr>
      <w:r w:rsidRPr="00EB3B05">
        <w:rPr>
          <w:color w:val="000000" w:themeColor="text1"/>
        </w:rPr>
        <w:t>The AusNCP notes</w:t>
      </w:r>
      <w:r w:rsidR="003A6533" w:rsidRPr="00EB3B05">
        <w:rPr>
          <w:color w:val="000000" w:themeColor="text1"/>
        </w:rPr>
        <w:t xml:space="preserve"> that</w:t>
      </w:r>
      <w:r w:rsidRPr="00EB3B05">
        <w:rPr>
          <w:color w:val="000000" w:themeColor="text1"/>
        </w:rPr>
        <w:t xml:space="preserve">, in a series of </w:t>
      </w:r>
      <w:r w:rsidR="003A6533" w:rsidRPr="00EB3B05">
        <w:rPr>
          <w:color w:val="000000" w:themeColor="text1"/>
        </w:rPr>
        <w:t>correspondence</w:t>
      </w:r>
      <w:r w:rsidRPr="00EB3B05">
        <w:rPr>
          <w:color w:val="000000" w:themeColor="text1"/>
        </w:rPr>
        <w:t xml:space="preserve"> between the enterprise and the notifier between December 2017 and January 2019,</w:t>
      </w:r>
      <w:r w:rsidR="000A1605" w:rsidRPr="00EB3B05">
        <w:rPr>
          <w:color w:val="000000" w:themeColor="text1"/>
        </w:rPr>
        <w:t xml:space="preserve"> the majority of contact has been between</w:t>
      </w:r>
      <w:r w:rsidR="000A1605" w:rsidRPr="00EF1C33">
        <w:rPr>
          <w:color w:val="000000" w:themeColor="text1"/>
        </w:rPr>
        <w:t xml:space="preserve"> the notifier and the German enterprise headquarters and not the </w:t>
      </w:r>
      <w:r w:rsidR="004A2F89" w:rsidRPr="00EF1C33">
        <w:rPr>
          <w:color w:val="000000" w:themeColor="text1"/>
        </w:rPr>
        <w:t xml:space="preserve">Australian </w:t>
      </w:r>
      <w:r w:rsidR="000A1605" w:rsidRPr="00EF1C33">
        <w:rPr>
          <w:color w:val="000000" w:themeColor="text1"/>
        </w:rPr>
        <w:t xml:space="preserve">subsidiary. </w:t>
      </w:r>
    </w:p>
    <w:p w14:paraId="698D37EF" w14:textId="7D7BF15E" w:rsidR="00F01FCE" w:rsidRPr="00EB3B05" w:rsidRDefault="00EB3B05" w:rsidP="00EF1C33">
      <w:pPr>
        <w:pStyle w:val="OutlineNumbered1"/>
        <w:numPr>
          <w:ilvl w:val="2"/>
          <w:numId w:val="34"/>
        </w:numPr>
        <w:rPr>
          <w:color w:val="000000" w:themeColor="text1"/>
        </w:rPr>
      </w:pPr>
      <w:r>
        <w:rPr>
          <w:color w:val="000000" w:themeColor="text1"/>
        </w:rPr>
        <w:t>In a phone call with the AusNCP</w:t>
      </w:r>
      <w:r w:rsidR="006310BA">
        <w:rPr>
          <w:color w:val="000000" w:themeColor="text1"/>
        </w:rPr>
        <w:t xml:space="preserve"> on 28 November 2019</w:t>
      </w:r>
      <w:r w:rsidR="000A1605" w:rsidRPr="00EB3B05">
        <w:rPr>
          <w:color w:val="000000" w:themeColor="text1"/>
        </w:rPr>
        <w:t xml:space="preserve">, </w:t>
      </w:r>
      <w:r>
        <w:rPr>
          <w:color w:val="000000" w:themeColor="text1"/>
        </w:rPr>
        <w:t>the notifier was unable to</w:t>
      </w:r>
      <w:r w:rsidR="00F01FCE" w:rsidRPr="00EB3B05">
        <w:rPr>
          <w:color w:val="000000" w:themeColor="text1"/>
        </w:rPr>
        <w:t xml:space="preserve"> make apparent how the Australian subsidiary has either caused or contributed to any harm being suffered by the descendants of the Oswald Weiss Estate.</w:t>
      </w:r>
    </w:p>
    <w:p w14:paraId="7B3B7D61" w14:textId="3195BEE9" w:rsidR="00055D4A" w:rsidRDefault="00F01FCE" w:rsidP="005E65C6">
      <w:pPr>
        <w:pStyle w:val="OutlineNumbered1"/>
        <w:numPr>
          <w:ilvl w:val="0"/>
          <w:numId w:val="34"/>
        </w:numPr>
        <w:rPr>
          <w:color w:val="000000" w:themeColor="text1"/>
        </w:rPr>
      </w:pPr>
      <w:r w:rsidRPr="00ED6527">
        <w:rPr>
          <w:color w:val="000000" w:themeColor="text1"/>
        </w:rPr>
        <w:t xml:space="preserve">The AusNCP is satisfied that the Australian subsidiary of the enterprise has </w:t>
      </w:r>
      <w:r w:rsidR="00EF1C33">
        <w:rPr>
          <w:color w:val="000000" w:themeColor="text1"/>
        </w:rPr>
        <w:t xml:space="preserve">sufficiently </w:t>
      </w:r>
      <w:r w:rsidRPr="00ED6527">
        <w:rPr>
          <w:color w:val="000000" w:themeColor="text1"/>
        </w:rPr>
        <w:t xml:space="preserve">engaged with the notifier, </w:t>
      </w:r>
      <w:r>
        <w:rPr>
          <w:color w:val="000000" w:themeColor="text1"/>
        </w:rPr>
        <w:t xml:space="preserve">by </w:t>
      </w:r>
      <w:r w:rsidRPr="00ED6527">
        <w:rPr>
          <w:color w:val="000000" w:themeColor="text1"/>
        </w:rPr>
        <w:t xml:space="preserve">providing </w:t>
      </w:r>
      <w:r w:rsidR="00EF1C33">
        <w:rPr>
          <w:color w:val="000000" w:themeColor="text1"/>
        </w:rPr>
        <w:t xml:space="preserve">him </w:t>
      </w:r>
      <w:r>
        <w:rPr>
          <w:color w:val="000000" w:themeColor="text1"/>
        </w:rPr>
        <w:t xml:space="preserve">with </w:t>
      </w:r>
      <w:r w:rsidRPr="00ED6527">
        <w:rPr>
          <w:color w:val="000000" w:themeColor="text1"/>
        </w:rPr>
        <w:t xml:space="preserve">information </w:t>
      </w:r>
      <w:r w:rsidR="00EF1C33">
        <w:rPr>
          <w:color w:val="000000" w:themeColor="text1"/>
        </w:rPr>
        <w:t xml:space="preserve">sourced from </w:t>
      </w:r>
      <w:r w:rsidR="003A6533">
        <w:rPr>
          <w:color w:val="000000" w:themeColor="text1"/>
        </w:rPr>
        <w:t>its</w:t>
      </w:r>
      <w:r w:rsidRPr="00535EE7">
        <w:rPr>
          <w:color w:val="000000" w:themeColor="text1"/>
        </w:rPr>
        <w:t xml:space="preserve"> </w:t>
      </w:r>
      <w:r w:rsidR="00EF1C33">
        <w:rPr>
          <w:color w:val="000000" w:themeColor="text1"/>
        </w:rPr>
        <w:t>German</w:t>
      </w:r>
      <w:r w:rsidR="00EF1C33" w:rsidRPr="00535EE7">
        <w:rPr>
          <w:color w:val="000000" w:themeColor="text1"/>
        </w:rPr>
        <w:t xml:space="preserve"> </w:t>
      </w:r>
      <w:r w:rsidRPr="00535EE7">
        <w:rPr>
          <w:color w:val="000000" w:themeColor="text1"/>
        </w:rPr>
        <w:t>head office.</w:t>
      </w:r>
    </w:p>
    <w:p w14:paraId="355C0741" w14:textId="074DE17A" w:rsidR="00E114AD" w:rsidRDefault="00E114AD" w:rsidP="00E114AD">
      <w:pPr>
        <w:pStyle w:val="OutlineNumbered1"/>
        <w:numPr>
          <w:ilvl w:val="0"/>
          <w:numId w:val="34"/>
        </w:numPr>
        <w:rPr>
          <w:color w:val="000000" w:themeColor="text1"/>
        </w:rPr>
      </w:pPr>
      <w:r w:rsidRPr="00FA6069">
        <w:rPr>
          <w:color w:val="000000" w:themeColor="text1"/>
        </w:rPr>
        <w:t>The AusNCP understands that the notifier may be able to access other avenues in Europe to pursue a financial settlement. To support the notifier in this regard, the AusNCP sought advice from its Governance and Advisory Board, relevant Australian Government agencies, the OECD and other NCPs.</w:t>
      </w:r>
      <w:r>
        <w:rPr>
          <w:color w:val="000000" w:themeColor="text1"/>
        </w:rPr>
        <w:t xml:space="preserve"> </w:t>
      </w:r>
      <w:r w:rsidR="002F0EA7">
        <w:rPr>
          <w:color w:val="000000" w:themeColor="text1"/>
        </w:rPr>
        <w:t>This information was conveyed to the notifier on 12 November 2019.</w:t>
      </w:r>
    </w:p>
    <w:p w14:paraId="0B153924" w14:textId="57B17F37" w:rsidR="00335107" w:rsidRDefault="00335107" w:rsidP="00DB45A6">
      <w:pPr>
        <w:pStyle w:val="OutlineNumbered1"/>
        <w:numPr>
          <w:ilvl w:val="0"/>
          <w:numId w:val="34"/>
        </w:numPr>
        <w:rPr>
          <w:color w:val="000000" w:themeColor="text1"/>
        </w:rPr>
      </w:pPr>
      <w:r>
        <w:rPr>
          <w:color w:val="000000" w:themeColor="text1"/>
        </w:rPr>
        <w:t>The</w:t>
      </w:r>
      <w:r w:rsidR="002D0741" w:rsidRPr="00DB45A6">
        <w:rPr>
          <w:color w:val="000000" w:themeColor="text1"/>
        </w:rPr>
        <w:t xml:space="preserve"> </w:t>
      </w:r>
      <w:r w:rsidR="00134697" w:rsidRPr="00DB45A6">
        <w:rPr>
          <w:color w:val="000000" w:themeColor="text1"/>
        </w:rPr>
        <w:t>I</w:t>
      </w:r>
      <w:r w:rsidR="002D0741" w:rsidRPr="00DB45A6">
        <w:rPr>
          <w:color w:val="000000" w:themeColor="text1"/>
        </w:rPr>
        <w:t xml:space="preserve">nitial </w:t>
      </w:r>
      <w:r w:rsidR="00134697" w:rsidRPr="00DB45A6">
        <w:rPr>
          <w:color w:val="000000" w:themeColor="text1"/>
        </w:rPr>
        <w:t>A</w:t>
      </w:r>
      <w:r w:rsidR="002D0741" w:rsidRPr="00DB45A6">
        <w:rPr>
          <w:color w:val="000000" w:themeColor="text1"/>
        </w:rPr>
        <w:t>ssessment</w:t>
      </w:r>
      <w:r>
        <w:rPr>
          <w:color w:val="000000" w:themeColor="text1"/>
        </w:rPr>
        <w:t xml:space="preserve"> process included</w:t>
      </w:r>
      <w:r w:rsidR="00134697" w:rsidRPr="00DB45A6">
        <w:rPr>
          <w:color w:val="000000" w:themeColor="text1"/>
        </w:rPr>
        <w:t xml:space="preserve"> </w:t>
      </w:r>
      <w:r>
        <w:rPr>
          <w:color w:val="000000" w:themeColor="text1"/>
        </w:rPr>
        <w:t xml:space="preserve">contact with </w:t>
      </w:r>
      <w:r w:rsidR="002D0741" w:rsidRPr="00DB45A6">
        <w:rPr>
          <w:color w:val="000000" w:themeColor="text1"/>
        </w:rPr>
        <w:t xml:space="preserve">the enterprise to notify them </w:t>
      </w:r>
      <w:r w:rsidR="00134697" w:rsidRPr="00DB45A6">
        <w:rPr>
          <w:color w:val="000000" w:themeColor="text1"/>
        </w:rPr>
        <w:t xml:space="preserve">a </w:t>
      </w:r>
      <w:r w:rsidR="002D0741" w:rsidRPr="00DB45A6">
        <w:rPr>
          <w:color w:val="000000" w:themeColor="text1"/>
        </w:rPr>
        <w:t>complaint</w:t>
      </w:r>
      <w:r w:rsidR="00134697" w:rsidRPr="00DB45A6">
        <w:rPr>
          <w:color w:val="000000" w:themeColor="text1"/>
        </w:rPr>
        <w:t xml:space="preserve"> had been filed;</w:t>
      </w:r>
      <w:r w:rsidR="002D0741" w:rsidRPr="00DB45A6">
        <w:rPr>
          <w:color w:val="000000" w:themeColor="text1"/>
        </w:rPr>
        <w:t xml:space="preserve"> provid</w:t>
      </w:r>
      <w:r w:rsidR="001E7F5E">
        <w:rPr>
          <w:color w:val="000000" w:themeColor="text1"/>
        </w:rPr>
        <w:t>e</w:t>
      </w:r>
      <w:r>
        <w:rPr>
          <w:color w:val="000000" w:themeColor="text1"/>
        </w:rPr>
        <w:t xml:space="preserve"> </w:t>
      </w:r>
      <w:r w:rsidR="002D0741" w:rsidRPr="00DB45A6">
        <w:rPr>
          <w:color w:val="000000" w:themeColor="text1"/>
        </w:rPr>
        <w:t>a copy of the complaint</w:t>
      </w:r>
      <w:r w:rsidR="00EF1C33">
        <w:rPr>
          <w:color w:val="000000" w:themeColor="text1"/>
        </w:rPr>
        <w:t xml:space="preserve"> and subsequent information provided by the notifier</w:t>
      </w:r>
      <w:r w:rsidR="00134697" w:rsidRPr="00DB45A6">
        <w:rPr>
          <w:color w:val="000000" w:themeColor="text1"/>
        </w:rPr>
        <w:t>;</w:t>
      </w:r>
      <w:r w:rsidR="002D0741" w:rsidRPr="00DB45A6">
        <w:rPr>
          <w:color w:val="000000" w:themeColor="text1"/>
        </w:rPr>
        <w:t xml:space="preserve"> and seek information regarding </w:t>
      </w:r>
      <w:r>
        <w:rPr>
          <w:color w:val="000000" w:themeColor="text1"/>
        </w:rPr>
        <w:t xml:space="preserve">their </w:t>
      </w:r>
      <w:r w:rsidR="002D0741" w:rsidRPr="00DB45A6">
        <w:rPr>
          <w:color w:val="000000" w:themeColor="text1"/>
        </w:rPr>
        <w:t xml:space="preserve">communication with </w:t>
      </w:r>
      <w:r w:rsidR="00134697" w:rsidRPr="00DB45A6">
        <w:rPr>
          <w:color w:val="000000" w:themeColor="text1"/>
        </w:rPr>
        <w:t>the notifier on this matter</w:t>
      </w:r>
      <w:r w:rsidR="002D0741" w:rsidRPr="00DB45A6">
        <w:rPr>
          <w:color w:val="000000" w:themeColor="text1"/>
        </w:rPr>
        <w:t xml:space="preserve"> </w:t>
      </w:r>
      <w:r w:rsidR="001220D3">
        <w:rPr>
          <w:color w:val="000000" w:themeColor="text1"/>
        </w:rPr>
        <w:t>to date</w:t>
      </w:r>
      <w:r w:rsidR="001220D3">
        <w:rPr>
          <w:rStyle w:val="FootnoteReference"/>
          <w:color w:val="000000" w:themeColor="text1"/>
        </w:rPr>
        <w:footnoteReference w:id="4"/>
      </w:r>
      <w:r w:rsidR="002D0741" w:rsidRPr="00DB45A6">
        <w:rPr>
          <w:color w:val="000000" w:themeColor="text1"/>
        </w:rPr>
        <w:t xml:space="preserve">. </w:t>
      </w:r>
    </w:p>
    <w:p w14:paraId="0D94E245" w14:textId="4DDFFD12" w:rsidR="002D0741" w:rsidRDefault="00875688" w:rsidP="00DB45A6">
      <w:pPr>
        <w:pStyle w:val="OutlineNumbered1"/>
        <w:numPr>
          <w:ilvl w:val="0"/>
          <w:numId w:val="34"/>
        </w:numPr>
        <w:rPr>
          <w:color w:val="000000" w:themeColor="text1"/>
        </w:rPr>
      </w:pPr>
      <w:r w:rsidRPr="00DB45A6">
        <w:rPr>
          <w:color w:val="000000" w:themeColor="text1"/>
        </w:rPr>
        <w:t>The</w:t>
      </w:r>
      <w:r w:rsidR="002D0741" w:rsidRPr="00DB45A6">
        <w:rPr>
          <w:color w:val="000000" w:themeColor="text1"/>
        </w:rPr>
        <w:t xml:space="preserve"> AusNCP </w:t>
      </w:r>
      <w:r w:rsidRPr="00DB45A6">
        <w:rPr>
          <w:color w:val="000000" w:themeColor="text1"/>
        </w:rPr>
        <w:t xml:space="preserve">consulted with </w:t>
      </w:r>
      <w:r w:rsidR="002D0741" w:rsidRPr="00DB45A6">
        <w:rPr>
          <w:color w:val="000000" w:themeColor="text1"/>
        </w:rPr>
        <w:t xml:space="preserve">the US NCP, </w:t>
      </w:r>
      <w:r w:rsidR="00134697" w:rsidRPr="00DB45A6">
        <w:rPr>
          <w:color w:val="000000" w:themeColor="text1"/>
        </w:rPr>
        <w:t xml:space="preserve">the </w:t>
      </w:r>
      <w:r w:rsidR="002D0741" w:rsidRPr="00DB45A6">
        <w:rPr>
          <w:color w:val="000000" w:themeColor="text1"/>
        </w:rPr>
        <w:t>German NCP</w:t>
      </w:r>
      <w:r w:rsidR="003D6648">
        <w:rPr>
          <w:color w:val="000000" w:themeColor="text1"/>
        </w:rPr>
        <w:t xml:space="preserve"> and</w:t>
      </w:r>
      <w:r w:rsidR="002D0741" w:rsidRPr="00DB45A6">
        <w:rPr>
          <w:color w:val="000000" w:themeColor="text1"/>
        </w:rPr>
        <w:t xml:space="preserve"> </w:t>
      </w:r>
      <w:r w:rsidR="00134697" w:rsidRPr="00DB45A6">
        <w:rPr>
          <w:color w:val="000000" w:themeColor="text1"/>
        </w:rPr>
        <w:t xml:space="preserve">the </w:t>
      </w:r>
      <w:r w:rsidR="002D0741" w:rsidRPr="00DB45A6">
        <w:rPr>
          <w:color w:val="000000" w:themeColor="text1"/>
        </w:rPr>
        <w:t xml:space="preserve">Czech </w:t>
      </w:r>
      <w:r w:rsidR="002D0741" w:rsidRPr="004A6DE1">
        <w:rPr>
          <w:color w:val="000000" w:themeColor="text1"/>
        </w:rPr>
        <w:t>NCP</w:t>
      </w:r>
      <w:r w:rsidRPr="004A6DE1">
        <w:rPr>
          <w:color w:val="000000" w:themeColor="text1"/>
        </w:rPr>
        <w:t xml:space="preserve">, particularly regarding the scope of the Guidelines and </w:t>
      </w:r>
      <w:r w:rsidR="003B2BBA">
        <w:rPr>
          <w:color w:val="000000" w:themeColor="text1"/>
        </w:rPr>
        <w:t>discussed the possibility</w:t>
      </w:r>
      <w:r w:rsidR="00A17A41" w:rsidRPr="004A6DE1">
        <w:rPr>
          <w:color w:val="000000" w:themeColor="text1"/>
        </w:rPr>
        <w:t xml:space="preserve"> to transfer the case</w:t>
      </w:r>
      <w:r w:rsidR="00D77199">
        <w:rPr>
          <w:color w:val="000000" w:themeColor="text1"/>
        </w:rPr>
        <w:t>.</w:t>
      </w:r>
      <w:r w:rsidR="003D6648" w:rsidRPr="004A6DE1">
        <w:rPr>
          <w:rStyle w:val="FootnoteReference"/>
          <w:color w:val="000000" w:themeColor="text1"/>
        </w:rPr>
        <w:footnoteReference w:id="5"/>
      </w:r>
      <w:r w:rsidR="0012715E" w:rsidRPr="004A6DE1">
        <w:rPr>
          <w:color w:val="000000" w:themeColor="text1"/>
        </w:rPr>
        <w:t xml:space="preserve"> </w:t>
      </w:r>
      <w:r w:rsidR="003D6648" w:rsidRPr="004A6DE1">
        <w:rPr>
          <w:color w:val="000000" w:themeColor="text1"/>
        </w:rPr>
        <w:t>The AusNCP also consulted with the OECD Secretariat in the early stages of the Initial Assessment, with regard to precedent cases of this nature.</w:t>
      </w:r>
    </w:p>
    <w:p w14:paraId="24FC86FD" w14:textId="40427FB1" w:rsidR="00526578" w:rsidRDefault="00526578" w:rsidP="00526578">
      <w:pPr>
        <w:pStyle w:val="OutlineNumbered1"/>
        <w:ind w:left="360"/>
        <w:rPr>
          <w:color w:val="000000" w:themeColor="text1"/>
        </w:rPr>
      </w:pPr>
    </w:p>
    <w:p w14:paraId="52298D67" w14:textId="7AC5BB6E" w:rsidR="00526578" w:rsidRDefault="00526578" w:rsidP="00526578">
      <w:pPr>
        <w:pStyle w:val="OutlineNumbered1"/>
        <w:ind w:left="360"/>
        <w:rPr>
          <w:color w:val="000000" w:themeColor="text1"/>
        </w:rPr>
      </w:pPr>
    </w:p>
    <w:p w14:paraId="0EB4519E" w14:textId="77777777" w:rsidR="00526578" w:rsidRPr="00DB45A6" w:rsidRDefault="00526578" w:rsidP="00526578">
      <w:pPr>
        <w:pStyle w:val="OutlineNumbered1"/>
        <w:ind w:left="360"/>
        <w:rPr>
          <w:color w:val="000000" w:themeColor="text1"/>
        </w:rPr>
      </w:pPr>
    </w:p>
    <w:p w14:paraId="059CBF48" w14:textId="291F6580" w:rsidR="00604409" w:rsidRPr="00DB45A6" w:rsidRDefault="001E5193" w:rsidP="001E5193">
      <w:pPr>
        <w:pStyle w:val="OutlineNumbered1"/>
        <w:numPr>
          <w:ilvl w:val="0"/>
          <w:numId w:val="34"/>
        </w:numPr>
        <w:rPr>
          <w:color w:val="000000" w:themeColor="text1"/>
        </w:rPr>
      </w:pPr>
      <w:r w:rsidRPr="001E5193">
        <w:rPr>
          <w:color w:val="000000" w:themeColor="text1"/>
        </w:rPr>
        <w:t>As the AusNCP’s current procedures entered into force during the AusNCP’s c</w:t>
      </w:r>
      <w:r>
        <w:rPr>
          <w:color w:val="000000" w:themeColor="text1"/>
        </w:rPr>
        <w:t>onsideration of this case, the I</w:t>
      </w:r>
      <w:r w:rsidRPr="001E5193">
        <w:rPr>
          <w:color w:val="000000" w:themeColor="text1"/>
        </w:rPr>
        <w:t xml:space="preserve">nitial </w:t>
      </w:r>
      <w:r>
        <w:rPr>
          <w:color w:val="000000" w:themeColor="text1"/>
        </w:rPr>
        <w:t>A</w:t>
      </w:r>
      <w:r w:rsidRPr="001E5193">
        <w:rPr>
          <w:color w:val="000000" w:themeColor="text1"/>
        </w:rPr>
        <w:t>ssessment gave consideration to relevant parts of the revised procedures</w:t>
      </w:r>
      <w:r w:rsidR="00236DDD">
        <w:rPr>
          <w:color w:val="000000" w:themeColor="text1"/>
        </w:rPr>
        <w:t xml:space="preserve">, including provision to identify the enterprise in this </w:t>
      </w:r>
      <w:proofErr w:type="gramStart"/>
      <w:r w:rsidR="00236DDD">
        <w:rPr>
          <w:color w:val="000000" w:themeColor="text1"/>
        </w:rPr>
        <w:t>statement</w:t>
      </w:r>
      <w:proofErr w:type="gramEnd"/>
      <w:r w:rsidR="00236DDD">
        <w:rPr>
          <w:rStyle w:val="FootnoteReference"/>
          <w:color w:val="000000" w:themeColor="text1"/>
        </w:rPr>
        <w:footnoteReference w:id="6"/>
      </w:r>
      <w:r w:rsidRPr="001E5193">
        <w:rPr>
          <w:color w:val="000000" w:themeColor="text1"/>
        </w:rPr>
        <w:t xml:space="preserve">. The AusNCP followed the new complaint procedures in all steps, except that the decision maker for this case remains the Treasury, as the Independent Examiner had not </w:t>
      </w:r>
      <w:r w:rsidR="00367AD1">
        <w:rPr>
          <w:color w:val="000000" w:themeColor="text1"/>
        </w:rPr>
        <w:t>commenced</w:t>
      </w:r>
      <w:r w:rsidRPr="001E5193">
        <w:rPr>
          <w:color w:val="000000" w:themeColor="text1"/>
        </w:rPr>
        <w:t xml:space="preserve"> at the time the complaint was received. The AusNCP Governance and Advisory Board was also consulted in the formulation of this</w:t>
      </w:r>
      <w:r>
        <w:rPr>
          <w:color w:val="000000" w:themeColor="text1"/>
        </w:rPr>
        <w:t xml:space="preserve"> </w:t>
      </w:r>
      <w:r w:rsidR="00564CC1" w:rsidRPr="00DB45A6">
        <w:rPr>
          <w:color w:val="000000" w:themeColor="text1"/>
        </w:rPr>
        <w:t>assessment</w:t>
      </w:r>
      <w:r w:rsidR="00BC7639" w:rsidRPr="00DB45A6">
        <w:rPr>
          <w:rStyle w:val="FootnoteReference"/>
          <w:color w:val="000000" w:themeColor="text1"/>
        </w:rPr>
        <w:footnoteReference w:id="7"/>
      </w:r>
      <w:r w:rsidR="00564CC1" w:rsidRPr="00DB45A6">
        <w:rPr>
          <w:color w:val="000000" w:themeColor="text1"/>
        </w:rPr>
        <w:t>.</w:t>
      </w:r>
    </w:p>
    <w:p w14:paraId="68D57D0D" w14:textId="40C2F998" w:rsidR="009C08BB" w:rsidRPr="00DB45A6" w:rsidRDefault="009C08BB" w:rsidP="00DB45A6">
      <w:pPr>
        <w:pStyle w:val="OutlineNumbered1"/>
        <w:numPr>
          <w:ilvl w:val="0"/>
          <w:numId w:val="34"/>
        </w:numPr>
        <w:rPr>
          <w:color w:val="000000" w:themeColor="text1"/>
        </w:rPr>
      </w:pPr>
      <w:r w:rsidRPr="00DB45A6">
        <w:rPr>
          <w:color w:val="000000" w:themeColor="text1"/>
        </w:rPr>
        <w:t xml:space="preserve">The AusNCP notes that </w:t>
      </w:r>
      <w:r w:rsidR="00D73FB7">
        <w:rPr>
          <w:color w:val="000000" w:themeColor="text1"/>
        </w:rPr>
        <w:t>this outcome</w:t>
      </w:r>
      <w:r w:rsidR="00A078D7">
        <w:rPr>
          <w:color w:val="000000" w:themeColor="text1"/>
        </w:rPr>
        <w:t xml:space="preserve"> </w:t>
      </w:r>
      <w:r w:rsidRPr="00DB45A6">
        <w:rPr>
          <w:color w:val="000000" w:themeColor="text1"/>
        </w:rPr>
        <w:t>is not a</w:t>
      </w:r>
      <w:r w:rsidR="00ED4DB0">
        <w:rPr>
          <w:color w:val="000000" w:themeColor="text1"/>
        </w:rPr>
        <w:t xml:space="preserve"> </w:t>
      </w:r>
      <w:r w:rsidR="00D73FB7">
        <w:rPr>
          <w:color w:val="000000" w:themeColor="text1"/>
        </w:rPr>
        <w:t>determination</w:t>
      </w:r>
      <w:r w:rsidR="00ED4DB0">
        <w:rPr>
          <w:color w:val="000000" w:themeColor="text1"/>
        </w:rPr>
        <w:t xml:space="preserve"> </w:t>
      </w:r>
      <w:r w:rsidRPr="00DB45A6">
        <w:rPr>
          <w:color w:val="000000" w:themeColor="text1"/>
        </w:rPr>
        <w:t>on the merits of the claims presented</w:t>
      </w:r>
      <w:r w:rsidR="00472903" w:rsidRPr="00DB45A6">
        <w:rPr>
          <w:color w:val="000000" w:themeColor="text1"/>
        </w:rPr>
        <w:t>,</w:t>
      </w:r>
      <w:r w:rsidR="002D0741" w:rsidRPr="00DB45A6">
        <w:rPr>
          <w:color w:val="000000" w:themeColor="text1"/>
        </w:rPr>
        <w:t xml:space="preserve"> nor is it an assessment of whether the enterprise</w:t>
      </w:r>
      <w:r w:rsidR="00367AD1">
        <w:rPr>
          <w:color w:val="000000" w:themeColor="text1"/>
        </w:rPr>
        <w:t>’</w:t>
      </w:r>
      <w:r w:rsidR="002D0741" w:rsidRPr="00DB45A6">
        <w:rPr>
          <w:color w:val="000000" w:themeColor="text1"/>
        </w:rPr>
        <w:t>s actions are consistent with the OECD Guidelines</w:t>
      </w:r>
      <w:r w:rsidR="00564CC1">
        <w:rPr>
          <w:color w:val="000000" w:themeColor="text1"/>
        </w:rPr>
        <w:t>.</w:t>
      </w:r>
    </w:p>
    <w:p w14:paraId="648A6D58" w14:textId="4296A7DF" w:rsidR="0028316F" w:rsidRPr="00B75B16" w:rsidRDefault="009C08BB" w:rsidP="00DB45A6">
      <w:pPr>
        <w:pStyle w:val="OutlineNumbered1"/>
      </w:pPr>
      <w:r w:rsidRPr="00DB45A6">
        <w:rPr>
          <w:color w:val="000000" w:themeColor="text1"/>
        </w:rPr>
        <w:t xml:space="preserve">This statement is available on the AusNCP website at </w:t>
      </w:r>
      <w:hyperlink r:id="rId19" w:history="1">
        <w:r w:rsidR="002F2AED" w:rsidRPr="00445769">
          <w:rPr>
            <w:rStyle w:val="Hyperlink"/>
            <w:b w:val="0"/>
          </w:rPr>
          <w:t>www.ausncp.gov.au</w:t>
        </w:r>
      </w:hyperlink>
      <w:r w:rsidRPr="00B75B16">
        <w:t>.</w:t>
      </w:r>
    </w:p>
    <w:p w14:paraId="431184EA" w14:textId="77777777" w:rsidR="000B3726" w:rsidRDefault="00457337" w:rsidP="00246BD5">
      <w:pPr>
        <w:jc w:val="left"/>
      </w:pPr>
      <w:r>
        <w:rPr>
          <w:color w:val="000000" w:themeColor="text1"/>
        </w:rPr>
        <w:br/>
      </w:r>
      <w:r w:rsidR="00D75A72" w:rsidRPr="00CF3CC5">
        <w:rPr>
          <w:color w:val="000000" w:themeColor="text1"/>
        </w:rPr>
        <w:t>Kate Lynch</w:t>
      </w:r>
      <w:r w:rsidR="00CF3CC5" w:rsidRPr="00CF3CC5">
        <w:rPr>
          <w:color w:val="000000" w:themeColor="text1"/>
        </w:rPr>
        <w:t xml:space="preserve"> </w:t>
      </w:r>
      <w:r w:rsidR="009C08BB" w:rsidRPr="00DB45A6">
        <w:rPr>
          <w:color w:val="000000" w:themeColor="text1"/>
          <w:highlight w:val="yellow"/>
        </w:rPr>
        <w:br/>
      </w:r>
      <w:r w:rsidR="009C08BB" w:rsidRPr="00DB45A6">
        <w:rPr>
          <w:color w:val="000000" w:themeColor="text1"/>
        </w:rPr>
        <w:t>Australian National Contact Point</w:t>
      </w:r>
      <w:r w:rsidR="009C08BB" w:rsidRPr="00DB45A6">
        <w:rPr>
          <w:color w:val="000000" w:themeColor="text1"/>
        </w:rPr>
        <w:br/>
        <w:t>OECD Guidelines for Multinational Enterprises</w:t>
      </w:r>
      <w:r w:rsidR="00246BD5">
        <w:rPr>
          <w:color w:val="000000" w:themeColor="text1"/>
        </w:rPr>
        <w:br/>
      </w:r>
      <w:r w:rsidR="00D73FB7">
        <w:rPr>
          <w:color w:val="000000" w:themeColor="text1"/>
        </w:rPr>
        <w:t>c/-</w:t>
      </w:r>
      <w:r w:rsidR="009C08BB" w:rsidRPr="00DB45A6">
        <w:rPr>
          <w:color w:val="000000" w:themeColor="text1"/>
        </w:rPr>
        <w:t>Australian Treasury</w:t>
      </w:r>
      <w:r w:rsidR="009C08BB" w:rsidRPr="00DB45A6">
        <w:rPr>
          <w:color w:val="FF0000"/>
        </w:rPr>
        <w:br/>
      </w:r>
      <w:r w:rsidR="009C08BB" w:rsidRPr="00B75B16">
        <w:t xml:space="preserve">Email: </w:t>
      </w:r>
      <w:hyperlink r:id="rId20" w:history="1">
        <w:r w:rsidR="009C08BB" w:rsidRPr="00457337">
          <w:rPr>
            <w:rStyle w:val="Hyperlink"/>
            <w:b w:val="0"/>
          </w:rPr>
          <w:t>Secretariat@AusNCP.gov.au</w:t>
        </w:r>
      </w:hyperlink>
      <w:r w:rsidR="009C08BB" w:rsidRPr="005E5199">
        <w:t xml:space="preserve">  </w:t>
      </w:r>
      <w:bookmarkStart w:id="2" w:name="_Toc444006373"/>
      <w:bookmarkStart w:id="3" w:name="_Toc461443213"/>
    </w:p>
    <w:p w14:paraId="3D3ACF4E" w14:textId="2D40D0C9" w:rsidR="002D0741" w:rsidRDefault="002D0741" w:rsidP="00246BD5">
      <w:pPr>
        <w:jc w:val="left"/>
        <w:rPr>
          <w:rFonts w:ascii="Calibri" w:hAnsi="Calibri" w:cs="Arial"/>
          <w:b/>
          <w:iCs/>
          <w:color w:val="5B5E60"/>
          <w:kern w:val="32"/>
          <w:sz w:val="36"/>
          <w:szCs w:val="28"/>
        </w:rPr>
      </w:pPr>
    </w:p>
    <w:p w14:paraId="330C5381" w14:textId="77777777" w:rsidR="000B3726" w:rsidRDefault="000B3726">
      <w:pPr>
        <w:spacing w:after="200" w:line="276" w:lineRule="auto"/>
        <w:jc w:val="left"/>
        <w:rPr>
          <w:rFonts w:ascii="Calibri" w:hAnsi="Calibri" w:cs="Arial"/>
          <w:b/>
          <w:iCs/>
          <w:color w:val="5B5E60"/>
          <w:kern w:val="32"/>
          <w:sz w:val="36"/>
          <w:szCs w:val="28"/>
        </w:rPr>
      </w:pPr>
      <w:bookmarkStart w:id="4" w:name="_Toc22811206"/>
      <w:bookmarkEnd w:id="2"/>
      <w:bookmarkEnd w:id="3"/>
      <w:r>
        <w:br w:type="page"/>
      </w:r>
    </w:p>
    <w:p w14:paraId="692E177E" w14:textId="594123EE" w:rsidR="009C08BB" w:rsidRPr="005E5199" w:rsidRDefault="009C08BB" w:rsidP="009C08BB">
      <w:pPr>
        <w:pStyle w:val="Heading2"/>
      </w:pPr>
      <w:r w:rsidRPr="005E5199">
        <w:t>Publications</w:t>
      </w:r>
      <w:bookmarkEnd w:id="4"/>
      <w:r w:rsidRPr="005E5199">
        <w:t xml:space="preserve"> </w:t>
      </w:r>
    </w:p>
    <w:p w14:paraId="28483A5B" w14:textId="77777777" w:rsidR="009C08BB" w:rsidRPr="00457337" w:rsidRDefault="00706C38" w:rsidP="009C08BB">
      <w:pPr>
        <w:rPr>
          <w:rStyle w:val="Hyperlink"/>
          <w:b w:val="0"/>
        </w:rPr>
      </w:pPr>
      <w:hyperlink r:id="rId21" w:history="1">
        <w:r w:rsidR="009C08BB" w:rsidRPr="00457337">
          <w:rPr>
            <w:rStyle w:val="Hyperlink"/>
            <w:b w:val="0"/>
          </w:rPr>
          <w:t>http://mneguidelines.oecd.org/database/</w:t>
        </w:r>
      </w:hyperlink>
      <w:r w:rsidR="009C08BB" w:rsidRPr="00457337">
        <w:rPr>
          <w:rStyle w:val="Hyperlink"/>
          <w:b w:val="0"/>
        </w:rPr>
        <w:t xml:space="preserve"> </w:t>
      </w:r>
    </w:p>
    <w:p w14:paraId="187684FE" w14:textId="77777777" w:rsidR="009C08BB" w:rsidRPr="00457337" w:rsidRDefault="00706C38" w:rsidP="009C08BB">
      <w:pPr>
        <w:rPr>
          <w:rStyle w:val="Hyperlink"/>
          <w:b w:val="0"/>
        </w:rPr>
      </w:pPr>
      <w:hyperlink r:id="rId22" w:history="1">
        <w:r w:rsidR="009C08BB" w:rsidRPr="00457337">
          <w:rPr>
            <w:rStyle w:val="Hyperlink"/>
            <w:b w:val="0"/>
          </w:rPr>
          <w:t>http://www.ausncp.gov.au/content/Content.aspx?doc=publications.htm</w:t>
        </w:r>
      </w:hyperlink>
    </w:p>
    <w:p w14:paraId="15D8C58A" w14:textId="77777777" w:rsidR="009C08BB" w:rsidRPr="005E5199" w:rsidRDefault="009C08BB" w:rsidP="009C08BB"/>
    <w:p w14:paraId="651077A8" w14:textId="77777777" w:rsidR="009C08BB" w:rsidRPr="005E5199" w:rsidRDefault="009C08BB" w:rsidP="00D73FB7">
      <w:pPr>
        <w:pStyle w:val="Heading2"/>
      </w:pPr>
      <w:bookmarkStart w:id="5" w:name="_Toc22811207"/>
      <w:r w:rsidRPr="005E5199">
        <w:t>Schedule of events</w:t>
      </w:r>
      <w:bookmarkEnd w:id="5"/>
      <w:r w:rsidRPr="005E5199">
        <w:t xml:space="preserve"> </w:t>
      </w:r>
    </w:p>
    <w:tbl>
      <w:tblPr>
        <w:tblW w:w="9322" w:type="dxa"/>
        <w:tblLayout w:type="fixed"/>
        <w:tblLook w:val="04A0" w:firstRow="1" w:lastRow="0" w:firstColumn="1" w:lastColumn="0" w:noHBand="0" w:noVBand="1"/>
      </w:tblPr>
      <w:tblGrid>
        <w:gridCol w:w="7230"/>
        <w:gridCol w:w="2092"/>
      </w:tblGrid>
      <w:tr w:rsidR="009C08BB" w:rsidRPr="005E5199" w14:paraId="50F3166A" w14:textId="77777777" w:rsidTr="007127D3">
        <w:trPr>
          <w:trHeight w:val="275"/>
        </w:trPr>
        <w:tc>
          <w:tcPr>
            <w:tcW w:w="7230" w:type="dxa"/>
            <w:shd w:val="clear" w:color="auto" w:fill="3A87C8"/>
          </w:tcPr>
          <w:p w14:paraId="43CB5E58" w14:textId="63DD9793" w:rsidR="009C08BB" w:rsidRPr="005E5199" w:rsidRDefault="00476D06" w:rsidP="00CE33D8">
            <w:pPr>
              <w:pStyle w:val="TableColumnHeadingLeft-White"/>
            </w:pPr>
            <w:r>
              <w:t>Submission</w:t>
            </w:r>
          </w:p>
        </w:tc>
        <w:tc>
          <w:tcPr>
            <w:tcW w:w="2092" w:type="dxa"/>
            <w:shd w:val="clear" w:color="auto" w:fill="3A87C8"/>
          </w:tcPr>
          <w:p w14:paraId="6BEF288A" w14:textId="77777777" w:rsidR="009C08BB" w:rsidRPr="005E5199" w:rsidRDefault="009C08BB" w:rsidP="00DC0D16">
            <w:pPr>
              <w:pStyle w:val="TableColumnHeadingCentred"/>
              <w:jc w:val="left"/>
            </w:pPr>
            <w:r w:rsidRPr="005E5199">
              <w:t>Date</w:t>
            </w:r>
          </w:p>
        </w:tc>
      </w:tr>
      <w:tr w:rsidR="009C08BB" w:rsidRPr="005E5199" w14:paraId="2F8B6ECB" w14:textId="77777777" w:rsidTr="007127D3">
        <w:tc>
          <w:tcPr>
            <w:tcW w:w="7230" w:type="dxa"/>
            <w:shd w:val="clear" w:color="auto" w:fill="F2F2F2" w:themeFill="background1" w:themeFillShade="F2"/>
          </w:tcPr>
          <w:p w14:paraId="18AFCA16" w14:textId="77777777" w:rsidR="009C08BB" w:rsidRPr="005E5199" w:rsidRDefault="009C08BB" w:rsidP="00CE33D8">
            <w:pPr>
              <w:pStyle w:val="TableTextLeft-Bullet"/>
            </w:pPr>
            <w:r w:rsidRPr="005E5199">
              <w:t>Complaint submitted to the AusNCP.</w:t>
            </w:r>
          </w:p>
        </w:tc>
        <w:tc>
          <w:tcPr>
            <w:tcW w:w="2092" w:type="dxa"/>
            <w:shd w:val="clear" w:color="auto" w:fill="F2F2F2" w:themeFill="background1" w:themeFillShade="F2"/>
          </w:tcPr>
          <w:p w14:paraId="2AE85ED9" w14:textId="20E53BC1" w:rsidR="009C08BB" w:rsidRPr="005E5199" w:rsidRDefault="002D0741" w:rsidP="007622FB">
            <w:pPr>
              <w:pStyle w:val="TableTextCentered"/>
              <w:jc w:val="left"/>
            </w:pPr>
            <w:r>
              <w:t>14 July 2019</w:t>
            </w:r>
          </w:p>
        </w:tc>
      </w:tr>
      <w:tr w:rsidR="009C08BB" w:rsidRPr="005E5199" w14:paraId="6A45B7C0" w14:textId="77777777" w:rsidTr="007127D3">
        <w:tc>
          <w:tcPr>
            <w:tcW w:w="7230" w:type="dxa"/>
            <w:shd w:val="clear" w:color="auto" w:fill="FFFFFF" w:themeFill="background1"/>
          </w:tcPr>
          <w:p w14:paraId="132631EC" w14:textId="68226FEA" w:rsidR="009C08BB" w:rsidRPr="005E5199" w:rsidRDefault="009C08BB" w:rsidP="00DD77D9">
            <w:pPr>
              <w:pStyle w:val="TableTextLeft-Bullet"/>
            </w:pPr>
            <w:r w:rsidRPr="005E5199">
              <w:t>Complaint acknowledged by the AusNCP</w:t>
            </w:r>
            <w:r w:rsidR="00E27D38">
              <w:t xml:space="preserve"> and further information sought</w:t>
            </w:r>
            <w:r w:rsidR="00DD77D9">
              <w:t>.</w:t>
            </w:r>
          </w:p>
        </w:tc>
        <w:tc>
          <w:tcPr>
            <w:tcW w:w="2092" w:type="dxa"/>
            <w:shd w:val="clear" w:color="auto" w:fill="FFFFFF" w:themeFill="background1"/>
          </w:tcPr>
          <w:p w14:paraId="3B55EBD9" w14:textId="15321AF5" w:rsidR="009C08BB" w:rsidRPr="005E5199" w:rsidRDefault="002D0741" w:rsidP="007622FB">
            <w:pPr>
              <w:pStyle w:val="TableTextCentered"/>
              <w:jc w:val="left"/>
            </w:pPr>
            <w:r>
              <w:t>19 July 2019</w:t>
            </w:r>
          </w:p>
        </w:tc>
      </w:tr>
      <w:tr w:rsidR="00DD77D9" w:rsidRPr="005E5199" w14:paraId="31EB19C7" w14:textId="77777777" w:rsidTr="007127D3">
        <w:tc>
          <w:tcPr>
            <w:tcW w:w="7230" w:type="dxa"/>
            <w:shd w:val="clear" w:color="auto" w:fill="F2F2F2" w:themeFill="background1" w:themeFillShade="F2"/>
          </w:tcPr>
          <w:p w14:paraId="32032D61" w14:textId="2F70455D" w:rsidR="00DD77D9" w:rsidRDefault="00DD77D9" w:rsidP="006A1D20">
            <w:pPr>
              <w:pStyle w:val="TableTextLeft-Bullet"/>
            </w:pPr>
            <w:r>
              <w:t>AusNCP notified the MNE</w:t>
            </w:r>
            <w:r w:rsidR="006A1D20">
              <w:t>.</w:t>
            </w:r>
          </w:p>
        </w:tc>
        <w:tc>
          <w:tcPr>
            <w:tcW w:w="2092" w:type="dxa"/>
            <w:shd w:val="clear" w:color="auto" w:fill="F2F2F2" w:themeFill="background1" w:themeFillShade="F2"/>
          </w:tcPr>
          <w:p w14:paraId="3EF0AB5E" w14:textId="1FADE521" w:rsidR="00DD77D9" w:rsidRDefault="00DD77D9" w:rsidP="00DD77D9">
            <w:pPr>
              <w:pStyle w:val="TableTextCentered"/>
              <w:jc w:val="left"/>
            </w:pPr>
            <w:r>
              <w:t>12 August 2019</w:t>
            </w:r>
          </w:p>
        </w:tc>
      </w:tr>
      <w:tr w:rsidR="00DD77D9" w:rsidRPr="005E5199" w14:paraId="5E868C07" w14:textId="77777777" w:rsidTr="007127D3">
        <w:tc>
          <w:tcPr>
            <w:tcW w:w="7230" w:type="dxa"/>
            <w:shd w:val="clear" w:color="auto" w:fill="FFFFFF" w:themeFill="background1"/>
          </w:tcPr>
          <w:p w14:paraId="1B07AC0F" w14:textId="743E9382" w:rsidR="00DD77D9" w:rsidRPr="005E5199" w:rsidRDefault="00DD77D9" w:rsidP="00DD77D9">
            <w:pPr>
              <w:pStyle w:val="TableTextLeft-Bullet"/>
            </w:pPr>
            <w:r>
              <w:t>Governance and Advisory Board notified by the AusNCP.</w:t>
            </w:r>
          </w:p>
        </w:tc>
        <w:tc>
          <w:tcPr>
            <w:tcW w:w="2092" w:type="dxa"/>
            <w:shd w:val="clear" w:color="auto" w:fill="FFFFFF" w:themeFill="background1"/>
          </w:tcPr>
          <w:p w14:paraId="10606EC7" w14:textId="28CDA4F8" w:rsidR="00DD77D9" w:rsidRPr="005E5199" w:rsidDel="002D0741" w:rsidRDefault="00DD77D9" w:rsidP="00DD77D9">
            <w:pPr>
              <w:pStyle w:val="TableTextCentered"/>
              <w:jc w:val="left"/>
            </w:pPr>
            <w:r>
              <w:t>19 August 2019</w:t>
            </w:r>
          </w:p>
        </w:tc>
      </w:tr>
      <w:tr w:rsidR="00DD77D9" w:rsidRPr="005E5199" w14:paraId="20CE973F" w14:textId="77777777" w:rsidTr="007127D3">
        <w:trPr>
          <w:trHeight w:val="275"/>
        </w:trPr>
        <w:tc>
          <w:tcPr>
            <w:tcW w:w="7230" w:type="dxa"/>
            <w:shd w:val="clear" w:color="auto" w:fill="3A87C8"/>
          </w:tcPr>
          <w:p w14:paraId="1F8FE2E7" w14:textId="77777777" w:rsidR="00DD77D9" w:rsidRPr="005E5199" w:rsidRDefault="00DD77D9" w:rsidP="00DD77D9">
            <w:pPr>
              <w:pStyle w:val="TableColumnHeadingLeft-White"/>
            </w:pPr>
            <w:r w:rsidRPr="005E5199">
              <w:t>Initial Assessment</w:t>
            </w:r>
          </w:p>
        </w:tc>
        <w:tc>
          <w:tcPr>
            <w:tcW w:w="2092" w:type="dxa"/>
            <w:shd w:val="clear" w:color="auto" w:fill="3A87C8"/>
          </w:tcPr>
          <w:p w14:paraId="6E006925" w14:textId="763A3D9D" w:rsidR="00DD77D9" w:rsidRPr="007127D3" w:rsidRDefault="00DD77D9" w:rsidP="00DD77D9">
            <w:pPr>
              <w:pStyle w:val="TableColumnHeadingCentred"/>
              <w:jc w:val="left"/>
              <w:rPr>
                <w:sz w:val="16"/>
                <w:szCs w:val="16"/>
              </w:rPr>
            </w:pPr>
          </w:p>
        </w:tc>
      </w:tr>
      <w:tr w:rsidR="00DD77D9" w:rsidRPr="005E5199" w14:paraId="6A286215" w14:textId="77777777" w:rsidTr="007127D3">
        <w:tc>
          <w:tcPr>
            <w:tcW w:w="7230" w:type="dxa"/>
          </w:tcPr>
          <w:p w14:paraId="308D0775" w14:textId="212F374D" w:rsidR="00DD77D9" w:rsidRPr="005E5199" w:rsidRDefault="00DD77D9" w:rsidP="00DD77D9">
            <w:pPr>
              <w:pStyle w:val="TableTextLeft-Bullet"/>
              <w:rPr>
                <w:rFonts w:cs="Arial"/>
                <w:szCs w:val="20"/>
              </w:rPr>
            </w:pPr>
            <w:r w:rsidRPr="005E5199">
              <w:rPr>
                <w:rFonts w:cs="Arial"/>
                <w:szCs w:val="20"/>
              </w:rPr>
              <w:t xml:space="preserve">AusNCP </w:t>
            </w:r>
            <w:r>
              <w:rPr>
                <w:rFonts w:cs="Arial"/>
                <w:szCs w:val="20"/>
              </w:rPr>
              <w:t>phone call with US NCP.</w:t>
            </w:r>
          </w:p>
        </w:tc>
        <w:tc>
          <w:tcPr>
            <w:tcW w:w="2092" w:type="dxa"/>
          </w:tcPr>
          <w:p w14:paraId="2D63D67E" w14:textId="768D9EBF" w:rsidR="00DD77D9" w:rsidRPr="005E5199" w:rsidRDefault="00DD77D9" w:rsidP="00DD77D9">
            <w:pPr>
              <w:pStyle w:val="TableTextCentered"/>
              <w:jc w:val="left"/>
              <w:rPr>
                <w:rFonts w:cs="Arial"/>
                <w:szCs w:val="20"/>
              </w:rPr>
            </w:pPr>
            <w:r>
              <w:rPr>
                <w:rFonts w:cs="Arial"/>
                <w:szCs w:val="20"/>
              </w:rPr>
              <w:t>30 August 2019</w:t>
            </w:r>
          </w:p>
        </w:tc>
      </w:tr>
      <w:tr w:rsidR="00DD77D9" w:rsidRPr="005E5199" w14:paraId="05627413" w14:textId="77777777" w:rsidTr="007127D3">
        <w:tc>
          <w:tcPr>
            <w:tcW w:w="7230" w:type="dxa"/>
            <w:shd w:val="clear" w:color="auto" w:fill="F2F2F2" w:themeFill="background1" w:themeFillShade="F2"/>
          </w:tcPr>
          <w:p w14:paraId="7800D4E6" w14:textId="0115B521" w:rsidR="00DD77D9" w:rsidRPr="005E5199" w:rsidRDefault="00DD77D9" w:rsidP="00DD77D9">
            <w:pPr>
              <w:pStyle w:val="TableTextLeft-Bullet"/>
              <w:rPr>
                <w:rFonts w:cs="Arial"/>
                <w:szCs w:val="20"/>
              </w:rPr>
            </w:pPr>
            <w:r>
              <w:rPr>
                <w:rFonts w:cs="Arial"/>
                <w:szCs w:val="20"/>
              </w:rPr>
              <w:t>AusNCP emails to German NCP and Czech Republic NCPs</w:t>
            </w:r>
            <w:r w:rsidR="00E27D38">
              <w:rPr>
                <w:rFonts w:cs="Arial"/>
                <w:szCs w:val="20"/>
              </w:rPr>
              <w:t>.</w:t>
            </w:r>
          </w:p>
        </w:tc>
        <w:tc>
          <w:tcPr>
            <w:tcW w:w="2092" w:type="dxa"/>
            <w:shd w:val="clear" w:color="auto" w:fill="F2F2F2" w:themeFill="background1" w:themeFillShade="F2"/>
          </w:tcPr>
          <w:p w14:paraId="52F468B9" w14:textId="20EC44B2" w:rsidR="00DD77D9" w:rsidRPr="005E5199" w:rsidRDefault="00DD77D9" w:rsidP="00DD77D9">
            <w:pPr>
              <w:pStyle w:val="TableTextCentered"/>
              <w:jc w:val="left"/>
              <w:rPr>
                <w:rFonts w:cs="Arial"/>
                <w:szCs w:val="20"/>
              </w:rPr>
            </w:pPr>
            <w:r>
              <w:rPr>
                <w:rFonts w:cs="Arial"/>
                <w:szCs w:val="20"/>
              </w:rPr>
              <w:t>3 September 2019</w:t>
            </w:r>
          </w:p>
        </w:tc>
      </w:tr>
      <w:tr w:rsidR="00DD77D9" w:rsidRPr="005E5199" w14:paraId="0922774B" w14:textId="77777777" w:rsidTr="007127D3">
        <w:tc>
          <w:tcPr>
            <w:tcW w:w="7230" w:type="dxa"/>
          </w:tcPr>
          <w:p w14:paraId="1186F717" w14:textId="2B39CB89" w:rsidR="00DD77D9" w:rsidRPr="005E5199" w:rsidRDefault="00DD77D9" w:rsidP="00DD77D9">
            <w:pPr>
              <w:pStyle w:val="TableTextLeft-Bullet"/>
              <w:rPr>
                <w:rFonts w:cs="Arial"/>
                <w:szCs w:val="20"/>
              </w:rPr>
            </w:pPr>
            <w:r>
              <w:rPr>
                <w:rFonts w:cs="Arial"/>
                <w:szCs w:val="20"/>
              </w:rPr>
              <w:t>AusNCP received response from Czech Republic NCP</w:t>
            </w:r>
            <w:r w:rsidR="00E27D38">
              <w:rPr>
                <w:rFonts w:cs="Arial"/>
                <w:szCs w:val="20"/>
              </w:rPr>
              <w:t>.</w:t>
            </w:r>
          </w:p>
        </w:tc>
        <w:tc>
          <w:tcPr>
            <w:tcW w:w="2092" w:type="dxa"/>
          </w:tcPr>
          <w:p w14:paraId="01C1F6B7" w14:textId="6E3A9A30" w:rsidR="00DD77D9" w:rsidRPr="005E5199" w:rsidRDefault="00DD77D9" w:rsidP="00DD77D9">
            <w:pPr>
              <w:pStyle w:val="TableTextCentered"/>
              <w:jc w:val="left"/>
              <w:rPr>
                <w:rFonts w:cs="Arial"/>
                <w:szCs w:val="20"/>
              </w:rPr>
            </w:pPr>
            <w:r>
              <w:rPr>
                <w:rFonts w:cs="Arial"/>
                <w:szCs w:val="20"/>
              </w:rPr>
              <w:t>9 September 2019</w:t>
            </w:r>
          </w:p>
        </w:tc>
      </w:tr>
      <w:tr w:rsidR="00E27D38" w:rsidRPr="005E5199" w14:paraId="2F1FC0A6" w14:textId="77777777" w:rsidTr="007127D3">
        <w:tc>
          <w:tcPr>
            <w:tcW w:w="7230" w:type="dxa"/>
            <w:shd w:val="clear" w:color="auto" w:fill="F2F2F2" w:themeFill="background1" w:themeFillShade="F2"/>
          </w:tcPr>
          <w:p w14:paraId="7470507D" w14:textId="0D73BBFF" w:rsidR="00E27D38" w:rsidRDefault="00E27D38" w:rsidP="00DD77D9">
            <w:pPr>
              <w:pStyle w:val="TableTextLeft-Bullet"/>
              <w:rPr>
                <w:rFonts w:cs="Arial"/>
                <w:szCs w:val="20"/>
              </w:rPr>
            </w:pPr>
            <w:r>
              <w:rPr>
                <w:rFonts w:cs="Arial"/>
                <w:szCs w:val="20"/>
              </w:rPr>
              <w:t>AusNCP email update</w:t>
            </w:r>
            <w:r w:rsidR="00D06866">
              <w:rPr>
                <w:rFonts w:cs="Arial"/>
                <w:szCs w:val="20"/>
              </w:rPr>
              <w:t xml:space="preserve"> sent</w:t>
            </w:r>
            <w:r>
              <w:rPr>
                <w:rFonts w:cs="Arial"/>
                <w:szCs w:val="20"/>
              </w:rPr>
              <w:t xml:space="preserve"> to the notifier.</w:t>
            </w:r>
          </w:p>
        </w:tc>
        <w:tc>
          <w:tcPr>
            <w:tcW w:w="2092" w:type="dxa"/>
            <w:shd w:val="clear" w:color="auto" w:fill="F2F2F2" w:themeFill="background1" w:themeFillShade="F2"/>
          </w:tcPr>
          <w:p w14:paraId="13CCB3F0" w14:textId="524B5611" w:rsidR="00E27D38" w:rsidRDefault="00E27D38" w:rsidP="00DD77D9">
            <w:pPr>
              <w:pStyle w:val="TableTextCentered"/>
              <w:jc w:val="left"/>
              <w:rPr>
                <w:rFonts w:cs="Arial"/>
                <w:szCs w:val="20"/>
              </w:rPr>
            </w:pPr>
            <w:r>
              <w:rPr>
                <w:rFonts w:cs="Arial"/>
                <w:szCs w:val="20"/>
              </w:rPr>
              <w:t>9 September 2019</w:t>
            </w:r>
          </w:p>
        </w:tc>
      </w:tr>
      <w:tr w:rsidR="00DD77D9" w:rsidRPr="005E5199" w14:paraId="211A53A8" w14:textId="77777777" w:rsidTr="00E27D38">
        <w:tc>
          <w:tcPr>
            <w:tcW w:w="7230" w:type="dxa"/>
            <w:shd w:val="clear" w:color="auto" w:fill="auto"/>
          </w:tcPr>
          <w:p w14:paraId="0A471D31" w14:textId="246C2CBD" w:rsidR="00DD77D9" w:rsidRPr="00E27D38" w:rsidRDefault="00DD77D9" w:rsidP="00DD77D9">
            <w:pPr>
              <w:pStyle w:val="TableTextLeft-Bullet"/>
              <w:rPr>
                <w:rFonts w:cs="Arial"/>
                <w:szCs w:val="20"/>
              </w:rPr>
            </w:pPr>
            <w:r w:rsidRPr="00E27D38">
              <w:rPr>
                <w:rFonts w:cs="Arial"/>
                <w:szCs w:val="20"/>
              </w:rPr>
              <w:t>AusNCP received response from German NCP</w:t>
            </w:r>
            <w:r w:rsidR="00E27D38" w:rsidRPr="00E27D38">
              <w:rPr>
                <w:rFonts w:cs="Arial"/>
                <w:szCs w:val="20"/>
              </w:rPr>
              <w:t>.</w:t>
            </w:r>
          </w:p>
        </w:tc>
        <w:tc>
          <w:tcPr>
            <w:tcW w:w="2092" w:type="dxa"/>
            <w:shd w:val="clear" w:color="auto" w:fill="auto"/>
          </w:tcPr>
          <w:p w14:paraId="653799F6" w14:textId="117D6D79" w:rsidR="00DD77D9" w:rsidRPr="005E5199" w:rsidRDefault="00DD77D9" w:rsidP="00DD77D9">
            <w:pPr>
              <w:pStyle w:val="TableTextCentered"/>
              <w:jc w:val="left"/>
              <w:rPr>
                <w:rFonts w:cs="Arial"/>
                <w:szCs w:val="20"/>
              </w:rPr>
            </w:pPr>
            <w:r w:rsidRPr="00E27D38">
              <w:rPr>
                <w:rFonts w:cs="Arial"/>
                <w:szCs w:val="20"/>
              </w:rPr>
              <w:t>17 September 2019</w:t>
            </w:r>
          </w:p>
        </w:tc>
      </w:tr>
      <w:tr w:rsidR="00BD11FA" w:rsidRPr="005E5199" w14:paraId="28B166DA" w14:textId="77777777" w:rsidTr="00BD11FA">
        <w:tc>
          <w:tcPr>
            <w:tcW w:w="7230" w:type="dxa"/>
            <w:shd w:val="clear" w:color="auto" w:fill="F2F2F2" w:themeFill="background1" w:themeFillShade="F2"/>
          </w:tcPr>
          <w:p w14:paraId="12807108" w14:textId="46C6B9F1" w:rsidR="00BD11FA" w:rsidRPr="00E27D38" w:rsidRDefault="00BD11FA" w:rsidP="00E71197">
            <w:pPr>
              <w:pStyle w:val="TableTextLeft-Bullet"/>
              <w:rPr>
                <w:rFonts w:cs="Arial"/>
                <w:szCs w:val="20"/>
              </w:rPr>
            </w:pPr>
            <w:r>
              <w:rPr>
                <w:rFonts w:cs="Arial"/>
                <w:szCs w:val="20"/>
              </w:rPr>
              <w:t>AusNCP email update</w:t>
            </w:r>
            <w:r w:rsidR="00E71197">
              <w:rPr>
                <w:rFonts w:cs="Arial"/>
                <w:szCs w:val="20"/>
              </w:rPr>
              <w:t xml:space="preserve"> sent to the notifier</w:t>
            </w:r>
            <w:r w:rsidR="00301C7E">
              <w:rPr>
                <w:rFonts w:cs="Arial"/>
                <w:szCs w:val="20"/>
              </w:rPr>
              <w:t xml:space="preserve"> and the enterprise.</w:t>
            </w:r>
          </w:p>
        </w:tc>
        <w:tc>
          <w:tcPr>
            <w:tcW w:w="2092" w:type="dxa"/>
            <w:shd w:val="clear" w:color="auto" w:fill="F2F2F2" w:themeFill="background1" w:themeFillShade="F2"/>
          </w:tcPr>
          <w:p w14:paraId="647CF434" w14:textId="29BB05E5" w:rsidR="00BD11FA" w:rsidRPr="00E27D38" w:rsidRDefault="00BD11FA" w:rsidP="00DD77D9">
            <w:pPr>
              <w:pStyle w:val="TableTextCentered"/>
              <w:jc w:val="left"/>
              <w:rPr>
                <w:rFonts w:cs="Arial"/>
                <w:szCs w:val="20"/>
              </w:rPr>
            </w:pPr>
            <w:r>
              <w:rPr>
                <w:rFonts w:cs="Arial"/>
                <w:szCs w:val="20"/>
              </w:rPr>
              <w:t>14 October 2019</w:t>
            </w:r>
          </w:p>
        </w:tc>
      </w:tr>
      <w:tr w:rsidR="00DD77D9" w:rsidRPr="005E5199" w14:paraId="357E0A61" w14:textId="77777777" w:rsidTr="007127D3">
        <w:trPr>
          <w:trHeight w:val="275"/>
        </w:trPr>
        <w:tc>
          <w:tcPr>
            <w:tcW w:w="7230" w:type="dxa"/>
            <w:shd w:val="clear" w:color="auto" w:fill="3A87C8"/>
          </w:tcPr>
          <w:p w14:paraId="38CD3215" w14:textId="31BB6C62" w:rsidR="00DD77D9" w:rsidRPr="005E5199" w:rsidRDefault="00DD77D9" w:rsidP="00DD77D9">
            <w:pPr>
              <w:pStyle w:val="TableColumnHeadingLeft-White"/>
            </w:pPr>
            <w:r w:rsidRPr="005E5199">
              <w:t>Final Statement</w:t>
            </w:r>
          </w:p>
        </w:tc>
        <w:tc>
          <w:tcPr>
            <w:tcW w:w="2092" w:type="dxa"/>
            <w:shd w:val="clear" w:color="auto" w:fill="3A87C8"/>
          </w:tcPr>
          <w:p w14:paraId="33072E0A" w14:textId="7F62578A" w:rsidR="00DD77D9" w:rsidRPr="005E5199" w:rsidRDefault="00DD77D9" w:rsidP="00DD77D9">
            <w:pPr>
              <w:pStyle w:val="TableColumnHeadingCentred"/>
              <w:jc w:val="left"/>
            </w:pPr>
          </w:p>
        </w:tc>
      </w:tr>
      <w:tr w:rsidR="00DD77D9" w:rsidRPr="005E5199" w14:paraId="281237E2" w14:textId="77777777" w:rsidTr="007127D3">
        <w:trPr>
          <w:trHeight w:val="275"/>
        </w:trPr>
        <w:tc>
          <w:tcPr>
            <w:tcW w:w="7230" w:type="dxa"/>
            <w:shd w:val="clear" w:color="auto" w:fill="F2F2F2" w:themeFill="background1" w:themeFillShade="F2"/>
          </w:tcPr>
          <w:p w14:paraId="73BA013D" w14:textId="0B3D5DA8" w:rsidR="00DD77D9" w:rsidRPr="007622FB" w:rsidRDefault="007127D3" w:rsidP="007127D3">
            <w:pPr>
              <w:pStyle w:val="TableTextLeft-Bullet"/>
              <w:rPr>
                <w:rFonts w:cs="Arial"/>
                <w:szCs w:val="20"/>
              </w:rPr>
            </w:pPr>
            <w:r w:rsidRPr="007622FB">
              <w:rPr>
                <w:rFonts w:cs="Arial"/>
                <w:szCs w:val="20"/>
              </w:rPr>
              <w:t>Draft final statement provided to the Governance and Advisory Board for advice.</w:t>
            </w:r>
          </w:p>
        </w:tc>
        <w:tc>
          <w:tcPr>
            <w:tcW w:w="2092" w:type="dxa"/>
            <w:shd w:val="clear" w:color="auto" w:fill="F2F2F2" w:themeFill="background1" w:themeFillShade="F2"/>
          </w:tcPr>
          <w:p w14:paraId="41CE72AD" w14:textId="2A80A062" w:rsidR="00DD77D9" w:rsidRPr="00574535" w:rsidRDefault="001220D3" w:rsidP="009D527F">
            <w:pPr>
              <w:pStyle w:val="TableTextCentered"/>
              <w:jc w:val="left"/>
              <w:rPr>
                <w:rFonts w:cs="Arial"/>
                <w:szCs w:val="20"/>
              </w:rPr>
            </w:pPr>
            <w:r w:rsidRPr="00574535">
              <w:rPr>
                <w:rFonts w:cs="Arial"/>
                <w:szCs w:val="20"/>
              </w:rPr>
              <w:t>2</w:t>
            </w:r>
            <w:r w:rsidR="009D527F">
              <w:rPr>
                <w:rFonts w:cs="Arial"/>
                <w:szCs w:val="20"/>
              </w:rPr>
              <w:t>4</w:t>
            </w:r>
            <w:r w:rsidR="00DC0D16" w:rsidRPr="00574535">
              <w:rPr>
                <w:rFonts w:cs="Arial"/>
                <w:szCs w:val="20"/>
              </w:rPr>
              <w:t xml:space="preserve"> October 2019</w:t>
            </w:r>
          </w:p>
        </w:tc>
      </w:tr>
      <w:tr w:rsidR="00574535" w:rsidRPr="005E5199" w14:paraId="490B42A8" w14:textId="77777777" w:rsidTr="00574535">
        <w:trPr>
          <w:trHeight w:val="275"/>
        </w:trPr>
        <w:tc>
          <w:tcPr>
            <w:tcW w:w="7230" w:type="dxa"/>
            <w:shd w:val="clear" w:color="auto" w:fill="auto"/>
          </w:tcPr>
          <w:p w14:paraId="1023AFF0" w14:textId="77777777" w:rsidR="00574535" w:rsidRPr="007622FB" w:rsidRDefault="00574535" w:rsidP="00956815">
            <w:pPr>
              <w:pStyle w:val="TableTextLeft-Bullet"/>
              <w:rPr>
                <w:rFonts w:cs="Arial"/>
                <w:szCs w:val="20"/>
              </w:rPr>
            </w:pPr>
            <w:r w:rsidRPr="007622FB">
              <w:rPr>
                <w:rFonts w:cs="Arial"/>
                <w:szCs w:val="20"/>
              </w:rPr>
              <w:t>Draft final statement provided to other NCP’s and the OECD Secretariat for comment.</w:t>
            </w:r>
          </w:p>
        </w:tc>
        <w:tc>
          <w:tcPr>
            <w:tcW w:w="2092" w:type="dxa"/>
            <w:shd w:val="clear" w:color="auto" w:fill="auto"/>
          </w:tcPr>
          <w:p w14:paraId="4421356C" w14:textId="77777777" w:rsidR="00574535" w:rsidRPr="00574535" w:rsidRDefault="00574535" w:rsidP="00956815">
            <w:pPr>
              <w:pStyle w:val="TableTextCentered"/>
              <w:jc w:val="left"/>
              <w:rPr>
                <w:rFonts w:cs="Arial"/>
                <w:szCs w:val="20"/>
              </w:rPr>
            </w:pPr>
            <w:r w:rsidRPr="00574535">
              <w:rPr>
                <w:rFonts w:cs="Arial"/>
                <w:szCs w:val="20"/>
              </w:rPr>
              <w:t>24 October 2019</w:t>
            </w:r>
          </w:p>
        </w:tc>
      </w:tr>
      <w:tr w:rsidR="00D06866" w:rsidRPr="005E5199" w14:paraId="26E57D0D" w14:textId="77777777" w:rsidTr="00574535">
        <w:trPr>
          <w:trHeight w:val="275"/>
        </w:trPr>
        <w:tc>
          <w:tcPr>
            <w:tcW w:w="7230" w:type="dxa"/>
            <w:shd w:val="clear" w:color="auto" w:fill="F2F2F2" w:themeFill="background1" w:themeFillShade="F2"/>
          </w:tcPr>
          <w:p w14:paraId="5460735B" w14:textId="3B21A238" w:rsidR="00D06866" w:rsidRPr="007622FB" w:rsidRDefault="00D06866" w:rsidP="00D06866">
            <w:pPr>
              <w:pStyle w:val="TableTextLeft-Bullet"/>
              <w:rPr>
                <w:rFonts w:cs="Arial"/>
                <w:szCs w:val="20"/>
              </w:rPr>
            </w:pPr>
            <w:r>
              <w:rPr>
                <w:rFonts w:cs="Arial"/>
                <w:szCs w:val="20"/>
              </w:rPr>
              <w:t xml:space="preserve">AusNCP contacted both parties regarding </w:t>
            </w:r>
            <w:r w:rsidR="0053706B">
              <w:rPr>
                <w:rFonts w:cs="Arial"/>
                <w:szCs w:val="20"/>
              </w:rPr>
              <w:t>its preliminary decision.</w:t>
            </w:r>
          </w:p>
        </w:tc>
        <w:tc>
          <w:tcPr>
            <w:tcW w:w="2092" w:type="dxa"/>
            <w:shd w:val="clear" w:color="auto" w:fill="F2F2F2" w:themeFill="background1" w:themeFillShade="F2"/>
          </w:tcPr>
          <w:p w14:paraId="13365848" w14:textId="15E70EDF" w:rsidR="00D06866" w:rsidRDefault="00596E1D" w:rsidP="00E66943">
            <w:pPr>
              <w:pStyle w:val="TableTextCentered"/>
              <w:jc w:val="left"/>
              <w:rPr>
                <w:rFonts w:cs="Arial"/>
                <w:szCs w:val="20"/>
                <w:highlight w:val="yellow"/>
              </w:rPr>
            </w:pPr>
            <w:r w:rsidRPr="00596E1D">
              <w:rPr>
                <w:rFonts w:cs="Arial"/>
                <w:szCs w:val="20"/>
              </w:rPr>
              <w:t>12 November 2019</w:t>
            </w:r>
          </w:p>
        </w:tc>
      </w:tr>
      <w:tr w:rsidR="00596E1D" w:rsidRPr="005E5199" w14:paraId="1AEB3D4F" w14:textId="77777777" w:rsidTr="00574535">
        <w:trPr>
          <w:trHeight w:val="275"/>
        </w:trPr>
        <w:tc>
          <w:tcPr>
            <w:tcW w:w="7230" w:type="dxa"/>
            <w:shd w:val="clear" w:color="auto" w:fill="auto"/>
          </w:tcPr>
          <w:p w14:paraId="1609383E" w14:textId="02603DE3" w:rsidR="00596E1D" w:rsidRPr="007622FB" w:rsidRDefault="00596E1D" w:rsidP="00FE4702">
            <w:pPr>
              <w:pStyle w:val="TableTextLeft-Bullet"/>
              <w:rPr>
                <w:rFonts w:cs="Arial"/>
                <w:szCs w:val="20"/>
              </w:rPr>
            </w:pPr>
            <w:r w:rsidRPr="007622FB">
              <w:rPr>
                <w:rFonts w:cs="Arial"/>
                <w:szCs w:val="20"/>
              </w:rPr>
              <w:t>Draft final statement provided to the parties for comment</w:t>
            </w:r>
            <w:r w:rsidR="00FE4702">
              <w:rPr>
                <w:rFonts w:cs="Arial"/>
                <w:szCs w:val="20"/>
              </w:rPr>
              <w:t xml:space="preserve"> and emails exchanged regarding an optional phone call with the AusNCP</w:t>
            </w:r>
            <w:r w:rsidRPr="007622FB">
              <w:rPr>
                <w:rFonts w:cs="Arial"/>
                <w:szCs w:val="20"/>
              </w:rPr>
              <w:t>.</w:t>
            </w:r>
          </w:p>
        </w:tc>
        <w:tc>
          <w:tcPr>
            <w:tcW w:w="2092" w:type="dxa"/>
            <w:shd w:val="clear" w:color="auto" w:fill="auto"/>
          </w:tcPr>
          <w:p w14:paraId="7ABF60A3" w14:textId="0E8E8B4F" w:rsidR="00596E1D" w:rsidRPr="00614E11" w:rsidRDefault="00596E1D" w:rsidP="00596E1D">
            <w:pPr>
              <w:pStyle w:val="TableTextCentered"/>
              <w:jc w:val="left"/>
              <w:rPr>
                <w:rFonts w:cs="Arial"/>
                <w:szCs w:val="20"/>
                <w:highlight w:val="yellow"/>
              </w:rPr>
            </w:pPr>
            <w:r w:rsidRPr="00596E1D">
              <w:rPr>
                <w:rFonts w:cs="Arial"/>
                <w:szCs w:val="20"/>
              </w:rPr>
              <w:t>12 November 2019</w:t>
            </w:r>
          </w:p>
        </w:tc>
      </w:tr>
      <w:tr w:rsidR="00FE4702" w:rsidRPr="005E5199" w14:paraId="022C6C45" w14:textId="77777777" w:rsidTr="00574535">
        <w:trPr>
          <w:trHeight w:val="275"/>
        </w:trPr>
        <w:tc>
          <w:tcPr>
            <w:tcW w:w="7230" w:type="dxa"/>
            <w:shd w:val="clear" w:color="auto" w:fill="F2F2F2" w:themeFill="background1" w:themeFillShade="F2"/>
          </w:tcPr>
          <w:p w14:paraId="44AF2C04" w14:textId="339D681E" w:rsidR="00FE4702" w:rsidRPr="007622FB" w:rsidRDefault="00FE4702" w:rsidP="00FE4702">
            <w:pPr>
              <w:pStyle w:val="TableTextLeft-Bullet"/>
              <w:rPr>
                <w:rFonts w:cs="Arial"/>
                <w:szCs w:val="20"/>
              </w:rPr>
            </w:pPr>
            <w:r>
              <w:rPr>
                <w:rFonts w:cs="Arial"/>
                <w:szCs w:val="20"/>
              </w:rPr>
              <w:t>AusNCP phone call with the notifier.</w:t>
            </w:r>
          </w:p>
        </w:tc>
        <w:tc>
          <w:tcPr>
            <w:tcW w:w="2092" w:type="dxa"/>
            <w:shd w:val="clear" w:color="auto" w:fill="F2F2F2" w:themeFill="background1" w:themeFillShade="F2"/>
          </w:tcPr>
          <w:p w14:paraId="0F38694D" w14:textId="6F885E19" w:rsidR="00FE4702" w:rsidRPr="00FE4702" w:rsidRDefault="00FE4702" w:rsidP="00596E1D">
            <w:pPr>
              <w:pStyle w:val="TableTextCentered"/>
              <w:jc w:val="left"/>
              <w:rPr>
                <w:rFonts w:cs="Arial"/>
                <w:szCs w:val="20"/>
              </w:rPr>
            </w:pPr>
            <w:r w:rsidRPr="00FE4702">
              <w:rPr>
                <w:rFonts w:cs="Arial"/>
                <w:szCs w:val="20"/>
              </w:rPr>
              <w:t>28 November 2019</w:t>
            </w:r>
          </w:p>
        </w:tc>
      </w:tr>
      <w:tr w:rsidR="00596E1D" w:rsidRPr="005E5199" w14:paraId="5BE4B932" w14:textId="77777777" w:rsidTr="00574535">
        <w:trPr>
          <w:trHeight w:val="275"/>
        </w:trPr>
        <w:tc>
          <w:tcPr>
            <w:tcW w:w="7230" w:type="dxa"/>
            <w:shd w:val="clear" w:color="auto" w:fill="F2F2F2" w:themeFill="background1" w:themeFillShade="F2"/>
          </w:tcPr>
          <w:p w14:paraId="570C506A" w14:textId="593869F0" w:rsidR="00596E1D" w:rsidRPr="007622FB" w:rsidRDefault="00697045" w:rsidP="00697045">
            <w:pPr>
              <w:pStyle w:val="TableTextLeft-Bullet"/>
              <w:rPr>
                <w:rFonts w:cs="Arial"/>
                <w:szCs w:val="20"/>
              </w:rPr>
            </w:pPr>
            <w:r w:rsidRPr="00697045">
              <w:rPr>
                <w:rFonts w:cs="Arial"/>
                <w:szCs w:val="20"/>
              </w:rPr>
              <w:t>AusNCP finalised Final Statement and provided an advance copy to the parties and</w:t>
            </w:r>
            <w:r>
              <w:rPr>
                <w:rFonts w:cs="Arial"/>
                <w:szCs w:val="20"/>
              </w:rPr>
              <w:t xml:space="preserve"> the</w:t>
            </w:r>
            <w:r w:rsidRPr="00697045">
              <w:rPr>
                <w:rFonts w:cs="Arial"/>
                <w:szCs w:val="20"/>
              </w:rPr>
              <w:t xml:space="preserve"> Governance and Advisory Board.</w:t>
            </w:r>
          </w:p>
        </w:tc>
        <w:tc>
          <w:tcPr>
            <w:tcW w:w="2092" w:type="dxa"/>
            <w:shd w:val="clear" w:color="auto" w:fill="F2F2F2" w:themeFill="background1" w:themeFillShade="F2"/>
          </w:tcPr>
          <w:p w14:paraId="0E75E527" w14:textId="6593F269" w:rsidR="00596E1D" w:rsidRPr="00FE4702" w:rsidRDefault="00DB383F" w:rsidP="00596E1D">
            <w:pPr>
              <w:pStyle w:val="TableTextCentered"/>
              <w:jc w:val="left"/>
              <w:rPr>
                <w:rFonts w:cs="Arial"/>
                <w:szCs w:val="20"/>
              </w:rPr>
            </w:pPr>
            <w:r>
              <w:rPr>
                <w:rFonts w:cs="Arial"/>
                <w:szCs w:val="20"/>
              </w:rPr>
              <w:t>12 December 2019</w:t>
            </w:r>
          </w:p>
        </w:tc>
      </w:tr>
      <w:tr w:rsidR="00596E1D" w:rsidRPr="005E5199" w14:paraId="3FA172EA" w14:textId="77777777" w:rsidTr="00574535">
        <w:trPr>
          <w:trHeight w:val="275"/>
        </w:trPr>
        <w:tc>
          <w:tcPr>
            <w:tcW w:w="7230" w:type="dxa"/>
            <w:shd w:val="clear" w:color="auto" w:fill="auto"/>
          </w:tcPr>
          <w:p w14:paraId="388AD2C2" w14:textId="3EC21401" w:rsidR="00596E1D" w:rsidRPr="007622FB" w:rsidRDefault="00596E1D" w:rsidP="00596E1D">
            <w:pPr>
              <w:pStyle w:val="TableTextLeft-Bullet"/>
              <w:rPr>
                <w:rFonts w:cs="Arial"/>
                <w:szCs w:val="20"/>
              </w:rPr>
            </w:pPr>
            <w:r w:rsidRPr="007622FB">
              <w:rPr>
                <w:rFonts w:cs="Arial"/>
                <w:szCs w:val="20"/>
              </w:rPr>
              <w:t xml:space="preserve">Final Statement published on </w:t>
            </w:r>
            <w:hyperlink r:id="rId23" w:history="1">
              <w:r w:rsidRPr="00A94690">
                <w:rPr>
                  <w:rStyle w:val="Hyperlink"/>
                  <w:rFonts w:cs="Arial"/>
                  <w:b w:val="0"/>
                  <w:szCs w:val="20"/>
                </w:rPr>
                <w:t>www.AusNCP.gov.au</w:t>
              </w:r>
            </w:hyperlink>
            <w:r w:rsidRPr="007622FB">
              <w:rPr>
                <w:rFonts w:cs="Arial"/>
                <w:szCs w:val="20"/>
              </w:rPr>
              <w:t xml:space="preserve"> and </w:t>
            </w:r>
            <w:r>
              <w:rPr>
                <w:rFonts w:cs="Arial"/>
                <w:szCs w:val="20"/>
              </w:rPr>
              <w:t>reported</w:t>
            </w:r>
            <w:r w:rsidRPr="007622FB">
              <w:rPr>
                <w:rFonts w:cs="Arial"/>
                <w:szCs w:val="20"/>
              </w:rPr>
              <w:t xml:space="preserve"> to the OECD.</w:t>
            </w:r>
          </w:p>
        </w:tc>
        <w:tc>
          <w:tcPr>
            <w:tcW w:w="2092" w:type="dxa"/>
            <w:shd w:val="clear" w:color="auto" w:fill="auto"/>
          </w:tcPr>
          <w:p w14:paraId="40C423E2" w14:textId="2490061B" w:rsidR="00596E1D" w:rsidRPr="00FE4702" w:rsidRDefault="00DB383F" w:rsidP="00596E1D">
            <w:pPr>
              <w:pStyle w:val="TableTextCentered"/>
              <w:jc w:val="left"/>
              <w:rPr>
                <w:rFonts w:cs="Arial"/>
                <w:szCs w:val="20"/>
              </w:rPr>
            </w:pPr>
            <w:r>
              <w:rPr>
                <w:rFonts w:cs="Arial"/>
                <w:szCs w:val="20"/>
              </w:rPr>
              <w:t>13 December 2019</w:t>
            </w:r>
          </w:p>
        </w:tc>
      </w:tr>
    </w:tbl>
    <w:p w14:paraId="455F6A64" w14:textId="740A8BB6" w:rsidR="009C08BB" w:rsidRPr="005E5199" w:rsidRDefault="00716CB9" w:rsidP="009C08BB">
      <w:r>
        <w:t xml:space="preserve">  </w:t>
      </w:r>
    </w:p>
    <w:p w14:paraId="7EC76D23" w14:textId="510EF102" w:rsidR="009C08BB" w:rsidRPr="005E5199" w:rsidRDefault="009C08BB" w:rsidP="009C08BB">
      <w:pPr>
        <w:pStyle w:val="Heading1"/>
      </w:pPr>
      <w:bookmarkStart w:id="6" w:name="_Toc22811208"/>
      <w:r w:rsidRPr="005E5199">
        <w:t>Institutional arrangements</w:t>
      </w:r>
      <w:bookmarkEnd w:id="6"/>
      <w:r w:rsidRPr="005E5199">
        <w:t xml:space="preserve"> </w:t>
      </w:r>
    </w:p>
    <w:p w14:paraId="01214D53" w14:textId="77777777" w:rsidR="00D73FB7" w:rsidRDefault="00D73FB7" w:rsidP="00D73FB7">
      <w:pPr>
        <w:pStyle w:val="OutlineNumbered1"/>
        <w:numPr>
          <w:ilvl w:val="0"/>
          <w:numId w:val="36"/>
        </w:numPr>
        <w:spacing w:after="200" w:line="276" w:lineRule="auto"/>
      </w:pPr>
      <w:r>
        <w:t>The Australian Government is committed to promoting the use of the OECD Guidelines and implementing them effectively and consistently. Through business cooperation and support, the OECD Guidelines can positively influence business conduct and ultimately economic, environmental and social progress.</w:t>
      </w:r>
    </w:p>
    <w:p w14:paraId="75A0180E" w14:textId="77777777" w:rsidR="00D73FB7" w:rsidRDefault="00D73FB7" w:rsidP="00D73FB7">
      <w:pPr>
        <w:pStyle w:val="OutlineNumbered1"/>
        <w:numPr>
          <w:ilvl w:val="0"/>
          <w:numId w:val="36"/>
        </w:numPr>
        <w:spacing w:after="200" w:line="276" w:lineRule="auto"/>
        <w:ind w:left="425" w:hanging="425"/>
      </w:pPr>
      <w:r>
        <w:t>The OECD Guidelines are recommendations on responsible business conduct addressed by governments, including Australia, to multinational enterprises. Importantly, while the OECD Guidelines have been endorsed within the OECD international forum, they are not a substitute for, nor do they override, Australian or international law. They represent standards of behaviour that supplement Australian law and therefore do not create conflicting requirements.</w:t>
      </w:r>
    </w:p>
    <w:p w14:paraId="19C7C60E" w14:textId="77777777" w:rsidR="00D73FB7" w:rsidRDefault="00D73FB7" w:rsidP="00D73FB7">
      <w:pPr>
        <w:pStyle w:val="OutlineNumbered1"/>
        <w:numPr>
          <w:ilvl w:val="0"/>
          <w:numId w:val="36"/>
        </w:numPr>
        <w:spacing w:after="200" w:line="276" w:lineRule="auto"/>
        <w:ind w:left="425" w:hanging="425"/>
      </w:pPr>
      <w:r>
        <w:t>Companies operating in Australia and Australian companies operating overseas are expected to act in accordance with the principles set out in the OECD Guidelines and to perform to — at minimum — the standards they recommend.</w:t>
      </w:r>
    </w:p>
    <w:p w14:paraId="2005B492" w14:textId="77777777" w:rsidR="00D73FB7" w:rsidRDefault="00D73FB7" w:rsidP="00D73FB7">
      <w:pPr>
        <w:pStyle w:val="OutlineNumbered1"/>
        <w:numPr>
          <w:ilvl w:val="0"/>
          <w:numId w:val="36"/>
        </w:numPr>
        <w:spacing w:after="200" w:line="276" w:lineRule="auto"/>
        <w:ind w:left="425" w:hanging="425"/>
      </w:pPr>
      <w:r>
        <w:t>The OECD Guidelines can be seen as:</w:t>
      </w:r>
    </w:p>
    <w:p w14:paraId="15ED0255" w14:textId="77777777" w:rsidR="00D73FB7" w:rsidRDefault="00D73FB7" w:rsidP="00D73FB7">
      <w:pPr>
        <w:pStyle w:val="Bullet"/>
        <w:numPr>
          <w:ilvl w:val="0"/>
          <w:numId w:val="35"/>
        </w:numPr>
        <w:ind w:left="989"/>
      </w:pPr>
      <w:r>
        <w:t>a useful aid to business in developing their own code of conduct (they are not aimed at replacing or preventing companies from developing their own codes);</w:t>
      </w:r>
    </w:p>
    <w:p w14:paraId="407F40AF" w14:textId="77777777" w:rsidR="00D73FB7" w:rsidRDefault="00D73FB7" w:rsidP="00D73FB7">
      <w:pPr>
        <w:pStyle w:val="Bullet"/>
        <w:numPr>
          <w:ilvl w:val="0"/>
          <w:numId w:val="35"/>
        </w:numPr>
        <w:ind w:left="989"/>
      </w:pPr>
      <w:r>
        <w:t>complementary to other business, national and international initiatives on corporate responsibility, including domestic and international law in specific areas such as human rights and bribery; and</w:t>
      </w:r>
    </w:p>
    <w:p w14:paraId="6CE15030" w14:textId="77777777" w:rsidR="00D73FB7" w:rsidRDefault="00D73FB7" w:rsidP="00D73FB7">
      <w:pPr>
        <w:pStyle w:val="Bullet"/>
        <w:numPr>
          <w:ilvl w:val="0"/>
          <w:numId w:val="35"/>
        </w:numPr>
        <w:ind w:left="989"/>
      </w:pPr>
      <w:proofErr w:type="gramStart"/>
      <w:r>
        <w:t>providing</w:t>
      </w:r>
      <w:proofErr w:type="gramEnd"/>
      <w:r>
        <w:t xml:space="preserve"> an informal structure for resolving issues that may arise in relation to implementation of the OECD Guidelines in specific instances.</w:t>
      </w:r>
    </w:p>
    <w:p w14:paraId="18E1BC88" w14:textId="419C0A2A" w:rsidR="00CD2BA7" w:rsidRDefault="00CD2BA7" w:rsidP="009C08BB"/>
    <w:p w14:paraId="1A3ECFF1" w14:textId="2FBA9F17" w:rsidR="00CD2BA7" w:rsidRDefault="00CD2BA7" w:rsidP="00CD2BA7"/>
    <w:p w14:paraId="25760E86" w14:textId="7DB53FCF" w:rsidR="009C08BB" w:rsidRPr="00CD2BA7" w:rsidRDefault="00CD2BA7" w:rsidP="00CD2BA7">
      <w:pPr>
        <w:tabs>
          <w:tab w:val="left" w:pos="5540"/>
        </w:tabs>
      </w:pPr>
      <w:r>
        <w:tab/>
      </w:r>
    </w:p>
    <w:p w14:paraId="61E9E317" w14:textId="6320D78D" w:rsidR="009C08BB" w:rsidRPr="005E5199" w:rsidRDefault="009C08BB" w:rsidP="009C08BB">
      <w:pPr>
        <w:pStyle w:val="Heading1"/>
      </w:pPr>
      <w:bookmarkStart w:id="7" w:name="_Toc22811209"/>
      <w:r w:rsidRPr="005E5199">
        <w:t>Governance</w:t>
      </w:r>
      <w:bookmarkEnd w:id="7"/>
      <w:r w:rsidRPr="005E5199">
        <w:t xml:space="preserve"> </w:t>
      </w:r>
    </w:p>
    <w:p w14:paraId="26757E9A" w14:textId="77777777" w:rsidR="00D73FB7" w:rsidRDefault="00D73FB7" w:rsidP="00D73FB7">
      <w:pPr>
        <w:pStyle w:val="OutlineNumbered1"/>
        <w:numPr>
          <w:ilvl w:val="0"/>
          <w:numId w:val="36"/>
        </w:numPr>
        <w:spacing w:after="200" w:line="276" w:lineRule="auto"/>
        <w:ind w:left="426" w:hanging="426"/>
      </w:pPr>
      <w:r>
        <w:t>Countries adhering to the OECD Guidelines have flexibility in organising their National Contact Points (NCPs) and in seeking the active support of social partners, including the business community, worker organisations, other non-governmental organisations, and other interested parties.</w:t>
      </w:r>
    </w:p>
    <w:p w14:paraId="0486B3F0" w14:textId="77777777" w:rsidR="00D73FB7" w:rsidRDefault="00D73FB7" w:rsidP="00D73FB7">
      <w:pPr>
        <w:pStyle w:val="OutlineNumbered1"/>
        <w:numPr>
          <w:ilvl w:val="0"/>
          <w:numId w:val="36"/>
        </w:numPr>
        <w:tabs>
          <w:tab w:val="num" w:pos="425"/>
        </w:tabs>
        <w:spacing w:after="200" w:line="276" w:lineRule="auto"/>
        <w:ind w:left="426" w:hanging="426"/>
      </w:pPr>
      <w:r>
        <w:t xml:space="preserve">Accordingly, the OECD Guidelines stipulate that NCPs: </w:t>
      </w:r>
    </w:p>
    <w:p w14:paraId="3EB1B76F" w14:textId="77777777" w:rsidR="00D73FB7" w:rsidRPr="00D73FB7" w:rsidRDefault="00D73FB7" w:rsidP="00D73FB7">
      <w:pPr>
        <w:pStyle w:val="AlphaParagraph"/>
        <w:numPr>
          <w:ilvl w:val="2"/>
          <w:numId w:val="13"/>
        </w:numPr>
        <w:tabs>
          <w:tab w:val="left" w:pos="720"/>
        </w:tabs>
      </w:pPr>
      <w:r w:rsidRPr="00D73FB7">
        <w:t>will be composed and organised such that they provide an effective basis for dealing with the broad range of issues covered by the OECD Guidelines and enable the NCP to operate in an impartial manner while maintaining an adequate level of accountability to the adhering government;</w:t>
      </w:r>
    </w:p>
    <w:p w14:paraId="42D6EE79" w14:textId="77777777" w:rsidR="00D73FB7" w:rsidRPr="00D73FB7" w:rsidRDefault="00D73FB7" w:rsidP="00D73FB7">
      <w:pPr>
        <w:pStyle w:val="AlphaParagraph"/>
        <w:numPr>
          <w:ilvl w:val="2"/>
          <w:numId w:val="13"/>
        </w:numPr>
        <w:tabs>
          <w:tab w:val="left" w:pos="720"/>
        </w:tabs>
      </w:pPr>
      <w:proofErr w:type="gramStart"/>
      <w:r w:rsidRPr="00D73FB7">
        <w:t>can</w:t>
      </w:r>
      <w:proofErr w:type="gramEnd"/>
      <w:r w:rsidRPr="00D73FB7">
        <w:t xml:space="preserve"> use different forms of organisation to meet this objective. A NCP can consist of senior representatives from one or more ministries, may be a senior government official or a government office headed by a senior official, be an interagency group, or one that contains independent experts. Representatives of the business community, worker organisations and other non-governmental organisations may also be included; and</w:t>
      </w:r>
    </w:p>
    <w:p w14:paraId="4A8766EE" w14:textId="77777777" w:rsidR="00D73FB7" w:rsidRPr="00D73FB7" w:rsidRDefault="00D73FB7" w:rsidP="00D73FB7">
      <w:pPr>
        <w:pStyle w:val="AlphaParagraph"/>
        <w:numPr>
          <w:ilvl w:val="2"/>
          <w:numId w:val="13"/>
        </w:numPr>
        <w:tabs>
          <w:tab w:val="left" w:pos="720"/>
        </w:tabs>
      </w:pPr>
      <w:proofErr w:type="gramStart"/>
      <w:r w:rsidRPr="00D73FB7">
        <w:t>will</w:t>
      </w:r>
      <w:proofErr w:type="gramEnd"/>
      <w:r w:rsidRPr="00D73FB7">
        <w:t xml:space="preserve"> develop and maintain relations with representatives of the business community, worker organisations and other interested parties that are able to contribute to the effective functioning of the OECD Guidelines.</w:t>
      </w:r>
    </w:p>
    <w:p w14:paraId="4784A389" w14:textId="77777777" w:rsidR="00D73FB7" w:rsidRPr="007150EC" w:rsidRDefault="00D73FB7" w:rsidP="00D73FB7">
      <w:pPr>
        <w:pStyle w:val="OutlineNumbered1"/>
        <w:numPr>
          <w:ilvl w:val="0"/>
          <w:numId w:val="36"/>
        </w:numPr>
        <w:tabs>
          <w:tab w:val="num" w:pos="425"/>
        </w:tabs>
        <w:spacing w:after="200" w:line="276" w:lineRule="auto"/>
        <w:ind w:left="426" w:hanging="426"/>
      </w:pPr>
      <w:r>
        <w:t xml:space="preserve">The </w:t>
      </w:r>
      <w:hyperlink r:id="rId24" w:history="1">
        <w:r w:rsidRPr="00457337">
          <w:rPr>
            <w:rStyle w:val="Hyperlink"/>
            <w:b w:val="0"/>
          </w:rPr>
          <w:t>AusNCP Governance and Advisory Board</w:t>
        </w:r>
      </w:hyperlink>
      <w:r w:rsidRPr="00457337">
        <w:rPr>
          <w:b/>
        </w:rPr>
        <w:t xml:space="preserve"> </w:t>
      </w:r>
      <w:r>
        <w:t xml:space="preserve">(the Board), which includes </w:t>
      </w:r>
      <w:r>
        <w:br/>
        <w:t xml:space="preserve">non-government members as well as representatives from key government agencies, provides advice and assistance to the AusNCP Secretariat in relation to the handling of complaints. The Board was consulted in the development of this </w:t>
      </w:r>
      <w:r w:rsidRPr="007150EC">
        <w:t xml:space="preserve">statement. </w:t>
      </w:r>
    </w:p>
    <w:p w14:paraId="30B062F3" w14:textId="77777777" w:rsidR="007150EC" w:rsidRPr="00CF3CC5" w:rsidRDefault="00D73FB7" w:rsidP="00D25328">
      <w:pPr>
        <w:pStyle w:val="OutlineNumbered1"/>
        <w:numPr>
          <w:ilvl w:val="0"/>
          <w:numId w:val="36"/>
        </w:numPr>
        <w:tabs>
          <w:tab w:val="num" w:pos="425"/>
        </w:tabs>
        <w:spacing w:after="200" w:line="276" w:lineRule="auto"/>
        <w:ind w:left="426" w:hanging="426"/>
      </w:pPr>
      <w:r w:rsidRPr="007150EC">
        <w:t xml:space="preserve">The Board helps to ensure that the AusNCP is visible, accessible, transparent and </w:t>
      </w:r>
      <w:r w:rsidRPr="00CF3CC5">
        <w:t>accountable, in accordance with its obligations under the OECD Guidelines for Multinational Enterprises. Members may be called on to conduct procedural reviews of AusNCP complaints and may be consulted on various operational and administrative matters as needed.</w:t>
      </w:r>
      <w:r w:rsidR="007150EC" w:rsidRPr="00CF3CC5">
        <w:t xml:space="preserve"> </w:t>
      </w:r>
    </w:p>
    <w:p w14:paraId="55AA606F" w14:textId="1E9BD597" w:rsidR="002A046F" w:rsidRPr="009C08BB" w:rsidRDefault="00CF3CC5" w:rsidP="00D25328">
      <w:pPr>
        <w:pStyle w:val="OutlineNumbered1"/>
        <w:numPr>
          <w:ilvl w:val="0"/>
          <w:numId w:val="36"/>
        </w:numPr>
        <w:spacing w:after="200" w:line="276" w:lineRule="auto"/>
      </w:pPr>
      <w:r w:rsidRPr="00CF3CC5">
        <w:t xml:space="preserve">From September 2019, all new cases will be managed by an Independent Examiner, who will be supported by the AusNCP Secretariat and the Board. The Australian National Contact Point, held by a Senior Executive official in the Treasury, retains responsibility for current cases submitted prior to September </w:t>
      </w:r>
      <w:r w:rsidR="00D73FB7" w:rsidRPr="00CF3CC5">
        <w:t>2019.</w:t>
      </w:r>
    </w:p>
    <w:sectPr w:rsidR="002A046F" w:rsidRPr="009C08BB" w:rsidSect="00457337">
      <w:headerReference w:type="even" r:id="rId25"/>
      <w:headerReference w:type="default" r:id="rId26"/>
      <w:footerReference w:type="even" r:id="rId27"/>
      <w:footerReference w:type="default" r:id="rId28"/>
      <w:headerReference w:type="first" r:id="rId29"/>
      <w:footerReference w:type="first" r:id="rId30"/>
      <w:type w:val="oddPage"/>
      <w:pgSz w:w="11906" w:h="16838" w:code="277"/>
      <w:pgMar w:top="851" w:right="1418" w:bottom="1418" w:left="1418" w:header="102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7EA7" w14:textId="77777777" w:rsidR="008B3655" w:rsidRDefault="008B3655" w:rsidP="00350A19">
      <w:r>
        <w:separator/>
      </w:r>
    </w:p>
  </w:endnote>
  <w:endnote w:type="continuationSeparator" w:id="0">
    <w:p w14:paraId="1D74F42E" w14:textId="77777777" w:rsidR="008B3655" w:rsidRDefault="008B3655" w:rsidP="00350A19">
      <w:r>
        <w:continuationSeparator/>
      </w:r>
    </w:p>
  </w:endnote>
  <w:endnote w:type="continuationNotice" w:id="1">
    <w:p w14:paraId="5E6672DC" w14:textId="77777777" w:rsidR="008B3655" w:rsidRDefault="008B3655" w:rsidP="0035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Futura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FCCE" w14:textId="77777777" w:rsidR="005A1A2F" w:rsidRDefault="005A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32E5" w14:textId="6A0F3BE6" w:rsidR="00D25328" w:rsidRDefault="00D25328" w:rsidP="00CD2BA7">
    <w:pPr>
      <w:pStyle w:val="Footer"/>
      <w:jc w:val="right"/>
    </w:pPr>
    <w:r>
      <w:rPr>
        <w:caps/>
        <w:color w:val="4F81BD" w:themeColor="accent1"/>
      </w:rPr>
      <w:t>P</w:t>
    </w:r>
    <w:r>
      <w:rPr>
        <w:color w:val="4F81BD" w:themeColor="accent1"/>
      </w:rPr>
      <w:t>age</w:t>
    </w:r>
    <w:r>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06C38">
      <w:rPr>
        <w:caps/>
        <w:noProof/>
        <w:color w:val="4F81BD" w:themeColor="accent1"/>
      </w:rPr>
      <w:t>9</w:t>
    </w:r>
    <w:r>
      <w:rPr>
        <w:caps/>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F881" w14:textId="77777777" w:rsidR="00D25328" w:rsidRPr="00AF4526" w:rsidRDefault="00D25328" w:rsidP="002C150F">
    <w:pPr>
      <w:pStyle w:val="Disclaimer"/>
      <w:rPr>
        <w:lang w:val="en-US"/>
      </w:rPr>
    </w:pPr>
    <w:r w:rsidRPr="00AF4526">
      <w:rPr>
        <w:lang w:val="en-US"/>
      </w:rPr>
      <w:t>Disclaimer</w:t>
    </w:r>
  </w:p>
  <w:p w14:paraId="193A4012" w14:textId="7D1D3554" w:rsidR="00D25328" w:rsidRPr="002C150F" w:rsidRDefault="00D25328" w:rsidP="002C150F">
    <w:pPr>
      <w:pStyle w:val="Disclaimer"/>
    </w:pPr>
    <w:r>
      <w:rPr>
        <w:lang w:val="en-US"/>
      </w:rPr>
      <w:t>The</w:t>
    </w:r>
    <w:r w:rsidRPr="00AF4526">
      <w:rPr>
        <w:lang w:val="en-US"/>
      </w:rPr>
      <w:t xml:space="preserve"> information contained within this document is intended to inform the reader of the general processes and undertakings arising from a specific instance complaint raised with the Australian National Contact Point for the OECD Guidelines for Multinational Enterprises. It is made available on the understanding that the Australian Treasury, as a result of providing this information, is not engaged in providing professional or legal advice</w:t>
    </w:r>
    <w:r>
      <w:rPr>
        <w:lang w:val="en-US"/>
      </w:rPr>
      <w:t xml:space="preserve">, nor does it </w:t>
    </w:r>
    <w:r w:rsidRPr="001772B9">
      <w:rPr>
        <w:lang w:val="en-US"/>
      </w:rPr>
      <w:t xml:space="preserve">accept </w:t>
    </w:r>
    <w:r>
      <w:rPr>
        <w:lang w:val="en-US"/>
      </w:rPr>
      <w:t>any</w:t>
    </w:r>
    <w:r w:rsidRPr="001772B9">
      <w:rPr>
        <w:lang w:val="en-US"/>
      </w:rPr>
      <w:t xml:space="preserve"> responsibility for the accuracy or completeness of any material contained </w:t>
    </w:r>
    <w:r w:rsidRPr="00AF4526">
      <w:rPr>
        <w:lang w:val="en-US"/>
      </w:rPr>
      <w:t>herein</w:t>
    </w:r>
    <w:r>
      <w:rPr>
        <w:lang w:val="en-US"/>
      </w:rPr>
      <w:t xml:space="preserve">. Readers should </w:t>
    </w:r>
    <w:r w:rsidRPr="001772B9">
      <w:rPr>
        <w:lang w:val="en-US"/>
      </w:rPr>
      <w:t xml:space="preserve">exercise their own </w:t>
    </w:r>
    <w:r w:rsidRPr="00AF4526">
      <w:rPr>
        <w:lang w:val="en-US"/>
      </w:rPr>
      <w:t xml:space="preserve">judgement </w:t>
    </w:r>
    <w:r w:rsidRPr="001772B9">
      <w:rPr>
        <w:lang w:val="en-US"/>
      </w:rPr>
      <w:t xml:space="preserve">with respect to </w:t>
    </w:r>
    <w:r w:rsidRPr="00AF4526">
      <w:rPr>
        <w:lang w:val="en-US"/>
      </w:rPr>
      <w:t>interpretation</w:t>
    </w:r>
    <w:r w:rsidRPr="001772B9">
      <w:rPr>
        <w:lang w:val="en-US"/>
      </w:rPr>
      <w:t>.</w:t>
    </w:r>
    <w:r w:rsidRPr="00AF4526">
      <w:rPr>
        <w:lang w:val="en-US"/>
      </w:rPr>
      <w:t xml:space="preserve"> This </w:t>
    </w:r>
    <w:r w:rsidRPr="001772B9">
      <w:rPr>
        <w:lang w:val="en-US"/>
      </w:rPr>
      <w:t>material include</w:t>
    </w:r>
    <w:r w:rsidRPr="00AF4526">
      <w:rPr>
        <w:lang w:val="en-US"/>
      </w:rPr>
      <w:t>s the</w:t>
    </w:r>
    <w:r w:rsidRPr="001772B9">
      <w:rPr>
        <w:lang w:val="en-US"/>
      </w:rPr>
      <w:t xml:space="preserve"> views of third parties, which do not necessarily reflect the views of the Commonwealth, or indicate its commitment to a particular course of action.</w:t>
    </w:r>
    <w:r w:rsidRPr="00AF4526">
      <w:rPr>
        <w:lang w:val="en-US"/>
      </w:rPr>
      <w:t xml:space="preserve"> </w:t>
    </w:r>
    <w:r w:rsidRPr="001772B9">
      <w:rPr>
        <w:lang w:val="en-US"/>
      </w:rPr>
      <w:t xml:space="preserve">Links to other websites </w:t>
    </w:r>
    <w:r>
      <w:rPr>
        <w:lang w:val="en-US"/>
      </w:rPr>
      <w:t xml:space="preserve">and listings of other people or organisations </w:t>
    </w:r>
    <w:r w:rsidRPr="001772B9">
      <w:rPr>
        <w:lang w:val="en-US"/>
      </w:rPr>
      <w:t xml:space="preserve">are </w:t>
    </w:r>
    <w:r>
      <w:rPr>
        <w:lang w:val="en-US"/>
      </w:rPr>
      <w:t xml:space="preserve">included </w:t>
    </w:r>
    <w:r w:rsidRPr="001772B9">
      <w:rPr>
        <w:lang w:val="en-US"/>
      </w:rPr>
      <w:t>for convenience and do not constitute endorsement of those sites, product</w:t>
    </w:r>
    <w:r>
      <w:rPr>
        <w:lang w:val="en-US"/>
      </w:rPr>
      <w:t>s</w:t>
    </w:r>
    <w:r w:rsidRPr="001772B9">
      <w:rPr>
        <w:lang w:val="en-US"/>
      </w:rPr>
      <w:t xml:space="preserve"> or service</w:t>
    </w:r>
    <w:r>
      <w:rPr>
        <w:lang w:val="en-US"/>
      </w:rPr>
      <w:t>s</w:t>
    </w:r>
    <w:r w:rsidRPr="001772B9">
      <w:rPr>
        <w:lang w:val="en-US"/>
      </w:rPr>
      <w:t>.</w:t>
    </w:r>
    <w:r>
      <w:rPr>
        <w:lang w:val="en-US"/>
      </w:rPr>
      <w:t xml:space="preserve"> </w:t>
    </w:r>
    <w:r w:rsidRPr="0094629C">
      <w:rPr>
        <w:lang w:val="en-US"/>
      </w:rPr>
      <w:t xml:space="preserve">The Commonwealth Government respects the privacy of personal </w:t>
    </w:r>
    <w:r>
      <w:rPr>
        <w:lang w:val="en-US"/>
      </w:rPr>
      <w:t xml:space="preserve">and commercially sensitive </w:t>
    </w:r>
    <w:r w:rsidRPr="0094629C">
      <w:rPr>
        <w:lang w:val="en-US"/>
      </w:rPr>
      <w:t xml:space="preserve">information provided by </w:t>
    </w:r>
    <w:r>
      <w:rPr>
        <w:lang w:val="en-US"/>
      </w:rPr>
      <w:t>parties</w:t>
    </w:r>
    <w:r w:rsidRPr="0094629C">
      <w:rPr>
        <w:lang w:val="en-US"/>
      </w:rPr>
      <w:t>, as per the requirements of the Privacy Act 1988 and the Freedom of Information Act 1982.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3238" w14:textId="77777777" w:rsidR="008B3655" w:rsidRDefault="008B3655" w:rsidP="00350A19">
      <w:r>
        <w:separator/>
      </w:r>
    </w:p>
  </w:footnote>
  <w:footnote w:type="continuationSeparator" w:id="0">
    <w:p w14:paraId="13B6061D" w14:textId="77777777" w:rsidR="008B3655" w:rsidRDefault="008B3655" w:rsidP="00350A19">
      <w:r>
        <w:continuationSeparator/>
      </w:r>
    </w:p>
  </w:footnote>
  <w:footnote w:type="continuationNotice" w:id="1">
    <w:p w14:paraId="526A2834" w14:textId="77777777" w:rsidR="008B3655" w:rsidRDefault="008B3655" w:rsidP="00350A19"/>
  </w:footnote>
  <w:footnote w:id="2">
    <w:p w14:paraId="1615E901" w14:textId="11FB5264" w:rsidR="00D25328" w:rsidRDefault="00D25328" w:rsidP="0095710C">
      <w:pPr>
        <w:pStyle w:val="FootnoteText"/>
      </w:pPr>
      <w:r>
        <w:rPr>
          <w:rStyle w:val="FootnoteReference"/>
        </w:rPr>
        <w:footnoteRef/>
      </w:r>
      <w:r>
        <w:t xml:space="preserve"> See section 4.10 of the AusNCP C</w:t>
      </w:r>
      <w:r w:rsidRPr="00B75B16">
        <w:t xml:space="preserve">omplaint </w:t>
      </w:r>
      <w:r>
        <w:t>P</w:t>
      </w:r>
      <w:r w:rsidRPr="00B75B16">
        <w:t>rocedures</w:t>
      </w:r>
      <w:r>
        <w:t>, September 2019.</w:t>
      </w:r>
    </w:p>
  </w:footnote>
  <w:footnote w:id="3">
    <w:p w14:paraId="3779CF6A" w14:textId="77777777" w:rsidR="00D25328" w:rsidRDefault="00D25328" w:rsidP="00694129">
      <w:pPr>
        <w:pStyle w:val="FootnoteText"/>
      </w:pPr>
      <w:r>
        <w:rPr>
          <w:rStyle w:val="FootnoteReference"/>
        </w:rPr>
        <w:footnoteRef/>
      </w:r>
      <w:r>
        <w:t xml:space="preserve"> See section 3.4, </w:t>
      </w:r>
      <w:r w:rsidRPr="00B75B16">
        <w:t xml:space="preserve">AusNCP </w:t>
      </w:r>
      <w:r>
        <w:t>C</w:t>
      </w:r>
      <w:r w:rsidRPr="00B75B16">
        <w:t xml:space="preserve">omplaint </w:t>
      </w:r>
      <w:r>
        <w:t>P</w:t>
      </w:r>
      <w:r w:rsidRPr="00B75B16">
        <w:t>rocedures</w:t>
      </w:r>
      <w:r>
        <w:t>, September 2019.</w:t>
      </w:r>
    </w:p>
  </w:footnote>
  <w:footnote w:id="4">
    <w:p w14:paraId="2E2B5BF5" w14:textId="56EAD4DD" w:rsidR="001220D3" w:rsidRDefault="001220D3">
      <w:pPr>
        <w:pStyle w:val="FootnoteText"/>
      </w:pPr>
      <w:r>
        <w:rPr>
          <w:rStyle w:val="FootnoteReference"/>
        </w:rPr>
        <w:footnoteRef/>
      </w:r>
      <w:r>
        <w:t xml:space="preserve"> See sections 4.8 and 4.9, AusNCP Complaint Procedures, September 2019.</w:t>
      </w:r>
    </w:p>
  </w:footnote>
  <w:footnote w:id="5">
    <w:p w14:paraId="56A598DA" w14:textId="2BF97810" w:rsidR="00D25328" w:rsidRDefault="00D25328">
      <w:pPr>
        <w:pStyle w:val="FootnoteText"/>
      </w:pPr>
      <w:r>
        <w:rPr>
          <w:rStyle w:val="FootnoteReference"/>
        </w:rPr>
        <w:footnoteRef/>
      </w:r>
      <w:r>
        <w:t xml:space="preserve"> See section 4.7 and 6.2, </w:t>
      </w:r>
      <w:r w:rsidRPr="00B75B16">
        <w:t xml:space="preserve">AusNCP </w:t>
      </w:r>
      <w:r>
        <w:t>C</w:t>
      </w:r>
      <w:r w:rsidRPr="00B75B16">
        <w:t xml:space="preserve">omplaint </w:t>
      </w:r>
      <w:r>
        <w:t>P</w:t>
      </w:r>
      <w:r w:rsidRPr="00B75B16">
        <w:t>rocedures</w:t>
      </w:r>
      <w:r>
        <w:t>, September 2019.</w:t>
      </w:r>
    </w:p>
  </w:footnote>
  <w:footnote w:id="6">
    <w:p w14:paraId="09A4B5F8" w14:textId="25C4FD2C" w:rsidR="00236DDD" w:rsidRDefault="00236DDD">
      <w:pPr>
        <w:pStyle w:val="FootnoteText"/>
      </w:pPr>
      <w:r>
        <w:rPr>
          <w:rStyle w:val="FootnoteReference"/>
        </w:rPr>
        <w:footnoteRef/>
      </w:r>
      <w:r>
        <w:t xml:space="preserve"> See section </w:t>
      </w:r>
      <w:r w:rsidR="00FE48A0">
        <w:t>4.8</w:t>
      </w:r>
      <w:r>
        <w:t>, AusNCP Complaint Procedures, September 2019.</w:t>
      </w:r>
    </w:p>
  </w:footnote>
  <w:footnote w:id="7">
    <w:p w14:paraId="4AE0ED78" w14:textId="488DC20B" w:rsidR="00D25328" w:rsidRDefault="00D25328">
      <w:pPr>
        <w:pStyle w:val="FootnoteText"/>
      </w:pPr>
      <w:r>
        <w:rPr>
          <w:rStyle w:val="FootnoteReference"/>
        </w:rPr>
        <w:footnoteRef/>
      </w:r>
      <w:r>
        <w:t xml:space="preserve"> See 6.6, AusNCP Complaint Procedures,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FD45" w14:textId="77777777" w:rsidR="005A1A2F" w:rsidRDefault="005A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B531" w14:textId="2D3ED20F" w:rsidR="00D25328" w:rsidRDefault="00D2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C2F8" w14:textId="77777777" w:rsidR="00D25328" w:rsidRDefault="00D25328" w:rsidP="002C150F">
    <w:pPr>
      <w:spacing w:line="240" w:lineRule="auto"/>
      <w:jc w:val="center"/>
    </w:pPr>
    <w:r>
      <w:rPr>
        <w:noProof/>
      </w:rPr>
      <w:drawing>
        <wp:inline distT="0" distB="0" distL="0" distR="0" wp14:anchorId="4A7A4CFA" wp14:editId="50E7F37A">
          <wp:extent cx="1569723" cy="96926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reasury_stac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3" cy="969266"/>
                  </a:xfrm>
                  <a:prstGeom prst="rect">
                    <a:avLst/>
                  </a:prstGeom>
                </pic:spPr>
              </pic:pic>
            </a:graphicData>
          </a:graphic>
        </wp:inline>
      </w:drawing>
    </w:r>
  </w:p>
  <w:p w14:paraId="63ABA232" w14:textId="77777777" w:rsidR="00D25328" w:rsidRDefault="00D25328"/>
  <w:p w14:paraId="541FB423" w14:textId="77777777" w:rsidR="00D25328" w:rsidRDefault="00D2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B29"/>
    <w:multiLevelType w:val="hybridMultilevel"/>
    <w:tmpl w:val="53B2682C"/>
    <w:lvl w:ilvl="0" w:tplc="6252673E">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3212E45"/>
    <w:multiLevelType w:val="multilevel"/>
    <w:tmpl w:val="DF2651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7E35C1"/>
    <w:multiLevelType w:val="multilevel"/>
    <w:tmpl w:val="CFC4306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97D4E"/>
    <w:multiLevelType w:val="multilevel"/>
    <w:tmpl w:val="F5E26ECA"/>
    <w:name w:val="StandardNumberedList"/>
    <w:lvl w:ilvl="0">
      <w:start w:val="1"/>
      <w:numFmt w:val="decimal"/>
      <w:lvlText w:val="%1."/>
      <w:lvlJc w:val="left"/>
      <w:pPr>
        <w:tabs>
          <w:tab w:val="num" w:pos="567"/>
        </w:tabs>
        <w:ind w:left="567" w:hanging="567"/>
      </w:pPr>
      <w:rPr>
        <w:rFonts w:asciiTheme="minorHAnsi" w:hAnsiTheme="minorHAnsi" w:hint="default"/>
        <w:b w:val="0"/>
        <w:color w:val="000000" w:themeColor="text1"/>
        <w:sz w:val="24"/>
        <w:szCs w:val="24"/>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7826BF0"/>
    <w:multiLevelType w:val="multilevel"/>
    <w:tmpl w:val="CC660076"/>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425"/>
        </w:tabs>
        <w:ind w:left="425" w:hanging="425"/>
      </w:pPr>
      <w:rPr>
        <w:rFonts w:hint="default"/>
        <w:b/>
        <w:color w:val="5B5E6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7328CF"/>
    <w:multiLevelType w:val="multilevel"/>
    <w:tmpl w:val="7EF4E32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347EF5"/>
    <w:multiLevelType w:val="multilevel"/>
    <w:tmpl w:val="DF2651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D72F8B"/>
    <w:multiLevelType w:val="hybridMultilevel"/>
    <w:tmpl w:val="666816D0"/>
    <w:lvl w:ilvl="0" w:tplc="7A544CB0">
      <w:start w:val="1"/>
      <w:numFmt w:val="bullet"/>
      <w:pStyle w:val="TableTextLeft-Bullet"/>
      <w:lvlText w:val="•"/>
      <w:lvlJc w:val="left"/>
      <w:pPr>
        <w:tabs>
          <w:tab w:val="num" w:pos="284"/>
        </w:tabs>
        <w:ind w:left="284" w:hanging="284"/>
      </w:pPr>
      <w:rPr>
        <w:rFonts w:ascii="Calibri Light" w:hAnsi="Calibri Light"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AB429D"/>
    <w:multiLevelType w:val="multilevel"/>
    <w:tmpl w:val="CAA22706"/>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117D8C"/>
    <w:multiLevelType w:val="multilevel"/>
    <w:tmpl w:val="0D061A9C"/>
    <w:lvl w:ilvl="0">
      <w:start w:val="1"/>
      <w:numFmt w:val="lowerRoman"/>
      <w:pStyle w:val="OutlineNumbered1-Roman"/>
      <w:lvlText w:val="%1."/>
      <w:lvlJc w:val="left"/>
      <w:pPr>
        <w:tabs>
          <w:tab w:val="num" w:pos="851"/>
        </w:tabs>
        <w:ind w:left="851" w:hanging="426"/>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11"/>
  </w:num>
  <w:num w:numId="4">
    <w:abstractNumId w:val="3"/>
  </w:num>
  <w:num w:numId="5">
    <w:abstractNumId w:val="4"/>
  </w:num>
  <w:num w:numId="6">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5"/>
  </w:num>
  <w:num w:numId="8">
    <w:abstractNumId w:val="8"/>
  </w:num>
  <w:num w:numId="9">
    <w:abstractNumId w:val="16"/>
  </w:num>
  <w:num w:numId="10">
    <w:abstractNumId w:val="15"/>
  </w:num>
  <w:num w:numId="11">
    <w:abstractNumId w:val="15"/>
    <w:lvlOverride w:ilvl="0">
      <w:startOverride w:val="1"/>
    </w:lvlOverride>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5"/>
    <w:lvlOverride w:ilvl="0">
      <w:startOverride w:val="1"/>
    </w:lvlOverride>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4"/>
  </w:num>
  <w:num w:numId="32">
    <w:abstractNumId w:val="1"/>
  </w:num>
  <w:num w:numId="33">
    <w:abstractNumId w:val="13"/>
  </w:num>
  <w:num w:numId="34">
    <w:abstractNumId w:val="6"/>
  </w:num>
  <w:num w:numId="3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E"/>
    <w:rsid w:val="00002BD3"/>
    <w:rsid w:val="00003919"/>
    <w:rsid w:val="00010645"/>
    <w:rsid w:val="00013EA0"/>
    <w:rsid w:val="00014352"/>
    <w:rsid w:val="000149C8"/>
    <w:rsid w:val="00015FF4"/>
    <w:rsid w:val="00016345"/>
    <w:rsid w:val="00017AD6"/>
    <w:rsid w:val="00020867"/>
    <w:rsid w:val="00021D4B"/>
    <w:rsid w:val="00024C93"/>
    <w:rsid w:val="0003138B"/>
    <w:rsid w:val="00033B98"/>
    <w:rsid w:val="00036243"/>
    <w:rsid w:val="00042F81"/>
    <w:rsid w:val="00043A1C"/>
    <w:rsid w:val="00047714"/>
    <w:rsid w:val="000553D3"/>
    <w:rsid w:val="00055B27"/>
    <w:rsid w:val="00055D08"/>
    <w:rsid w:val="00055D4A"/>
    <w:rsid w:val="00056A2C"/>
    <w:rsid w:val="00061C09"/>
    <w:rsid w:val="00063921"/>
    <w:rsid w:val="00064924"/>
    <w:rsid w:val="000655B0"/>
    <w:rsid w:val="00071308"/>
    <w:rsid w:val="000723EA"/>
    <w:rsid w:val="00072527"/>
    <w:rsid w:val="00074578"/>
    <w:rsid w:val="00074F7F"/>
    <w:rsid w:val="00082C37"/>
    <w:rsid w:val="00084525"/>
    <w:rsid w:val="0008493F"/>
    <w:rsid w:val="0008568F"/>
    <w:rsid w:val="0009035A"/>
    <w:rsid w:val="00092AC7"/>
    <w:rsid w:val="00095A01"/>
    <w:rsid w:val="00096809"/>
    <w:rsid w:val="000A1605"/>
    <w:rsid w:val="000A28F4"/>
    <w:rsid w:val="000A2CF6"/>
    <w:rsid w:val="000A33D5"/>
    <w:rsid w:val="000A4661"/>
    <w:rsid w:val="000A6C01"/>
    <w:rsid w:val="000A7661"/>
    <w:rsid w:val="000B21BA"/>
    <w:rsid w:val="000B3726"/>
    <w:rsid w:val="000B3839"/>
    <w:rsid w:val="000B4114"/>
    <w:rsid w:val="000C184C"/>
    <w:rsid w:val="000C3907"/>
    <w:rsid w:val="000C4E00"/>
    <w:rsid w:val="000C4E87"/>
    <w:rsid w:val="000D0E5B"/>
    <w:rsid w:val="000E20BC"/>
    <w:rsid w:val="000E24ED"/>
    <w:rsid w:val="000E6EEE"/>
    <w:rsid w:val="000F37B7"/>
    <w:rsid w:val="000F57ED"/>
    <w:rsid w:val="000F76C7"/>
    <w:rsid w:val="001009AD"/>
    <w:rsid w:val="0010485D"/>
    <w:rsid w:val="00107881"/>
    <w:rsid w:val="00111397"/>
    <w:rsid w:val="001157AB"/>
    <w:rsid w:val="00120A25"/>
    <w:rsid w:val="001220D3"/>
    <w:rsid w:val="0012425C"/>
    <w:rsid w:val="001247F5"/>
    <w:rsid w:val="00124F4B"/>
    <w:rsid w:val="00125196"/>
    <w:rsid w:val="0012715E"/>
    <w:rsid w:val="00127298"/>
    <w:rsid w:val="00127CC5"/>
    <w:rsid w:val="001328B1"/>
    <w:rsid w:val="00134697"/>
    <w:rsid w:val="00140D83"/>
    <w:rsid w:val="001414B9"/>
    <w:rsid w:val="0014242A"/>
    <w:rsid w:val="0014463B"/>
    <w:rsid w:val="00147311"/>
    <w:rsid w:val="0015081D"/>
    <w:rsid w:val="0015320B"/>
    <w:rsid w:val="0016723D"/>
    <w:rsid w:val="00175877"/>
    <w:rsid w:val="00180CBB"/>
    <w:rsid w:val="001813B5"/>
    <w:rsid w:val="00181EB7"/>
    <w:rsid w:val="00185E79"/>
    <w:rsid w:val="00186CBA"/>
    <w:rsid w:val="00191CB9"/>
    <w:rsid w:val="001A5A10"/>
    <w:rsid w:val="001A6619"/>
    <w:rsid w:val="001A686B"/>
    <w:rsid w:val="001A786B"/>
    <w:rsid w:val="001B15F7"/>
    <w:rsid w:val="001C0590"/>
    <w:rsid w:val="001C12AF"/>
    <w:rsid w:val="001C2D3D"/>
    <w:rsid w:val="001C47C2"/>
    <w:rsid w:val="001D34A2"/>
    <w:rsid w:val="001D36B9"/>
    <w:rsid w:val="001E2398"/>
    <w:rsid w:val="001E5193"/>
    <w:rsid w:val="001E51D6"/>
    <w:rsid w:val="001E69CE"/>
    <w:rsid w:val="001E7F5E"/>
    <w:rsid w:val="001F1199"/>
    <w:rsid w:val="001F1253"/>
    <w:rsid w:val="001F1799"/>
    <w:rsid w:val="001F3F00"/>
    <w:rsid w:val="001F6E50"/>
    <w:rsid w:val="002018D3"/>
    <w:rsid w:val="0020495D"/>
    <w:rsid w:val="00214E28"/>
    <w:rsid w:val="00220846"/>
    <w:rsid w:val="00221DF8"/>
    <w:rsid w:val="002235A8"/>
    <w:rsid w:val="00226BDA"/>
    <w:rsid w:val="00236DDD"/>
    <w:rsid w:val="00241BFA"/>
    <w:rsid w:val="00243710"/>
    <w:rsid w:val="00243ED8"/>
    <w:rsid w:val="00246BD5"/>
    <w:rsid w:val="00255C07"/>
    <w:rsid w:val="00260032"/>
    <w:rsid w:val="002656B7"/>
    <w:rsid w:val="00266ADE"/>
    <w:rsid w:val="0027105C"/>
    <w:rsid w:val="002753E7"/>
    <w:rsid w:val="002772A6"/>
    <w:rsid w:val="0028316F"/>
    <w:rsid w:val="002A046F"/>
    <w:rsid w:val="002C150F"/>
    <w:rsid w:val="002C375D"/>
    <w:rsid w:val="002C6735"/>
    <w:rsid w:val="002C7FC3"/>
    <w:rsid w:val="002D0741"/>
    <w:rsid w:val="002D3F13"/>
    <w:rsid w:val="002D6E29"/>
    <w:rsid w:val="002E0346"/>
    <w:rsid w:val="002E1A79"/>
    <w:rsid w:val="002E3091"/>
    <w:rsid w:val="002E6094"/>
    <w:rsid w:val="002F0EA7"/>
    <w:rsid w:val="002F2AED"/>
    <w:rsid w:val="002F4F05"/>
    <w:rsid w:val="002F6678"/>
    <w:rsid w:val="002F6E69"/>
    <w:rsid w:val="00300F2B"/>
    <w:rsid w:val="00301C7E"/>
    <w:rsid w:val="00303807"/>
    <w:rsid w:val="00320623"/>
    <w:rsid w:val="00323854"/>
    <w:rsid w:val="00326B00"/>
    <w:rsid w:val="003305FE"/>
    <w:rsid w:val="00335107"/>
    <w:rsid w:val="00340FA8"/>
    <w:rsid w:val="00341213"/>
    <w:rsid w:val="00345A28"/>
    <w:rsid w:val="00350A19"/>
    <w:rsid w:val="0035669A"/>
    <w:rsid w:val="00361603"/>
    <w:rsid w:val="003632FA"/>
    <w:rsid w:val="00367AD1"/>
    <w:rsid w:val="00374425"/>
    <w:rsid w:val="003776E8"/>
    <w:rsid w:val="003804B5"/>
    <w:rsid w:val="003814BD"/>
    <w:rsid w:val="00381C8F"/>
    <w:rsid w:val="00383D61"/>
    <w:rsid w:val="00392DF4"/>
    <w:rsid w:val="00395B9A"/>
    <w:rsid w:val="003A04EB"/>
    <w:rsid w:val="003A0682"/>
    <w:rsid w:val="003A5FCC"/>
    <w:rsid w:val="003A6533"/>
    <w:rsid w:val="003B1B92"/>
    <w:rsid w:val="003B2BBA"/>
    <w:rsid w:val="003B5777"/>
    <w:rsid w:val="003B68B4"/>
    <w:rsid w:val="003D0A6D"/>
    <w:rsid w:val="003D2400"/>
    <w:rsid w:val="003D6648"/>
    <w:rsid w:val="003E2CAB"/>
    <w:rsid w:val="003E52DB"/>
    <w:rsid w:val="003E56AD"/>
    <w:rsid w:val="003F035F"/>
    <w:rsid w:val="004003C5"/>
    <w:rsid w:val="00400B25"/>
    <w:rsid w:val="00405EAD"/>
    <w:rsid w:val="00410340"/>
    <w:rsid w:val="00411521"/>
    <w:rsid w:val="00411F39"/>
    <w:rsid w:val="00420060"/>
    <w:rsid w:val="00422668"/>
    <w:rsid w:val="004228AA"/>
    <w:rsid w:val="00424A07"/>
    <w:rsid w:val="004257B9"/>
    <w:rsid w:val="00425C96"/>
    <w:rsid w:val="00427966"/>
    <w:rsid w:val="004310CF"/>
    <w:rsid w:val="00435461"/>
    <w:rsid w:val="00445769"/>
    <w:rsid w:val="0044754A"/>
    <w:rsid w:val="00451891"/>
    <w:rsid w:val="004525FC"/>
    <w:rsid w:val="00452981"/>
    <w:rsid w:val="00454214"/>
    <w:rsid w:val="00454AD7"/>
    <w:rsid w:val="00454D45"/>
    <w:rsid w:val="00457337"/>
    <w:rsid w:val="00457DE8"/>
    <w:rsid w:val="004609E0"/>
    <w:rsid w:val="00460A8F"/>
    <w:rsid w:val="00463413"/>
    <w:rsid w:val="004638D6"/>
    <w:rsid w:val="00472903"/>
    <w:rsid w:val="004761AE"/>
    <w:rsid w:val="00476D06"/>
    <w:rsid w:val="004776A1"/>
    <w:rsid w:val="0048270C"/>
    <w:rsid w:val="00484E17"/>
    <w:rsid w:val="004865FB"/>
    <w:rsid w:val="00486875"/>
    <w:rsid w:val="00492E99"/>
    <w:rsid w:val="00496A3A"/>
    <w:rsid w:val="004A0A11"/>
    <w:rsid w:val="004A2D58"/>
    <w:rsid w:val="004A2F89"/>
    <w:rsid w:val="004A47B2"/>
    <w:rsid w:val="004A6DE1"/>
    <w:rsid w:val="004B0077"/>
    <w:rsid w:val="004B1991"/>
    <w:rsid w:val="004B79CE"/>
    <w:rsid w:val="004C005B"/>
    <w:rsid w:val="004C2F78"/>
    <w:rsid w:val="004C392A"/>
    <w:rsid w:val="004C3AD3"/>
    <w:rsid w:val="004C3E95"/>
    <w:rsid w:val="004C7DE6"/>
    <w:rsid w:val="004D09D8"/>
    <w:rsid w:val="004D1D85"/>
    <w:rsid w:val="004D24CE"/>
    <w:rsid w:val="004D2A20"/>
    <w:rsid w:val="004E034B"/>
    <w:rsid w:val="004E3D8B"/>
    <w:rsid w:val="004E77E8"/>
    <w:rsid w:val="004F3123"/>
    <w:rsid w:val="00500247"/>
    <w:rsid w:val="00504247"/>
    <w:rsid w:val="005071B2"/>
    <w:rsid w:val="005106A0"/>
    <w:rsid w:val="005116FC"/>
    <w:rsid w:val="00512349"/>
    <w:rsid w:val="00515082"/>
    <w:rsid w:val="00515EFE"/>
    <w:rsid w:val="0052475B"/>
    <w:rsid w:val="00526220"/>
    <w:rsid w:val="00526578"/>
    <w:rsid w:val="00531274"/>
    <w:rsid w:val="005318FD"/>
    <w:rsid w:val="00535EE7"/>
    <w:rsid w:val="0053706B"/>
    <w:rsid w:val="005476D8"/>
    <w:rsid w:val="005508B3"/>
    <w:rsid w:val="00550C4E"/>
    <w:rsid w:val="005519C6"/>
    <w:rsid w:val="00562C8C"/>
    <w:rsid w:val="005646FA"/>
    <w:rsid w:val="00564CC1"/>
    <w:rsid w:val="005744A4"/>
    <w:rsid w:val="00574535"/>
    <w:rsid w:val="005771D6"/>
    <w:rsid w:val="00584D9D"/>
    <w:rsid w:val="00585032"/>
    <w:rsid w:val="005850B3"/>
    <w:rsid w:val="005856AE"/>
    <w:rsid w:val="00585927"/>
    <w:rsid w:val="00586354"/>
    <w:rsid w:val="00594D5E"/>
    <w:rsid w:val="005960F7"/>
    <w:rsid w:val="00596E1D"/>
    <w:rsid w:val="005A0115"/>
    <w:rsid w:val="005A096D"/>
    <w:rsid w:val="005A1A2F"/>
    <w:rsid w:val="005B5EFE"/>
    <w:rsid w:val="005B62E8"/>
    <w:rsid w:val="005D5AD4"/>
    <w:rsid w:val="005E08EF"/>
    <w:rsid w:val="005E5199"/>
    <w:rsid w:val="005E5622"/>
    <w:rsid w:val="005E5B29"/>
    <w:rsid w:val="005E65C6"/>
    <w:rsid w:val="005E78C9"/>
    <w:rsid w:val="005F16F5"/>
    <w:rsid w:val="006002F7"/>
    <w:rsid w:val="00604409"/>
    <w:rsid w:val="00604F31"/>
    <w:rsid w:val="00605AB0"/>
    <w:rsid w:val="006071D9"/>
    <w:rsid w:val="00607232"/>
    <w:rsid w:val="00607F7B"/>
    <w:rsid w:val="00614D84"/>
    <w:rsid w:val="00614E11"/>
    <w:rsid w:val="006243F4"/>
    <w:rsid w:val="006270CE"/>
    <w:rsid w:val="00630C48"/>
    <w:rsid w:val="006310BA"/>
    <w:rsid w:val="00636310"/>
    <w:rsid w:val="00641989"/>
    <w:rsid w:val="00642A67"/>
    <w:rsid w:val="00647361"/>
    <w:rsid w:val="00654673"/>
    <w:rsid w:val="006572DB"/>
    <w:rsid w:val="0066153F"/>
    <w:rsid w:val="00663DB3"/>
    <w:rsid w:val="006648C0"/>
    <w:rsid w:val="00672472"/>
    <w:rsid w:val="006735D3"/>
    <w:rsid w:val="00675DBC"/>
    <w:rsid w:val="006936A0"/>
    <w:rsid w:val="00694129"/>
    <w:rsid w:val="00694177"/>
    <w:rsid w:val="00696A29"/>
    <w:rsid w:val="00697045"/>
    <w:rsid w:val="006A08AF"/>
    <w:rsid w:val="006A0C1F"/>
    <w:rsid w:val="006A1D20"/>
    <w:rsid w:val="006B1E69"/>
    <w:rsid w:val="006C3173"/>
    <w:rsid w:val="006C3780"/>
    <w:rsid w:val="006C7065"/>
    <w:rsid w:val="006C727A"/>
    <w:rsid w:val="006D0F0C"/>
    <w:rsid w:val="006D1E5A"/>
    <w:rsid w:val="006E03B4"/>
    <w:rsid w:val="006E2489"/>
    <w:rsid w:val="006E6635"/>
    <w:rsid w:val="006F4205"/>
    <w:rsid w:val="006F45A6"/>
    <w:rsid w:val="006F4D43"/>
    <w:rsid w:val="006F6BA5"/>
    <w:rsid w:val="00701B7F"/>
    <w:rsid w:val="007032C5"/>
    <w:rsid w:val="00704961"/>
    <w:rsid w:val="00706C38"/>
    <w:rsid w:val="007127D3"/>
    <w:rsid w:val="00712866"/>
    <w:rsid w:val="00714BB8"/>
    <w:rsid w:val="007150EC"/>
    <w:rsid w:val="00716CB9"/>
    <w:rsid w:val="00717403"/>
    <w:rsid w:val="00717E16"/>
    <w:rsid w:val="00720201"/>
    <w:rsid w:val="00720CAB"/>
    <w:rsid w:val="00721C11"/>
    <w:rsid w:val="00730879"/>
    <w:rsid w:val="00744AB1"/>
    <w:rsid w:val="00745F6F"/>
    <w:rsid w:val="00746C5B"/>
    <w:rsid w:val="00751BB4"/>
    <w:rsid w:val="0076026C"/>
    <w:rsid w:val="00761775"/>
    <w:rsid w:val="007622FB"/>
    <w:rsid w:val="00762DDE"/>
    <w:rsid w:val="00764D0A"/>
    <w:rsid w:val="007763DB"/>
    <w:rsid w:val="0077762A"/>
    <w:rsid w:val="00777FB7"/>
    <w:rsid w:val="007910E1"/>
    <w:rsid w:val="00796CF6"/>
    <w:rsid w:val="007A3646"/>
    <w:rsid w:val="007B0CF2"/>
    <w:rsid w:val="007B37CB"/>
    <w:rsid w:val="007B6134"/>
    <w:rsid w:val="007C10C2"/>
    <w:rsid w:val="007C3227"/>
    <w:rsid w:val="007C486C"/>
    <w:rsid w:val="007C67E0"/>
    <w:rsid w:val="007D0F67"/>
    <w:rsid w:val="007D6097"/>
    <w:rsid w:val="007D6723"/>
    <w:rsid w:val="007D7724"/>
    <w:rsid w:val="007E2CE5"/>
    <w:rsid w:val="007E3160"/>
    <w:rsid w:val="007E6405"/>
    <w:rsid w:val="007E6DCD"/>
    <w:rsid w:val="007F5C66"/>
    <w:rsid w:val="00807E7B"/>
    <w:rsid w:val="00814673"/>
    <w:rsid w:val="0081774C"/>
    <w:rsid w:val="00826B0B"/>
    <w:rsid w:val="008325C7"/>
    <w:rsid w:val="00833DDD"/>
    <w:rsid w:val="00834D73"/>
    <w:rsid w:val="00840C8D"/>
    <w:rsid w:val="00840FF3"/>
    <w:rsid w:val="008412DA"/>
    <w:rsid w:val="00841FD5"/>
    <w:rsid w:val="008455E3"/>
    <w:rsid w:val="0084587F"/>
    <w:rsid w:val="00852967"/>
    <w:rsid w:val="008633BD"/>
    <w:rsid w:val="00863549"/>
    <w:rsid w:val="00867A96"/>
    <w:rsid w:val="00871150"/>
    <w:rsid w:val="008745B3"/>
    <w:rsid w:val="00875306"/>
    <w:rsid w:val="00875688"/>
    <w:rsid w:val="008759D4"/>
    <w:rsid w:val="00877B63"/>
    <w:rsid w:val="00880D67"/>
    <w:rsid w:val="008830DE"/>
    <w:rsid w:val="00884E61"/>
    <w:rsid w:val="00893356"/>
    <w:rsid w:val="008967D1"/>
    <w:rsid w:val="008A35CE"/>
    <w:rsid w:val="008A5B4C"/>
    <w:rsid w:val="008B073C"/>
    <w:rsid w:val="008B3655"/>
    <w:rsid w:val="008B442E"/>
    <w:rsid w:val="008C0F3B"/>
    <w:rsid w:val="008C7951"/>
    <w:rsid w:val="008D2EEA"/>
    <w:rsid w:val="008D302C"/>
    <w:rsid w:val="008E4FA8"/>
    <w:rsid w:val="008F0786"/>
    <w:rsid w:val="008F64FD"/>
    <w:rsid w:val="0090445B"/>
    <w:rsid w:val="0091089D"/>
    <w:rsid w:val="00910C8D"/>
    <w:rsid w:val="0091620F"/>
    <w:rsid w:val="009177FF"/>
    <w:rsid w:val="009205B4"/>
    <w:rsid w:val="00925813"/>
    <w:rsid w:val="00925DEA"/>
    <w:rsid w:val="00926EA2"/>
    <w:rsid w:val="00930A90"/>
    <w:rsid w:val="0093103B"/>
    <w:rsid w:val="00941B39"/>
    <w:rsid w:val="00945A44"/>
    <w:rsid w:val="0095338E"/>
    <w:rsid w:val="00954674"/>
    <w:rsid w:val="0095710C"/>
    <w:rsid w:val="00960BC6"/>
    <w:rsid w:val="00961B09"/>
    <w:rsid w:val="00962D12"/>
    <w:rsid w:val="009641E9"/>
    <w:rsid w:val="00966423"/>
    <w:rsid w:val="00967A82"/>
    <w:rsid w:val="009738C3"/>
    <w:rsid w:val="00977C14"/>
    <w:rsid w:val="00991A27"/>
    <w:rsid w:val="0099350E"/>
    <w:rsid w:val="00993892"/>
    <w:rsid w:val="0099453B"/>
    <w:rsid w:val="00997C6B"/>
    <w:rsid w:val="009A29F2"/>
    <w:rsid w:val="009A2BC9"/>
    <w:rsid w:val="009A5571"/>
    <w:rsid w:val="009B4BD3"/>
    <w:rsid w:val="009B55DA"/>
    <w:rsid w:val="009B61AF"/>
    <w:rsid w:val="009C08BB"/>
    <w:rsid w:val="009C3DAA"/>
    <w:rsid w:val="009C7617"/>
    <w:rsid w:val="009D1824"/>
    <w:rsid w:val="009D2CB6"/>
    <w:rsid w:val="009D46D6"/>
    <w:rsid w:val="009D527F"/>
    <w:rsid w:val="009D5B91"/>
    <w:rsid w:val="009D5CBF"/>
    <w:rsid w:val="009E32F3"/>
    <w:rsid w:val="009E4857"/>
    <w:rsid w:val="009F34AE"/>
    <w:rsid w:val="009F3AD7"/>
    <w:rsid w:val="009F4E20"/>
    <w:rsid w:val="009F5724"/>
    <w:rsid w:val="009F6ABB"/>
    <w:rsid w:val="00A040EE"/>
    <w:rsid w:val="00A07670"/>
    <w:rsid w:val="00A078D7"/>
    <w:rsid w:val="00A1010B"/>
    <w:rsid w:val="00A1110B"/>
    <w:rsid w:val="00A15D1A"/>
    <w:rsid w:val="00A17A41"/>
    <w:rsid w:val="00A22A20"/>
    <w:rsid w:val="00A339B6"/>
    <w:rsid w:val="00A353E1"/>
    <w:rsid w:val="00A4117C"/>
    <w:rsid w:val="00A42533"/>
    <w:rsid w:val="00A42BA1"/>
    <w:rsid w:val="00A42F45"/>
    <w:rsid w:val="00A445B4"/>
    <w:rsid w:val="00A45380"/>
    <w:rsid w:val="00A45FAB"/>
    <w:rsid w:val="00A461BB"/>
    <w:rsid w:val="00A50678"/>
    <w:rsid w:val="00A53210"/>
    <w:rsid w:val="00A576A8"/>
    <w:rsid w:val="00A6140B"/>
    <w:rsid w:val="00A725E2"/>
    <w:rsid w:val="00A73E8E"/>
    <w:rsid w:val="00A7583D"/>
    <w:rsid w:val="00A75E81"/>
    <w:rsid w:val="00A80638"/>
    <w:rsid w:val="00A82218"/>
    <w:rsid w:val="00A83F32"/>
    <w:rsid w:val="00A85C3A"/>
    <w:rsid w:val="00A87B1F"/>
    <w:rsid w:val="00A87D07"/>
    <w:rsid w:val="00A87E43"/>
    <w:rsid w:val="00A9370D"/>
    <w:rsid w:val="00A93EE2"/>
    <w:rsid w:val="00A94690"/>
    <w:rsid w:val="00A96349"/>
    <w:rsid w:val="00AA2603"/>
    <w:rsid w:val="00AA38B3"/>
    <w:rsid w:val="00AA7C92"/>
    <w:rsid w:val="00AB3F0B"/>
    <w:rsid w:val="00AC352D"/>
    <w:rsid w:val="00AC3A42"/>
    <w:rsid w:val="00AC68B3"/>
    <w:rsid w:val="00AC7A0C"/>
    <w:rsid w:val="00AD04E1"/>
    <w:rsid w:val="00AD2929"/>
    <w:rsid w:val="00AD6FCD"/>
    <w:rsid w:val="00AE1E16"/>
    <w:rsid w:val="00AE3EAA"/>
    <w:rsid w:val="00AE65C4"/>
    <w:rsid w:val="00AE75A3"/>
    <w:rsid w:val="00AE7DD0"/>
    <w:rsid w:val="00AF3727"/>
    <w:rsid w:val="00AF50CC"/>
    <w:rsid w:val="00AF69A6"/>
    <w:rsid w:val="00B04573"/>
    <w:rsid w:val="00B05405"/>
    <w:rsid w:val="00B0671B"/>
    <w:rsid w:val="00B10B7E"/>
    <w:rsid w:val="00B1114D"/>
    <w:rsid w:val="00B12A21"/>
    <w:rsid w:val="00B12F59"/>
    <w:rsid w:val="00B163D1"/>
    <w:rsid w:val="00B17632"/>
    <w:rsid w:val="00B21FC4"/>
    <w:rsid w:val="00B223AC"/>
    <w:rsid w:val="00B233CD"/>
    <w:rsid w:val="00B24777"/>
    <w:rsid w:val="00B25210"/>
    <w:rsid w:val="00B25C37"/>
    <w:rsid w:val="00B26145"/>
    <w:rsid w:val="00B278C5"/>
    <w:rsid w:val="00B352D1"/>
    <w:rsid w:val="00B41FC4"/>
    <w:rsid w:val="00B42071"/>
    <w:rsid w:val="00B42164"/>
    <w:rsid w:val="00B436F3"/>
    <w:rsid w:val="00B43A9C"/>
    <w:rsid w:val="00B478EA"/>
    <w:rsid w:val="00B548A9"/>
    <w:rsid w:val="00B54ECC"/>
    <w:rsid w:val="00B555EB"/>
    <w:rsid w:val="00B62815"/>
    <w:rsid w:val="00B65205"/>
    <w:rsid w:val="00B72A41"/>
    <w:rsid w:val="00B72B41"/>
    <w:rsid w:val="00B75B16"/>
    <w:rsid w:val="00B80582"/>
    <w:rsid w:val="00B8774A"/>
    <w:rsid w:val="00B90C0E"/>
    <w:rsid w:val="00B90ED2"/>
    <w:rsid w:val="00B9481A"/>
    <w:rsid w:val="00B9551F"/>
    <w:rsid w:val="00B96D74"/>
    <w:rsid w:val="00B9741E"/>
    <w:rsid w:val="00B9747A"/>
    <w:rsid w:val="00BA2E44"/>
    <w:rsid w:val="00BA5523"/>
    <w:rsid w:val="00BC7639"/>
    <w:rsid w:val="00BD11FA"/>
    <w:rsid w:val="00BE6720"/>
    <w:rsid w:val="00BF0D96"/>
    <w:rsid w:val="00BF3084"/>
    <w:rsid w:val="00BF3AD3"/>
    <w:rsid w:val="00C01952"/>
    <w:rsid w:val="00C10801"/>
    <w:rsid w:val="00C1364D"/>
    <w:rsid w:val="00C13852"/>
    <w:rsid w:val="00C14B23"/>
    <w:rsid w:val="00C160E9"/>
    <w:rsid w:val="00C20AAA"/>
    <w:rsid w:val="00C220F5"/>
    <w:rsid w:val="00C27F97"/>
    <w:rsid w:val="00C30694"/>
    <w:rsid w:val="00C30B0C"/>
    <w:rsid w:val="00C46F4E"/>
    <w:rsid w:val="00C53919"/>
    <w:rsid w:val="00C54F77"/>
    <w:rsid w:val="00C571DD"/>
    <w:rsid w:val="00C61DDF"/>
    <w:rsid w:val="00C64156"/>
    <w:rsid w:val="00C64E41"/>
    <w:rsid w:val="00C673AE"/>
    <w:rsid w:val="00C72207"/>
    <w:rsid w:val="00C75B61"/>
    <w:rsid w:val="00C76DB4"/>
    <w:rsid w:val="00C81135"/>
    <w:rsid w:val="00C821A1"/>
    <w:rsid w:val="00C84AEA"/>
    <w:rsid w:val="00C85E9F"/>
    <w:rsid w:val="00C9174D"/>
    <w:rsid w:val="00C974F9"/>
    <w:rsid w:val="00CA1475"/>
    <w:rsid w:val="00CB438D"/>
    <w:rsid w:val="00CB5FB8"/>
    <w:rsid w:val="00CC1DC1"/>
    <w:rsid w:val="00CC305B"/>
    <w:rsid w:val="00CC6050"/>
    <w:rsid w:val="00CC6B87"/>
    <w:rsid w:val="00CD0765"/>
    <w:rsid w:val="00CD2BA7"/>
    <w:rsid w:val="00CD4DAD"/>
    <w:rsid w:val="00CD74A9"/>
    <w:rsid w:val="00CE33D8"/>
    <w:rsid w:val="00CE568E"/>
    <w:rsid w:val="00CE64BE"/>
    <w:rsid w:val="00CE6E73"/>
    <w:rsid w:val="00CF3CC5"/>
    <w:rsid w:val="00D0114B"/>
    <w:rsid w:val="00D01979"/>
    <w:rsid w:val="00D01C64"/>
    <w:rsid w:val="00D05187"/>
    <w:rsid w:val="00D06866"/>
    <w:rsid w:val="00D10260"/>
    <w:rsid w:val="00D10C8A"/>
    <w:rsid w:val="00D138E5"/>
    <w:rsid w:val="00D13BE0"/>
    <w:rsid w:val="00D17842"/>
    <w:rsid w:val="00D228F1"/>
    <w:rsid w:val="00D23173"/>
    <w:rsid w:val="00D24381"/>
    <w:rsid w:val="00D25328"/>
    <w:rsid w:val="00D259E3"/>
    <w:rsid w:val="00D25A78"/>
    <w:rsid w:val="00D42D4B"/>
    <w:rsid w:val="00D43C00"/>
    <w:rsid w:val="00D4414C"/>
    <w:rsid w:val="00D52BC1"/>
    <w:rsid w:val="00D5358A"/>
    <w:rsid w:val="00D6125D"/>
    <w:rsid w:val="00D622CA"/>
    <w:rsid w:val="00D625CE"/>
    <w:rsid w:val="00D73FB7"/>
    <w:rsid w:val="00D75A72"/>
    <w:rsid w:val="00D75AF3"/>
    <w:rsid w:val="00D77199"/>
    <w:rsid w:val="00D8125D"/>
    <w:rsid w:val="00D851B8"/>
    <w:rsid w:val="00D8601D"/>
    <w:rsid w:val="00D95F70"/>
    <w:rsid w:val="00D97D34"/>
    <w:rsid w:val="00DA1FE2"/>
    <w:rsid w:val="00DA222A"/>
    <w:rsid w:val="00DB36CA"/>
    <w:rsid w:val="00DB383F"/>
    <w:rsid w:val="00DB45A6"/>
    <w:rsid w:val="00DC039A"/>
    <w:rsid w:val="00DC0D16"/>
    <w:rsid w:val="00DC1903"/>
    <w:rsid w:val="00DD303E"/>
    <w:rsid w:val="00DD450A"/>
    <w:rsid w:val="00DD4558"/>
    <w:rsid w:val="00DD77D9"/>
    <w:rsid w:val="00DE36A6"/>
    <w:rsid w:val="00DE672F"/>
    <w:rsid w:val="00DF1000"/>
    <w:rsid w:val="00DF2EC1"/>
    <w:rsid w:val="00DF386B"/>
    <w:rsid w:val="00DF50F1"/>
    <w:rsid w:val="00DF52D7"/>
    <w:rsid w:val="00DF55A2"/>
    <w:rsid w:val="00E00DF5"/>
    <w:rsid w:val="00E074E7"/>
    <w:rsid w:val="00E075A8"/>
    <w:rsid w:val="00E114AD"/>
    <w:rsid w:val="00E146C3"/>
    <w:rsid w:val="00E17516"/>
    <w:rsid w:val="00E20135"/>
    <w:rsid w:val="00E2290F"/>
    <w:rsid w:val="00E25708"/>
    <w:rsid w:val="00E27D38"/>
    <w:rsid w:val="00E30213"/>
    <w:rsid w:val="00E367B9"/>
    <w:rsid w:val="00E37565"/>
    <w:rsid w:val="00E37976"/>
    <w:rsid w:val="00E43DE0"/>
    <w:rsid w:val="00E56CC9"/>
    <w:rsid w:val="00E56D97"/>
    <w:rsid w:val="00E576F7"/>
    <w:rsid w:val="00E605C1"/>
    <w:rsid w:val="00E61773"/>
    <w:rsid w:val="00E62C0C"/>
    <w:rsid w:val="00E66943"/>
    <w:rsid w:val="00E71197"/>
    <w:rsid w:val="00E75CBE"/>
    <w:rsid w:val="00E87833"/>
    <w:rsid w:val="00E91CBF"/>
    <w:rsid w:val="00EA1236"/>
    <w:rsid w:val="00EA2330"/>
    <w:rsid w:val="00EA4C6E"/>
    <w:rsid w:val="00EA601E"/>
    <w:rsid w:val="00EA7518"/>
    <w:rsid w:val="00EB17B5"/>
    <w:rsid w:val="00EB3B05"/>
    <w:rsid w:val="00EC1301"/>
    <w:rsid w:val="00EC4678"/>
    <w:rsid w:val="00EC79CD"/>
    <w:rsid w:val="00ED4470"/>
    <w:rsid w:val="00ED4DB0"/>
    <w:rsid w:val="00ED5630"/>
    <w:rsid w:val="00ED6527"/>
    <w:rsid w:val="00ED6B00"/>
    <w:rsid w:val="00ED6D4C"/>
    <w:rsid w:val="00EE0817"/>
    <w:rsid w:val="00EE12BC"/>
    <w:rsid w:val="00EE18CA"/>
    <w:rsid w:val="00EE45DC"/>
    <w:rsid w:val="00EE6833"/>
    <w:rsid w:val="00EF1C33"/>
    <w:rsid w:val="00F0090F"/>
    <w:rsid w:val="00F01FCE"/>
    <w:rsid w:val="00F051CC"/>
    <w:rsid w:val="00F05D9A"/>
    <w:rsid w:val="00F06DB6"/>
    <w:rsid w:val="00F136B8"/>
    <w:rsid w:val="00F16A54"/>
    <w:rsid w:val="00F25CD8"/>
    <w:rsid w:val="00F26EC7"/>
    <w:rsid w:val="00F330F0"/>
    <w:rsid w:val="00F37515"/>
    <w:rsid w:val="00F52CD7"/>
    <w:rsid w:val="00F54EA4"/>
    <w:rsid w:val="00F57423"/>
    <w:rsid w:val="00F64098"/>
    <w:rsid w:val="00F65ECD"/>
    <w:rsid w:val="00F67F9E"/>
    <w:rsid w:val="00F70285"/>
    <w:rsid w:val="00F822EF"/>
    <w:rsid w:val="00F83497"/>
    <w:rsid w:val="00F873D7"/>
    <w:rsid w:val="00F92BBA"/>
    <w:rsid w:val="00F938C0"/>
    <w:rsid w:val="00F93B2E"/>
    <w:rsid w:val="00F96450"/>
    <w:rsid w:val="00F97207"/>
    <w:rsid w:val="00FA22B3"/>
    <w:rsid w:val="00FA500E"/>
    <w:rsid w:val="00FA75F0"/>
    <w:rsid w:val="00FB1904"/>
    <w:rsid w:val="00FB556A"/>
    <w:rsid w:val="00FB6280"/>
    <w:rsid w:val="00FB65B5"/>
    <w:rsid w:val="00FB6AE7"/>
    <w:rsid w:val="00FD0595"/>
    <w:rsid w:val="00FD2835"/>
    <w:rsid w:val="00FD5492"/>
    <w:rsid w:val="00FE144C"/>
    <w:rsid w:val="00FE4702"/>
    <w:rsid w:val="00FE48A0"/>
    <w:rsid w:val="00FF04FD"/>
    <w:rsid w:val="00FF0C17"/>
    <w:rsid w:val="00FF365A"/>
    <w:rsid w:val="00FF7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E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9"/>
    <w:pPr>
      <w:spacing w:after="240" w:line="280" w:lineRule="exact"/>
      <w:jc w:val="both"/>
    </w:pPr>
    <w:rPr>
      <w:rFonts w:ascii="Century Gothic" w:eastAsia="Times New Roman" w:hAnsi="Century Gothic" w:cs="Times New Roman"/>
      <w:color w:val="595959" w:themeColor="text1" w:themeTint="A6"/>
      <w:lang w:eastAsia="en-AU"/>
    </w:rPr>
  </w:style>
  <w:style w:type="paragraph" w:styleId="Heading1">
    <w:name w:val="heading 1"/>
    <w:basedOn w:val="HeadingBase"/>
    <w:next w:val="Normal"/>
    <w:link w:val="Heading1Char"/>
    <w:qFormat/>
    <w:rsid w:val="002C150F"/>
    <w:pPr>
      <w:pageBreakBefore/>
      <w:pBdr>
        <w:bottom w:val="single" w:sz="12" w:space="10" w:color="3A87C8"/>
      </w:pBdr>
      <w:spacing w:after="480"/>
      <w:outlineLvl w:val="0"/>
    </w:pPr>
    <w:rPr>
      <w:b/>
      <w:bCs w:val="0"/>
      <w:caps/>
      <w:color w:val="3A87C8"/>
      <w:sz w:val="44"/>
    </w:rPr>
  </w:style>
  <w:style w:type="paragraph" w:styleId="Heading2">
    <w:name w:val="heading 2"/>
    <w:basedOn w:val="HeadingBase"/>
    <w:next w:val="Normal"/>
    <w:link w:val="Heading2Char"/>
    <w:qFormat/>
    <w:rsid w:val="00D42D4B"/>
    <w:pPr>
      <w:spacing w:before="240" w:after="240"/>
      <w:outlineLvl w:val="1"/>
    </w:pPr>
    <w:rPr>
      <w:b/>
      <w:bCs w:val="0"/>
      <w:iCs/>
      <w:color w:val="5B5E60"/>
      <w:sz w:val="36"/>
      <w:szCs w:val="28"/>
    </w:rPr>
  </w:style>
  <w:style w:type="paragraph" w:styleId="Heading3">
    <w:name w:val="heading 3"/>
    <w:basedOn w:val="HeadingBase"/>
    <w:next w:val="Normal"/>
    <w:link w:val="Heading3Char"/>
    <w:qFormat/>
    <w:rsid w:val="000F37B7"/>
    <w:pPr>
      <w:spacing w:before="240" w:after="240"/>
      <w:outlineLvl w:val="2"/>
    </w:pPr>
    <w:rPr>
      <w:b/>
      <w:bCs w:val="0"/>
      <w:color w:val="3A87C8"/>
      <w:sz w:val="32"/>
      <w:szCs w:val="26"/>
    </w:rPr>
  </w:style>
  <w:style w:type="paragraph" w:styleId="Heading4">
    <w:name w:val="heading 4"/>
    <w:basedOn w:val="HeadingBase"/>
    <w:next w:val="Normal"/>
    <w:link w:val="Heading4Char"/>
    <w:qFormat/>
    <w:rsid w:val="000F37B7"/>
    <w:pPr>
      <w:spacing w:before="240" w:after="180"/>
      <w:outlineLvl w:val="3"/>
    </w:pPr>
    <w:rPr>
      <w:b/>
      <w:bCs w:val="0"/>
      <w:color w:val="5B5E60"/>
      <w:sz w:val="26"/>
      <w:szCs w:val="26"/>
    </w:rPr>
  </w:style>
  <w:style w:type="paragraph" w:styleId="Heading5">
    <w:name w:val="heading 5"/>
    <w:basedOn w:val="HeadingBase"/>
    <w:next w:val="Normal"/>
    <w:link w:val="Heading5Char"/>
    <w:qFormat/>
    <w:rsid w:val="0044754A"/>
    <w:pPr>
      <w:outlineLvl w:val="4"/>
    </w:pPr>
    <w:rPr>
      <w:b/>
      <w:bCs w:val="0"/>
      <w:iCs/>
      <w:sz w:val="22"/>
    </w:rPr>
  </w:style>
  <w:style w:type="paragraph" w:styleId="Heading6">
    <w:name w:val="heading 6"/>
    <w:basedOn w:val="HeadingBase"/>
    <w:next w:val="Normal"/>
    <w:link w:val="Heading6Char"/>
    <w:qFormat/>
    <w:rsid w:val="0044754A"/>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50F"/>
    <w:rPr>
      <w:rFonts w:ascii="Calibri" w:eastAsia="Times New Roman" w:hAnsi="Calibri" w:cs="Arial"/>
      <w:b/>
      <w:caps/>
      <w:color w:val="3A87C8"/>
      <w:kern w:val="32"/>
      <w:sz w:val="44"/>
      <w:szCs w:val="36"/>
      <w:lang w:eastAsia="en-AU"/>
    </w:rPr>
  </w:style>
  <w:style w:type="paragraph" w:styleId="NoSpacing">
    <w:name w:val="No Spacing"/>
    <w:link w:val="NoSpacingChar"/>
    <w:uiPriority w:val="1"/>
    <w:qFormat/>
    <w:rsid w:val="004D24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D24CE"/>
    <w:rPr>
      <w:rFonts w:eastAsiaTheme="minorEastAsia"/>
      <w:lang w:val="en-US" w:eastAsia="ja-JP"/>
    </w:rPr>
  </w:style>
  <w:style w:type="character" w:styleId="Hyperlink">
    <w:name w:val="Hyperlink"/>
    <w:basedOn w:val="DefaultParagraphFont"/>
    <w:uiPriority w:val="99"/>
    <w:rsid w:val="00DF55A2"/>
    <w:rPr>
      <w:b/>
      <w:color w:val="3A87C8"/>
      <w:u w:val="none"/>
    </w:rPr>
  </w:style>
  <w:style w:type="paragraph" w:styleId="Title">
    <w:name w:val="Title"/>
    <w:basedOn w:val="NoSpacing"/>
    <w:next w:val="Normal"/>
    <w:link w:val="TitleChar"/>
    <w:uiPriority w:val="10"/>
    <w:qFormat/>
    <w:rsid w:val="00F65ECD"/>
    <w:pPr>
      <w:spacing w:after="960"/>
      <w:ind w:left="170"/>
    </w:pPr>
    <w:rPr>
      <w:rFonts w:ascii="Arial Bold" w:hAnsi="Arial Bold" w:cs="Arial"/>
      <w:color w:val="3A87C8"/>
      <w:spacing w:val="6"/>
      <w:sz w:val="86"/>
    </w:rPr>
  </w:style>
  <w:style w:type="character" w:customStyle="1" w:styleId="TitleChar">
    <w:name w:val="Title Char"/>
    <w:basedOn w:val="DefaultParagraphFont"/>
    <w:link w:val="Title"/>
    <w:uiPriority w:val="10"/>
    <w:rsid w:val="00F65ECD"/>
    <w:rPr>
      <w:rFonts w:ascii="Arial Bold" w:eastAsiaTheme="minorEastAsia" w:hAnsi="Arial Bold" w:cs="Arial"/>
      <w:color w:val="3A87C8"/>
      <w:spacing w:val="6"/>
      <w:sz w:val="86"/>
      <w:lang w:val="en-US" w:eastAsia="ja-JP"/>
    </w:rPr>
  </w:style>
  <w:style w:type="paragraph" w:customStyle="1" w:styleId="Default">
    <w:name w:val="Default"/>
    <w:rsid w:val="004D24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link w:val="BulletChar"/>
    <w:rsid w:val="000F37B7"/>
    <w:pPr>
      <w:numPr>
        <w:numId w:val="1"/>
      </w:numPr>
      <w:tabs>
        <w:tab w:val="clear" w:pos="283"/>
        <w:tab w:val="left" w:pos="425"/>
      </w:tabs>
      <w:ind w:left="425" w:hanging="425"/>
    </w:pPr>
  </w:style>
  <w:style w:type="character" w:customStyle="1" w:styleId="BulletChar">
    <w:name w:val="Bullet Char"/>
    <w:basedOn w:val="DefaultParagraphFont"/>
    <w:link w:val="Bullet"/>
    <w:rsid w:val="000F37B7"/>
    <w:rPr>
      <w:rFonts w:ascii="Century Gothic" w:eastAsia="Times New Roman" w:hAnsi="Century Gothic" w:cs="Times New Roman"/>
      <w:noProof/>
      <w:color w:val="595959" w:themeColor="text1" w:themeTint="A6"/>
      <w:lang w:eastAsia="en-AU"/>
    </w:rPr>
  </w:style>
  <w:style w:type="paragraph" w:customStyle="1" w:styleId="Dash">
    <w:name w:val="Dash"/>
    <w:basedOn w:val="Normal"/>
    <w:rsid w:val="0044754A"/>
    <w:pPr>
      <w:numPr>
        <w:ilvl w:val="1"/>
        <w:numId w:val="1"/>
      </w:numPr>
      <w:ind w:left="568"/>
    </w:pPr>
  </w:style>
  <w:style w:type="paragraph" w:customStyle="1" w:styleId="DoubleDot">
    <w:name w:val="Double Dot"/>
    <w:basedOn w:val="Normal"/>
    <w:rsid w:val="0044754A"/>
    <w:pPr>
      <w:numPr>
        <w:ilvl w:val="2"/>
        <w:numId w:val="1"/>
      </w:numPr>
      <w:ind w:left="851" w:hanging="284"/>
    </w:pPr>
  </w:style>
  <w:style w:type="character" w:styleId="SubtleEmphasis">
    <w:name w:val="Subtle Emphasis"/>
    <w:basedOn w:val="DefaultParagraphFont"/>
    <w:uiPriority w:val="19"/>
    <w:qFormat/>
    <w:rsid w:val="00D42D4B"/>
    <w:rPr>
      <w:iCs/>
      <w:color w:val="3A87C8"/>
      <w:sz w:val="26"/>
    </w:rPr>
  </w:style>
  <w:style w:type="character" w:styleId="IntenseEmphasis">
    <w:name w:val="Intense Emphasis"/>
    <w:basedOn w:val="DefaultParagraphFont"/>
    <w:uiPriority w:val="21"/>
    <w:qFormat/>
    <w:rsid w:val="004D24CE"/>
    <w:rPr>
      <w:b/>
      <w:bCs/>
      <w:i/>
      <w:iCs/>
      <w:color w:val="4F81BD" w:themeColor="accent1"/>
    </w:rPr>
  </w:style>
  <w:style w:type="paragraph" w:styleId="Header">
    <w:name w:val="header"/>
    <w:basedOn w:val="Normal"/>
    <w:link w:val="HeaderChar"/>
    <w:uiPriority w:val="99"/>
    <w:unhideWhenUsed/>
    <w:rsid w:val="0044754A"/>
    <w:pPr>
      <w:keepNext/>
      <w:spacing w:after="0"/>
      <w:jc w:val="right"/>
    </w:pPr>
    <w:rPr>
      <w:color w:val="004A7F"/>
      <w:sz w:val="20"/>
    </w:rPr>
  </w:style>
  <w:style w:type="character" w:customStyle="1" w:styleId="HeaderChar">
    <w:name w:val="Header Char"/>
    <w:basedOn w:val="DefaultParagraphFont"/>
    <w:link w:val="Header"/>
    <w:uiPriority w:val="99"/>
    <w:rsid w:val="0044754A"/>
    <w:rPr>
      <w:rFonts w:ascii="Calibri" w:eastAsia="Times New Roman" w:hAnsi="Calibri" w:cs="Times New Roman"/>
      <w:color w:val="004A7F"/>
      <w:sz w:val="20"/>
      <w:szCs w:val="20"/>
      <w:lang w:eastAsia="en-AU"/>
    </w:rPr>
  </w:style>
  <w:style w:type="paragraph" w:styleId="Footer">
    <w:name w:val="footer"/>
    <w:basedOn w:val="Normal"/>
    <w:link w:val="FooterChar"/>
    <w:uiPriority w:val="99"/>
    <w:unhideWhenUsed/>
    <w:rsid w:val="0044754A"/>
    <w:pPr>
      <w:tabs>
        <w:tab w:val="center" w:pos="4513"/>
        <w:tab w:val="right" w:pos="9026"/>
      </w:tabs>
      <w:spacing w:after="0"/>
      <w:jc w:val="center"/>
    </w:pPr>
    <w:rPr>
      <w:color w:val="004A7F"/>
      <w:sz w:val="20"/>
    </w:rPr>
  </w:style>
  <w:style w:type="character" w:customStyle="1" w:styleId="FooterChar">
    <w:name w:val="Footer Char"/>
    <w:basedOn w:val="DefaultParagraphFont"/>
    <w:link w:val="Footer"/>
    <w:uiPriority w:val="99"/>
    <w:rsid w:val="0044754A"/>
    <w:rPr>
      <w:rFonts w:ascii="Calibri" w:eastAsia="Times New Roman" w:hAnsi="Calibri" w:cs="Times New Roman"/>
      <w:color w:val="004A7F"/>
      <w:sz w:val="20"/>
      <w:szCs w:val="20"/>
      <w:lang w:eastAsia="en-AU"/>
    </w:rPr>
  </w:style>
  <w:style w:type="paragraph" w:styleId="NormalWeb">
    <w:name w:val="Normal (Web)"/>
    <w:basedOn w:val="Normal"/>
    <w:uiPriority w:val="99"/>
    <w:unhideWhenUsed/>
    <w:rsid w:val="004D24CE"/>
    <w:pPr>
      <w:spacing w:before="100" w:beforeAutospacing="1" w:after="100" w:afterAutospacing="1" w:line="240" w:lineRule="auto"/>
    </w:pPr>
    <w:rPr>
      <w:rFonts w:ascii="Times New Roman" w:hAnsi="Times New Roman"/>
    </w:rPr>
  </w:style>
  <w:style w:type="paragraph" w:customStyle="1" w:styleId="OutlineNumbered1">
    <w:name w:val="Outline Numbered 1"/>
    <w:basedOn w:val="Normal"/>
    <w:link w:val="OutlineNumbered1Char"/>
    <w:rsid w:val="00F65ECD"/>
  </w:style>
  <w:style w:type="character" w:customStyle="1" w:styleId="OutlineNumbered1Char">
    <w:name w:val="Outline Numbered 1 Char"/>
    <w:basedOn w:val="DefaultParagraphFont"/>
    <w:link w:val="OutlineNumbered1"/>
    <w:rsid w:val="00F65ECD"/>
    <w:rPr>
      <w:rFonts w:ascii="Century Gothic" w:eastAsia="Times New Roman" w:hAnsi="Century Gothic" w:cs="Times New Roman"/>
      <w:noProof/>
      <w:color w:val="595959" w:themeColor="text1" w:themeTint="A6"/>
      <w:lang w:eastAsia="en-AU"/>
    </w:rPr>
  </w:style>
  <w:style w:type="paragraph" w:customStyle="1" w:styleId="OutlineNumbered2">
    <w:name w:val="Outline Numbered 2"/>
    <w:basedOn w:val="Normal"/>
    <w:rsid w:val="0044754A"/>
  </w:style>
  <w:style w:type="paragraph" w:customStyle="1" w:styleId="OutlineNumbered3">
    <w:name w:val="Outline Numbered 3"/>
    <w:basedOn w:val="Normal"/>
    <w:rsid w:val="0044754A"/>
  </w:style>
  <w:style w:type="table" w:styleId="TableGrid">
    <w:name w:val="Table Grid"/>
    <w:basedOn w:val="TableNormal"/>
    <w:rsid w:val="0044754A"/>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BalloonText">
    <w:name w:val="Balloon Text"/>
    <w:basedOn w:val="Normal"/>
    <w:link w:val="BalloonTextChar"/>
    <w:uiPriority w:val="99"/>
    <w:semiHidden/>
    <w:unhideWhenUsed/>
    <w:rsid w:val="004475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A"/>
    <w:rPr>
      <w:rFonts w:ascii="Tahoma" w:eastAsia="Times New Roman" w:hAnsi="Tahoma" w:cs="Tahoma"/>
      <w:sz w:val="16"/>
      <w:szCs w:val="16"/>
      <w:lang w:eastAsia="en-AU"/>
    </w:rPr>
  </w:style>
  <w:style w:type="paragraph" w:styleId="FootnoteText">
    <w:name w:val="footnote text"/>
    <w:basedOn w:val="Normal"/>
    <w:link w:val="FootnoteTextChar"/>
    <w:uiPriority w:val="99"/>
    <w:rsid w:val="0044754A"/>
    <w:pPr>
      <w:spacing w:after="0"/>
    </w:pPr>
    <w:rPr>
      <w:sz w:val="20"/>
    </w:rPr>
  </w:style>
  <w:style w:type="character" w:customStyle="1" w:styleId="FootnoteTextChar">
    <w:name w:val="Footnote Text Char"/>
    <w:basedOn w:val="DefaultParagraphFont"/>
    <w:link w:val="FootnoteText"/>
    <w:uiPriority w:val="99"/>
    <w:rsid w:val="0044754A"/>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4754A"/>
    <w:rPr>
      <w:rFonts w:ascii="Calibri" w:hAnsi="Calibri"/>
      <w:sz w:val="20"/>
      <w:vertAlign w:val="superscript"/>
    </w:rPr>
  </w:style>
  <w:style w:type="character" w:styleId="CommentReference">
    <w:name w:val="annotation reference"/>
    <w:basedOn w:val="DefaultParagraphFont"/>
    <w:uiPriority w:val="99"/>
    <w:semiHidden/>
    <w:unhideWhenUsed/>
    <w:rsid w:val="00A9370D"/>
    <w:rPr>
      <w:sz w:val="16"/>
      <w:szCs w:val="16"/>
    </w:rPr>
  </w:style>
  <w:style w:type="paragraph" w:styleId="CommentText">
    <w:name w:val="annotation text"/>
    <w:basedOn w:val="Normal"/>
    <w:link w:val="CommentTextChar"/>
    <w:uiPriority w:val="99"/>
    <w:unhideWhenUsed/>
    <w:rsid w:val="00A9370D"/>
    <w:pPr>
      <w:spacing w:line="240" w:lineRule="auto"/>
    </w:pPr>
    <w:rPr>
      <w:sz w:val="20"/>
      <w:szCs w:val="20"/>
    </w:rPr>
  </w:style>
  <w:style w:type="character" w:customStyle="1" w:styleId="CommentTextChar">
    <w:name w:val="Comment Text Char"/>
    <w:basedOn w:val="DefaultParagraphFont"/>
    <w:link w:val="CommentText"/>
    <w:uiPriority w:val="99"/>
    <w:rsid w:val="00A9370D"/>
    <w:rPr>
      <w:sz w:val="20"/>
      <w:szCs w:val="20"/>
    </w:rPr>
  </w:style>
  <w:style w:type="paragraph" w:styleId="CommentSubject">
    <w:name w:val="annotation subject"/>
    <w:basedOn w:val="CommentText"/>
    <w:next w:val="CommentText"/>
    <w:link w:val="CommentSubjectChar"/>
    <w:uiPriority w:val="99"/>
    <w:semiHidden/>
    <w:unhideWhenUsed/>
    <w:rsid w:val="00A9370D"/>
    <w:rPr>
      <w:b/>
      <w:bCs/>
    </w:rPr>
  </w:style>
  <w:style w:type="character" w:customStyle="1" w:styleId="CommentSubjectChar">
    <w:name w:val="Comment Subject Char"/>
    <w:basedOn w:val="CommentTextChar"/>
    <w:link w:val="CommentSubject"/>
    <w:uiPriority w:val="99"/>
    <w:semiHidden/>
    <w:rsid w:val="00A9370D"/>
    <w:rPr>
      <w:b/>
      <w:bCs/>
      <w:sz w:val="20"/>
      <w:szCs w:val="20"/>
    </w:rPr>
  </w:style>
  <w:style w:type="paragraph" w:styleId="Revision">
    <w:name w:val="Revision"/>
    <w:hidden/>
    <w:uiPriority w:val="99"/>
    <w:semiHidden/>
    <w:rsid w:val="00B352D1"/>
    <w:pPr>
      <w:spacing w:after="0" w:line="240" w:lineRule="auto"/>
    </w:pPr>
    <w:rPr>
      <w:sz w:val="24"/>
      <w:szCs w:val="24"/>
    </w:rPr>
  </w:style>
  <w:style w:type="character" w:customStyle="1" w:styleId="Heading4Char">
    <w:name w:val="Heading 4 Char"/>
    <w:basedOn w:val="DefaultParagraphFont"/>
    <w:link w:val="Heading4"/>
    <w:rsid w:val="000F37B7"/>
    <w:rPr>
      <w:rFonts w:ascii="Calibri" w:eastAsia="Times New Roman" w:hAnsi="Calibri" w:cs="Arial"/>
      <w:b/>
      <w:color w:val="5B5E60"/>
      <w:kern w:val="32"/>
      <w:sz w:val="26"/>
      <w:szCs w:val="26"/>
      <w:lang w:eastAsia="en-AU"/>
    </w:rPr>
  </w:style>
  <w:style w:type="character" w:customStyle="1" w:styleId="Heading2Char">
    <w:name w:val="Heading 2 Char"/>
    <w:basedOn w:val="DefaultParagraphFont"/>
    <w:link w:val="Heading2"/>
    <w:rsid w:val="00D42D4B"/>
    <w:rPr>
      <w:rFonts w:ascii="Calibri" w:eastAsia="Times New Roman" w:hAnsi="Calibri" w:cs="Arial"/>
      <w:b/>
      <w:iCs/>
      <w:color w:val="5B5E60"/>
      <w:kern w:val="32"/>
      <w:sz w:val="36"/>
      <w:szCs w:val="28"/>
      <w:lang w:eastAsia="en-AU"/>
    </w:rPr>
  </w:style>
  <w:style w:type="character" w:customStyle="1" w:styleId="Heading3Char">
    <w:name w:val="Heading 3 Char"/>
    <w:basedOn w:val="DefaultParagraphFont"/>
    <w:link w:val="Heading3"/>
    <w:rsid w:val="000F37B7"/>
    <w:rPr>
      <w:rFonts w:ascii="Calibri" w:eastAsia="Times New Roman" w:hAnsi="Calibri" w:cs="Arial"/>
      <w:b/>
      <w:color w:val="3A87C8"/>
      <w:kern w:val="32"/>
      <w:sz w:val="32"/>
      <w:szCs w:val="26"/>
      <w:lang w:eastAsia="en-AU"/>
    </w:rPr>
  </w:style>
  <w:style w:type="character" w:customStyle="1" w:styleId="Heading5Char">
    <w:name w:val="Heading 5 Char"/>
    <w:basedOn w:val="DefaultParagraphFont"/>
    <w:link w:val="Heading5"/>
    <w:rsid w:val="0044754A"/>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44754A"/>
    <w:rPr>
      <w:rFonts w:ascii="Calibri" w:eastAsia="Times New Roman" w:hAnsi="Calibri" w:cs="Arial"/>
      <w:color w:val="004A7F"/>
      <w:kern w:val="32"/>
      <w:lang w:eastAsia="en-AU"/>
    </w:rPr>
  </w:style>
  <w:style w:type="paragraph" w:customStyle="1" w:styleId="ChartGraphic">
    <w:name w:val="Chart Graphic"/>
    <w:basedOn w:val="Normal"/>
    <w:next w:val="Normal"/>
    <w:rsid w:val="00F65ECD"/>
    <w:pPr>
      <w:keepNext/>
      <w:spacing w:after="0" w:line="240" w:lineRule="auto"/>
      <w:jc w:val="center"/>
    </w:pPr>
    <w:rPr>
      <w:color w:val="004A7F"/>
      <w:sz w:val="20"/>
    </w:rPr>
  </w:style>
  <w:style w:type="paragraph" w:customStyle="1" w:styleId="AlphaParagraph">
    <w:name w:val="Alpha Paragraph"/>
    <w:basedOn w:val="Normal"/>
    <w:qFormat/>
    <w:rsid w:val="003A04EB"/>
    <w:pPr>
      <w:numPr>
        <w:ilvl w:val="1"/>
        <w:numId w:val="8"/>
      </w:numPr>
    </w:pPr>
  </w:style>
  <w:style w:type="paragraph" w:customStyle="1" w:styleId="BoxBullet">
    <w:name w:val="Box Bullet"/>
    <w:basedOn w:val="Normal"/>
    <w:rsid w:val="0044754A"/>
    <w:pPr>
      <w:numPr>
        <w:numId w:val="2"/>
      </w:numPr>
      <w:ind w:left="284" w:hanging="284"/>
    </w:pPr>
  </w:style>
  <w:style w:type="paragraph" w:customStyle="1" w:styleId="BoxDash">
    <w:name w:val="Box Dash"/>
    <w:basedOn w:val="Normal"/>
    <w:rsid w:val="0044754A"/>
    <w:pPr>
      <w:numPr>
        <w:ilvl w:val="1"/>
        <w:numId w:val="2"/>
      </w:numPr>
      <w:ind w:left="568"/>
    </w:pPr>
  </w:style>
  <w:style w:type="paragraph" w:customStyle="1" w:styleId="BoxDoubleDot">
    <w:name w:val="Box Double Dot"/>
    <w:basedOn w:val="Normal"/>
    <w:rsid w:val="0044754A"/>
    <w:pPr>
      <w:numPr>
        <w:ilvl w:val="2"/>
        <w:numId w:val="2"/>
      </w:numPr>
      <w:ind w:left="851" w:hanging="284"/>
    </w:pPr>
  </w:style>
  <w:style w:type="paragraph" w:customStyle="1" w:styleId="BoxHeading">
    <w:name w:val="Box Heading"/>
    <w:basedOn w:val="Normal"/>
    <w:next w:val="Normal"/>
    <w:rsid w:val="0044754A"/>
    <w:pPr>
      <w:keepNext/>
      <w:spacing w:before="240"/>
    </w:pPr>
    <w:rPr>
      <w:b/>
      <w:color w:val="004A7F"/>
      <w:sz w:val="26"/>
      <w:szCs w:val="26"/>
    </w:rPr>
  </w:style>
  <w:style w:type="paragraph" w:customStyle="1" w:styleId="BoxText">
    <w:name w:val="Box Text"/>
    <w:basedOn w:val="Normal"/>
    <w:rsid w:val="0044754A"/>
  </w:style>
  <w:style w:type="paragraph" w:customStyle="1" w:styleId="ChartandTableFootnoteAlpha">
    <w:name w:val="Chart and Table Footnote Alpha"/>
    <w:rsid w:val="0044754A"/>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44754A"/>
    <w:pPr>
      <w:jc w:val="center"/>
    </w:pPr>
  </w:style>
  <w:style w:type="paragraph" w:customStyle="1" w:styleId="ChartorTableNote">
    <w:name w:val="Chart or Table Note"/>
    <w:next w:val="Normal"/>
    <w:rsid w:val="0044754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44754A"/>
    <w:pPr>
      <w:jc w:val="center"/>
    </w:pPr>
  </w:style>
  <w:style w:type="paragraph" w:customStyle="1" w:styleId="ReportDate">
    <w:name w:val="Report Date"/>
    <w:basedOn w:val="Normal"/>
    <w:link w:val="ReportDateChar"/>
    <w:rsid w:val="00F65ECD"/>
    <w:pPr>
      <w:keepNext/>
      <w:spacing w:before="240" w:after="120" w:line="240" w:lineRule="auto"/>
      <w:ind w:right="142"/>
      <w:jc w:val="right"/>
    </w:pPr>
    <w:rPr>
      <w:color w:val="5B5E60"/>
      <w:sz w:val="28"/>
    </w:rPr>
  </w:style>
  <w:style w:type="paragraph" w:customStyle="1" w:styleId="TableMainHeading">
    <w:name w:val="Table Main Heading"/>
    <w:basedOn w:val="Heading3"/>
    <w:next w:val="Normal"/>
    <w:rsid w:val="0044754A"/>
    <w:pPr>
      <w:spacing w:before="120" w:after="0"/>
    </w:pPr>
    <w:rPr>
      <w:b w:val="0"/>
    </w:rPr>
  </w:style>
  <w:style w:type="paragraph" w:customStyle="1" w:styleId="FooterEven">
    <w:name w:val="Footer Even"/>
    <w:basedOn w:val="Footer"/>
    <w:rsid w:val="003A04EB"/>
    <w:pPr>
      <w:keepNext/>
      <w:tabs>
        <w:tab w:val="clear" w:pos="4513"/>
        <w:tab w:val="clear" w:pos="9026"/>
      </w:tabs>
      <w:spacing w:line="240" w:lineRule="auto"/>
      <w:jc w:val="left"/>
    </w:pPr>
    <w:rPr>
      <w:color w:val="5B5E60"/>
    </w:rPr>
  </w:style>
  <w:style w:type="paragraph" w:customStyle="1" w:styleId="FooterOdd">
    <w:name w:val="Footer Odd"/>
    <w:basedOn w:val="Footer"/>
    <w:rsid w:val="003A04EB"/>
    <w:pPr>
      <w:keepNext/>
      <w:tabs>
        <w:tab w:val="clear" w:pos="4513"/>
        <w:tab w:val="clear" w:pos="9026"/>
      </w:tabs>
      <w:spacing w:line="240" w:lineRule="auto"/>
      <w:jc w:val="right"/>
    </w:pPr>
    <w:rPr>
      <w:color w:val="5B5E60"/>
    </w:rPr>
  </w:style>
  <w:style w:type="paragraph" w:customStyle="1" w:styleId="OneLevelNumberedParagraph">
    <w:name w:val="One Level Numbered Paragraph"/>
    <w:basedOn w:val="Normal"/>
    <w:rsid w:val="0044754A"/>
    <w:pPr>
      <w:numPr>
        <w:numId w:val="5"/>
      </w:numPr>
    </w:pPr>
  </w:style>
  <w:style w:type="paragraph" w:customStyle="1" w:styleId="Romannumeral">
    <w:name w:val="Roman numeral"/>
    <w:basedOn w:val="Normal"/>
    <w:rsid w:val="0044754A"/>
    <w:pPr>
      <w:numPr>
        <w:numId w:val="8"/>
      </w:numPr>
    </w:pPr>
  </w:style>
  <w:style w:type="paragraph" w:customStyle="1" w:styleId="SingleParagraph">
    <w:name w:val="Single Paragraph"/>
    <w:basedOn w:val="Normal"/>
    <w:link w:val="SingleParagraphChar"/>
    <w:rsid w:val="0044754A"/>
    <w:pPr>
      <w:spacing w:after="0"/>
    </w:pPr>
  </w:style>
  <w:style w:type="paragraph" w:customStyle="1" w:styleId="TableSecondHeading">
    <w:name w:val="Table Second Heading"/>
    <w:basedOn w:val="Normal"/>
    <w:next w:val="Normal"/>
    <w:rsid w:val="0044754A"/>
    <w:pPr>
      <w:keepNext/>
      <w:spacing w:after="20"/>
    </w:pPr>
    <w:rPr>
      <w:b/>
      <w:color w:val="004A7F"/>
    </w:rPr>
  </w:style>
  <w:style w:type="paragraph" w:customStyle="1" w:styleId="TableColumnHeadingCentred">
    <w:name w:val="Table Column Heading Centred"/>
    <w:basedOn w:val="TableColumnHeadingLeft-White"/>
    <w:rsid w:val="00DF55A2"/>
    <w:pPr>
      <w:jc w:val="center"/>
    </w:pPr>
  </w:style>
  <w:style w:type="paragraph" w:customStyle="1" w:styleId="TableColumnHeadingLeft">
    <w:name w:val="Table Column Heading Left"/>
    <w:basedOn w:val="TableTextLeft"/>
    <w:rsid w:val="0044754A"/>
    <w:rPr>
      <w:b/>
      <w:color w:val="004A7F"/>
    </w:rPr>
  </w:style>
  <w:style w:type="paragraph" w:customStyle="1" w:styleId="TableColumnHeadingRight">
    <w:name w:val="Table Column Heading Right"/>
    <w:basedOn w:val="TableTextLeft"/>
    <w:rsid w:val="0044754A"/>
    <w:pPr>
      <w:jc w:val="right"/>
    </w:pPr>
    <w:rPr>
      <w:b/>
      <w:color w:val="004A7F"/>
    </w:rPr>
  </w:style>
  <w:style w:type="paragraph" w:customStyle="1" w:styleId="TableTextCentered">
    <w:name w:val="Table Text Centered"/>
    <w:basedOn w:val="TableTextRight"/>
    <w:rsid w:val="001C0590"/>
    <w:pPr>
      <w:spacing w:before="110" w:after="60" w:line="240" w:lineRule="auto"/>
      <w:jc w:val="center"/>
    </w:pPr>
    <w:rPr>
      <w:rFonts w:ascii="Arial" w:hAnsi="Arial"/>
      <w:color w:val="5B5E60"/>
      <w:sz w:val="20"/>
    </w:rPr>
  </w:style>
  <w:style w:type="paragraph" w:customStyle="1" w:styleId="TableTextLeft">
    <w:name w:val="Table Text Left"/>
    <w:basedOn w:val="TableTextRight"/>
    <w:rsid w:val="00DF55A2"/>
    <w:pPr>
      <w:spacing w:before="60" w:after="60" w:line="240" w:lineRule="auto"/>
      <w:jc w:val="left"/>
    </w:pPr>
    <w:rPr>
      <w:rFonts w:ascii="Arial" w:hAnsi="Arial"/>
      <w:sz w:val="20"/>
    </w:rPr>
  </w:style>
  <w:style w:type="paragraph" w:customStyle="1" w:styleId="TableTextRight">
    <w:name w:val="Table Text Right"/>
    <w:basedOn w:val="Normal"/>
    <w:rsid w:val="0044754A"/>
    <w:pPr>
      <w:spacing w:before="40" w:after="40"/>
      <w:jc w:val="right"/>
    </w:pPr>
    <w:rPr>
      <w:color w:val="000000"/>
      <w:sz w:val="18"/>
    </w:rPr>
  </w:style>
  <w:style w:type="paragraph" w:styleId="TOC1">
    <w:name w:val="toc 1"/>
    <w:basedOn w:val="Normal"/>
    <w:next w:val="Normal"/>
    <w:uiPriority w:val="39"/>
    <w:qFormat/>
    <w:rsid w:val="00CE6E73"/>
    <w:pPr>
      <w:keepNext/>
      <w:tabs>
        <w:tab w:val="right" w:leader="dot" w:pos="9072"/>
      </w:tabs>
      <w:spacing w:before="180" w:after="0"/>
      <w:ind w:right="-2"/>
    </w:pPr>
    <w:rPr>
      <w:b/>
      <w:caps/>
      <w:color w:val="5B5E60"/>
    </w:rPr>
  </w:style>
  <w:style w:type="paragraph" w:styleId="TOC2">
    <w:name w:val="toc 2"/>
    <w:basedOn w:val="Normal"/>
    <w:next w:val="Normal"/>
    <w:uiPriority w:val="39"/>
    <w:qFormat/>
    <w:rsid w:val="00CE6E73"/>
    <w:pPr>
      <w:keepNext/>
      <w:tabs>
        <w:tab w:val="right" w:leader="dot" w:pos="9072"/>
      </w:tabs>
      <w:spacing w:before="40" w:after="20"/>
      <w:ind w:left="284"/>
    </w:pPr>
    <w:rPr>
      <w:color w:val="3A87C8"/>
    </w:rPr>
  </w:style>
  <w:style w:type="paragraph" w:styleId="TOC3">
    <w:name w:val="toc 3"/>
    <w:basedOn w:val="Normal"/>
    <w:next w:val="Normal"/>
    <w:uiPriority w:val="39"/>
    <w:qFormat/>
    <w:rsid w:val="0044754A"/>
    <w:pPr>
      <w:tabs>
        <w:tab w:val="right" w:leader="dot" w:pos="9072"/>
      </w:tabs>
      <w:spacing w:before="20" w:after="0"/>
      <w:ind w:left="284" w:right="-2"/>
    </w:pPr>
    <w:rPr>
      <w:rFonts w:cs="Calibri"/>
    </w:rPr>
  </w:style>
  <w:style w:type="numbering" w:customStyle="1" w:styleId="OutlineList">
    <w:name w:val="OutlineList"/>
    <w:uiPriority w:val="99"/>
    <w:rsid w:val="0044754A"/>
    <w:pPr>
      <w:numPr>
        <w:numId w:val="4"/>
      </w:numPr>
    </w:pPr>
  </w:style>
  <w:style w:type="numbering" w:customStyle="1" w:styleId="BulletedList">
    <w:name w:val="Bulleted List"/>
    <w:uiPriority w:val="99"/>
    <w:rsid w:val="0044754A"/>
    <w:pPr>
      <w:numPr>
        <w:numId w:val="1"/>
      </w:numPr>
    </w:pPr>
  </w:style>
  <w:style w:type="numbering" w:customStyle="1" w:styleId="BoxBulletedList">
    <w:name w:val="Box Bulleted List"/>
    <w:uiPriority w:val="99"/>
    <w:rsid w:val="0044754A"/>
    <w:pPr>
      <w:numPr>
        <w:numId w:val="2"/>
      </w:numPr>
    </w:pPr>
  </w:style>
  <w:style w:type="numbering" w:customStyle="1" w:styleId="OneLevelList">
    <w:name w:val="OneLevelList"/>
    <w:uiPriority w:val="99"/>
    <w:rsid w:val="0044754A"/>
    <w:pPr>
      <w:numPr>
        <w:numId w:val="3"/>
      </w:numPr>
    </w:pPr>
  </w:style>
  <w:style w:type="numbering" w:customStyle="1" w:styleId="ChartandTableFootnoteAlphaList">
    <w:name w:val="ChartandTableFootnoteAlphaList"/>
    <w:uiPriority w:val="99"/>
    <w:rsid w:val="0044754A"/>
    <w:pPr>
      <w:numPr>
        <w:numId w:val="17"/>
      </w:numPr>
    </w:pPr>
  </w:style>
  <w:style w:type="paragraph" w:customStyle="1" w:styleId="Crest">
    <w:name w:val="Crest"/>
    <w:basedOn w:val="Header"/>
    <w:rsid w:val="0044754A"/>
    <w:pPr>
      <w:spacing w:after="480"/>
      <w:jc w:val="center"/>
    </w:pPr>
    <w:rPr>
      <w:color w:val="000000" w:themeColor="text1"/>
    </w:rPr>
  </w:style>
  <w:style w:type="paragraph" w:customStyle="1" w:styleId="Heading1Numbered">
    <w:name w:val="Heading 1 Numbered"/>
    <w:basedOn w:val="Heading1"/>
    <w:next w:val="Normal"/>
    <w:rsid w:val="0044754A"/>
    <w:pPr>
      <w:numPr>
        <w:numId w:val="7"/>
      </w:numPr>
    </w:pPr>
  </w:style>
  <w:style w:type="character" w:customStyle="1" w:styleId="SingleParagraphChar">
    <w:name w:val="Single Paragraph Char"/>
    <w:basedOn w:val="DefaultParagraphFont"/>
    <w:link w:val="SingleParagraph"/>
    <w:rsid w:val="0044754A"/>
    <w:rPr>
      <w:rFonts w:ascii="Calibri" w:eastAsia="Times New Roman" w:hAnsi="Calibri" w:cs="Times New Roman"/>
      <w:szCs w:val="20"/>
      <w:lang w:eastAsia="en-AU"/>
    </w:rPr>
  </w:style>
  <w:style w:type="paragraph" w:customStyle="1" w:styleId="Heading2Numbered">
    <w:name w:val="Heading 2 Numbered"/>
    <w:basedOn w:val="Heading2"/>
    <w:next w:val="Normal"/>
    <w:rsid w:val="00D42D4B"/>
    <w:pPr>
      <w:numPr>
        <w:ilvl w:val="1"/>
        <w:numId w:val="7"/>
      </w:numPr>
      <w:ind w:left="284" w:hanging="284"/>
    </w:pPr>
  </w:style>
  <w:style w:type="paragraph" w:customStyle="1" w:styleId="Heading3Numbered">
    <w:name w:val="Heading 3 Numbered"/>
    <w:basedOn w:val="Heading3"/>
    <w:qFormat/>
    <w:rsid w:val="0044754A"/>
    <w:pPr>
      <w:numPr>
        <w:ilvl w:val="2"/>
        <w:numId w:val="7"/>
      </w:numPr>
      <w:ind w:left="284" w:hanging="284"/>
    </w:pPr>
  </w:style>
  <w:style w:type="paragraph" w:styleId="Subtitle">
    <w:name w:val="Subtitle"/>
    <w:next w:val="Normal"/>
    <w:link w:val="SubtitleChar"/>
    <w:uiPriority w:val="11"/>
    <w:qFormat/>
    <w:rsid w:val="00F65ECD"/>
    <w:pPr>
      <w:spacing w:before="120" w:after="60" w:line="240" w:lineRule="auto"/>
    </w:pPr>
    <w:rPr>
      <w:rFonts w:ascii="Century Gothic" w:eastAsia="Times New Roman" w:hAnsi="Century Gothic" w:cs="Times New Roman"/>
      <w:noProof/>
      <w:color w:val="5B5E60"/>
      <w:sz w:val="36"/>
      <w:szCs w:val="24"/>
      <w:lang w:eastAsia="en-AU"/>
    </w:rPr>
  </w:style>
  <w:style w:type="character" w:customStyle="1" w:styleId="SubtitleChar">
    <w:name w:val="Subtitle Char"/>
    <w:basedOn w:val="DefaultParagraphFont"/>
    <w:link w:val="Subtitle"/>
    <w:uiPriority w:val="11"/>
    <w:rsid w:val="00F65ECD"/>
    <w:rPr>
      <w:rFonts w:ascii="Century Gothic" w:eastAsia="Times New Roman" w:hAnsi="Century Gothic" w:cs="Times New Roman"/>
      <w:noProof/>
      <w:color w:val="5B5E60"/>
      <w:sz w:val="36"/>
      <w:szCs w:val="24"/>
      <w:lang w:eastAsia="en-AU"/>
    </w:rPr>
  </w:style>
  <w:style w:type="character" w:styleId="PlaceholderText">
    <w:name w:val="Placeholder Text"/>
    <w:basedOn w:val="DefaultParagraphFont"/>
    <w:uiPriority w:val="99"/>
    <w:semiHidden/>
    <w:rsid w:val="0044754A"/>
    <w:rPr>
      <w:color w:val="808080"/>
    </w:rPr>
  </w:style>
  <w:style w:type="paragraph" w:customStyle="1" w:styleId="AppendixHeading">
    <w:name w:val="Appendix Heading"/>
    <w:basedOn w:val="Normal"/>
    <w:next w:val="Normal"/>
    <w:rsid w:val="0044754A"/>
    <w:pPr>
      <w:keepNext/>
      <w:spacing w:before="720" w:after="360"/>
    </w:pPr>
    <w:rPr>
      <w:rFonts w:ascii="Arial Bold" w:hAnsi="Arial Bold"/>
      <w:b/>
      <w:smallCaps/>
      <w:color w:val="004A7F"/>
      <w:sz w:val="36"/>
      <w:szCs w:val="36"/>
    </w:rPr>
  </w:style>
  <w:style w:type="paragraph" w:customStyle="1" w:styleId="HeadingBase">
    <w:name w:val="Heading Base"/>
    <w:qFormat/>
    <w:rsid w:val="0044754A"/>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F65ECD"/>
    <w:rPr>
      <w:rFonts w:ascii="Century Gothic" w:eastAsia="Times New Roman" w:hAnsi="Century Gothic" w:cs="Times New Roman"/>
      <w:noProof/>
      <w:color w:val="5B5E60"/>
      <w:sz w:val="28"/>
      <w:lang w:eastAsia="en-AU"/>
    </w:rPr>
  </w:style>
  <w:style w:type="paragraph" w:customStyle="1" w:styleId="Disclaimer">
    <w:name w:val="Disclaimer"/>
    <w:basedOn w:val="ReportDate"/>
    <w:rsid w:val="00E37976"/>
    <w:pPr>
      <w:spacing w:before="0" w:after="0"/>
      <w:jc w:val="left"/>
    </w:pPr>
    <w:rPr>
      <w:bCs/>
      <w:sz w:val="18"/>
    </w:rPr>
  </w:style>
  <w:style w:type="paragraph" w:customStyle="1" w:styleId="NotesHeading">
    <w:name w:val="Notes Heading"/>
    <w:basedOn w:val="Normal"/>
    <w:rsid w:val="0044754A"/>
    <w:pPr>
      <w:keepNext/>
      <w:spacing w:before="240" w:after="360"/>
      <w:jc w:val="center"/>
    </w:pPr>
    <w:rPr>
      <w:smallCaps/>
      <w:color w:val="1F497D" w:themeColor="text2"/>
      <w:sz w:val="36"/>
      <w:szCs w:val="36"/>
    </w:rPr>
  </w:style>
  <w:style w:type="paragraph" w:customStyle="1" w:styleId="Divider">
    <w:name w:val="Divider"/>
    <w:basedOn w:val="ReportDate"/>
    <w:qFormat/>
    <w:rsid w:val="0044754A"/>
    <w:pPr>
      <w:spacing w:after="1800"/>
      <w:ind w:right="0"/>
    </w:pPr>
    <w:rPr>
      <w:rFonts w:ascii="Rockwell" w:hAnsi="Rockwell"/>
      <w:sz w:val="24"/>
    </w:rPr>
  </w:style>
  <w:style w:type="character" w:customStyle="1" w:styleId="FramedFooter">
    <w:name w:val="Framed Footer"/>
    <w:rsid w:val="0044754A"/>
    <w:rPr>
      <w:rFonts w:ascii="Arial" w:hAnsi="Arial"/>
      <w:color w:val="004A7F"/>
      <w:sz w:val="18"/>
    </w:rPr>
  </w:style>
  <w:style w:type="character" w:customStyle="1" w:styleId="FramedHeader">
    <w:name w:val="Framed Header"/>
    <w:basedOn w:val="DefaultParagraphFont"/>
    <w:rsid w:val="0044754A"/>
    <w:rPr>
      <w:rFonts w:ascii="Arial" w:hAnsi="Arial"/>
      <w:dstrike w:val="0"/>
      <w:color w:val="auto"/>
      <w:sz w:val="18"/>
      <w:vertAlign w:val="baseline"/>
    </w:rPr>
  </w:style>
  <w:style w:type="paragraph" w:customStyle="1" w:styleId="TableTextIndented">
    <w:name w:val="Table Text Indented"/>
    <w:basedOn w:val="TableTextLeft"/>
    <w:qFormat/>
    <w:rsid w:val="0044754A"/>
    <w:pPr>
      <w:ind w:left="284"/>
    </w:pPr>
  </w:style>
  <w:style w:type="paragraph" w:customStyle="1" w:styleId="TableHeadingContinued">
    <w:name w:val="Table Heading Continued"/>
    <w:basedOn w:val="TableMainHeading"/>
    <w:next w:val="TableGraphic"/>
    <w:qFormat/>
    <w:rsid w:val="0044754A"/>
  </w:style>
  <w:style w:type="paragraph" w:customStyle="1" w:styleId="TableGraphic">
    <w:name w:val="Table Graphic"/>
    <w:basedOn w:val="HeadingBase"/>
    <w:next w:val="Normal"/>
    <w:qFormat/>
    <w:rsid w:val="0044754A"/>
    <w:pPr>
      <w:spacing w:after="0"/>
    </w:pPr>
  </w:style>
  <w:style w:type="paragraph" w:customStyle="1" w:styleId="HeaderEven">
    <w:name w:val="Header Even"/>
    <w:basedOn w:val="Header"/>
    <w:qFormat/>
    <w:rsid w:val="003A04EB"/>
    <w:pPr>
      <w:spacing w:line="240" w:lineRule="auto"/>
      <w:jc w:val="left"/>
    </w:pPr>
    <w:rPr>
      <w:color w:val="5B5E60"/>
    </w:rPr>
  </w:style>
  <w:style w:type="paragraph" w:customStyle="1" w:styleId="HeaderOdd">
    <w:name w:val="Header Odd"/>
    <w:basedOn w:val="Header"/>
    <w:qFormat/>
    <w:rsid w:val="003A04EB"/>
    <w:pPr>
      <w:spacing w:line="240" w:lineRule="auto"/>
    </w:pPr>
    <w:rPr>
      <w:color w:val="5B5E60"/>
    </w:rPr>
  </w:style>
  <w:style w:type="paragraph" w:customStyle="1" w:styleId="SubSubTitle">
    <w:name w:val="SubSubTitle"/>
    <w:basedOn w:val="Normal"/>
    <w:rsid w:val="00F65ECD"/>
    <w:pPr>
      <w:spacing w:after="960" w:line="240" w:lineRule="auto"/>
      <w:ind w:left="170"/>
    </w:pPr>
    <w:rPr>
      <w:rFonts w:ascii="Futura Bk BT" w:eastAsiaTheme="minorEastAsia" w:hAnsi="Futura Bk BT" w:cstheme="minorBidi"/>
      <w:color w:val="5B5E60"/>
      <w:sz w:val="24"/>
      <w:szCs w:val="26"/>
      <w:lang w:val="en-US" w:eastAsia="ja-JP"/>
    </w:rPr>
  </w:style>
  <w:style w:type="paragraph" w:customStyle="1" w:styleId="OutlineNumbered1-Indent">
    <w:name w:val="Outline Numbered 1 - Indent"/>
    <w:basedOn w:val="OutlineNumbered1"/>
    <w:rsid w:val="00D42D4B"/>
    <w:pPr>
      <w:tabs>
        <w:tab w:val="left" w:pos="851"/>
      </w:tabs>
      <w:ind w:left="850"/>
    </w:pPr>
  </w:style>
  <w:style w:type="paragraph" w:customStyle="1" w:styleId="SubSubSubTitle">
    <w:name w:val="SubSubSubTitle"/>
    <w:basedOn w:val="Normal"/>
    <w:rsid w:val="00F65ECD"/>
    <w:pPr>
      <w:spacing w:line="240" w:lineRule="auto"/>
      <w:ind w:left="170"/>
      <w:jc w:val="left"/>
    </w:pPr>
    <w:rPr>
      <w:color w:val="3A87C8"/>
      <w:sz w:val="24"/>
      <w:szCs w:val="24"/>
    </w:rPr>
  </w:style>
  <w:style w:type="paragraph" w:customStyle="1" w:styleId="OutlineNumbered1-Roman">
    <w:name w:val="Outline Numbered 1 - Roman"/>
    <w:basedOn w:val="OutlineNumbered1-Indent"/>
    <w:rsid w:val="003A04EB"/>
    <w:pPr>
      <w:numPr>
        <w:numId w:val="9"/>
      </w:numPr>
    </w:pPr>
  </w:style>
  <w:style w:type="paragraph" w:customStyle="1" w:styleId="TableColumnHeadingLeft-White">
    <w:name w:val="Table Column Heading Left - White"/>
    <w:basedOn w:val="TableColumnHeadingLeft"/>
    <w:rsid w:val="00DF55A2"/>
    <w:pPr>
      <w:spacing w:before="120" w:after="120"/>
    </w:pPr>
    <w:rPr>
      <w:color w:val="FFFFFF" w:themeColor="background1"/>
      <w:sz w:val="22"/>
    </w:rPr>
  </w:style>
  <w:style w:type="paragraph" w:customStyle="1" w:styleId="TableTextLeft-Bullet">
    <w:name w:val="Table Text Left - Bullet"/>
    <w:basedOn w:val="TableTextLeft"/>
    <w:rsid w:val="00DF55A2"/>
    <w:pPr>
      <w:numPr>
        <w:numId w:val="12"/>
      </w:numPr>
    </w:pPr>
    <w:rPr>
      <w:color w:val="5B5E60"/>
    </w:rPr>
  </w:style>
  <w:style w:type="paragraph" w:styleId="TOCHeading">
    <w:name w:val="TOC Heading"/>
    <w:basedOn w:val="Heading1"/>
    <w:next w:val="Normal"/>
    <w:uiPriority w:val="39"/>
    <w:semiHidden/>
    <w:unhideWhenUsed/>
    <w:qFormat/>
    <w:rsid w:val="00E37976"/>
    <w:pPr>
      <w:keepLines/>
      <w:pBdr>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customStyle="1" w:styleId="Heading1-NoTOC">
    <w:name w:val="Heading 1 - No TOC"/>
    <w:basedOn w:val="Heading1"/>
    <w:rsid w:val="00E37976"/>
    <w:pPr>
      <w:outlineLvl w:val="9"/>
    </w:pPr>
  </w:style>
  <w:style w:type="character" w:styleId="FollowedHyperlink">
    <w:name w:val="FollowedHyperlink"/>
    <w:basedOn w:val="DefaultParagraphFont"/>
    <w:uiPriority w:val="99"/>
    <w:semiHidden/>
    <w:unhideWhenUsed/>
    <w:rsid w:val="00D25A78"/>
    <w:rPr>
      <w:color w:val="800080" w:themeColor="followedHyperlink"/>
      <w:u w:val="single"/>
    </w:rPr>
  </w:style>
  <w:style w:type="paragraph" w:styleId="ListParagraph">
    <w:name w:val="List Paragraph"/>
    <w:basedOn w:val="Normal"/>
    <w:uiPriority w:val="34"/>
    <w:qFormat/>
    <w:rsid w:val="009F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0398">
      <w:bodyDiv w:val="1"/>
      <w:marLeft w:val="0"/>
      <w:marRight w:val="0"/>
      <w:marTop w:val="0"/>
      <w:marBottom w:val="0"/>
      <w:divBdr>
        <w:top w:val="none" w:sz="0" w:space="0" w:color="auto"/>
        <w:left w:val="none" w:sz="0" w:space="0" w:color="auto"/>
        <w:bottom w:val="none" w:sz="0" w:space="0" w:color="auto"/>
        <w:right w:val="none" w:sz="0" w:space="0" w:color="auto"/>
      </w:divBdr>
    </w:div>
    <w:div w:id="17036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mneguidelines.oecd.org/databa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tsanhonour.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mailto:Secretariat@AusNCP.gov.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ausncp.gov.au/about/governance-and-advisory-board"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www.AusNCP.gov.a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usncp.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legalcode" TargetMode="External"/><Relationship Id="rId22" Type="http://schemas.openxmlformats.org/officeDocument/2006/relationships/hyperlink" Target="http://www.ausncp.gov.au/content/Content.aspx?doc=publications.htm"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2019MG-1494553492-5134</_dlc_DocId>
    <_dlc_DocIdUrl xmlns="0f563589-9cf9-4143-b1eb-fb0534803d38">
      <Url>http://tweb/sites/mg/fitpd/_layouts/15/DocIdRedir.aspx?ID=2019MG-1494553492-5134</Url>
      <Description>2019MG-1494553492-5134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4932" ma:contentTypeDescription="" ma:contentTypeScope="" ma:versionID="f9af5e71aec3fc3f2ffc1d74ef352ea7">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835B-6DBF-4749-982A-2C0AED08E591}">
  <ds:schemaRefs>
    <ds:schemaRef ds:uri="http://schemas.microsoft.com/sharepoint/events"/>
  </ds:schemaRefs>
</ds:datastoreItem>
</file>

<file path=customXml/itemProps2.xml><?xml version="1.0" encoding="utf-8"?>
<ds:datastoreItem xmlns:ds="http://schemas.openxmlformats.org/officeDocument/2006/customXml" ds:itemID="{95239E46-1183-4129-9981-45A9D4D6C19C}">
  <ds:schemaRefs>
    <ds:schemaRef ds:uri="office.server.policy"/>
  </ds:schemaRefs>
</ds:datastoreItem>
</file>

<file path=customXml/itemProps3.xml><?xml version="1.0" encoding="utf-8"?>
<ds:datastoreItem xmlns:ds="http://schemas.openxmlformats.org/officeDocument/2006/customXml" ds:itemID="{BA434C7A-AFEB-4786-9927-C3B3E852AC01}">
  <ds:schemaRefs>
    <ds:schemaRef ds:uri="http://schemas.microsoft.com/sharepoint/v3/contenttype/forms"/>
  </ds:schemaRefs>
</ds:datastoreItem>
</file>

<file path=customXml/itemProps4.xml><?xml version="1.0" encoding="utf-8"?>
<ds:datastoreItem xmlns:ds="http://schemas.openxmlformats.org/officeDocument/2006/customXml" ds:itemID="{FBDC4BD6-CB79-4177-8991-DF7058C2BFBC}">
  <ds:schemaRefs>
    <ds:schemaRef ds:uri="http://purl.org/dc/elements/1.1/"/>
    <ds:schemaRef ds:uri="0f563589-9cf9-4143-b1eb-fb0534803d38"/>
    <ds:schemaRef ds:uri="d4dd4adf-ddb3-46a3-8d7c-fab3fb2a6bc7"/>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09F711F7-A1DB-412A-A471-AF27BF06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14A220-32B5-40D3-871B-B67BE4AC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191017 DRAFT Final Statement - case 19 (for external comment)</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191017 DRAFT Final Statement - case 19 (for external comment)</dc:title>
  <dc:subject/>
  <dc:creator/>
  <cp:keywords/>
  <cp:lastModifiedBy/>
  <cp:revision>1</cp:revision>
  <dcterms:created xsi:type="dcterms:W3CDTF">2019-12-05T04:07:00Z</dcterms:created>
  <dcterms:modified xsi:type="dcterms:W3CDTF">2019-12-12T03:25:00Z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0x010100E95D40E5DFEA714B90E88DB5CE07A6B500E4CC779F6956F946B1963A5AFEE53528</vt:lpwstr>
  </property>
  <property fmtid="{D5CDD505-2E9C-101B-9397-08002B2CF9AE}" pid="3" name="RecordPoint_ActiveItemUniqueId">
    <vt:lpwstr>{7295e066-2bad-4d60-974b-eced9b9ff9c7}</vt:lpwstr>
  </property>
  <property fmtid="{D5CDD505-2E9C-101B-9397-08002B2CF9AE}" pid="4" name="TSYRecordClass">
    <vt:lpwstr>57;#TSY RA-8923 - Retain as national archives|48e7aad3-c205-4fdc-9279-a9ed8a0327f2</vt:lpwstr>
  </property>
  <property fmtid="{D5CDD505-2E9C-101B-9397-08002B2CF9AE}" pid="5" name="RecordPoint_WorkflowType">
    <vt:lpwstr>ActiveSubmitStub</vt:lpwstr>
  </property>
  <property fmtid="{D5CDD505-2E9C-101B-9397-08002B2CF9AE}" pid="6" name="_dlc_DocIdItemGuid">
    <vt:lpwstr>7295e066-2bad-4d60-974b-eced9b9ff9c7</vt:lpwstr>
  </property>
  <property fmtid="{D5CDD505-2E9C-101B-9397-08002B2CF9AE}" pid="7" name="RecordPoint_ActiveItemSiteId">
    <vt:lpwstr>{08cedf7d-7ad2-4b81-a81f-47e3ec332c41}</vt:lpwstr>
  </property>
  <property fmtid="{D5CDD505-2E9C-101B-9397-08002B2CF9AE}" pid="8" name="RecordPoint_ActiveItemListId">
    <vt:lpwstr>{17099388-55d4-4cee-aa1a-f026d6a70641}</vt:lpwstr>
  </property>
  <property fmtid="{D5CDD505-2E9C-101B-9397-08002B2CF9AE}" pid="9" name="RecordPoint_ActiveItemWebId">
    <vt:lpwstr>{31eac4f3-160a-4a13-a9a0-2808d5b44bbf}</vt:lpwstr>
  </property>
  <property fmtid="{D5CDD505-2E9C-101B-9397-08002B2CF9AE}" pid="10" name="Order">
    <vt:r8>487100</vt:r8>
  </property>
  <property fmtid="{D5CDD505-2E9C-101B-9397-08002B2CF9AE}" pid="11" name="oae75e2df9d943898d59cb03ca0993c5">
    <vt:lpwstr/>
  </property>
  <property fmtid="{D5CDD505-2E9C-101B-9397-08002B2CF9AE}" pid="12" name="Topics">
    <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
  </property>
  <property fmtid="{D5CDD505-2E9C-101B-9397-08002B2CF9AE}" pid="18" name="_AdHocReviewCycleID">
    <vt:i4>554400741</vt:i4>
  </property>
  <property fmtid="{D5CDD505-2E9C-101B-9397-08002B2CF9AE}" pid="19" name="_NewReviewCycle">
    <vt:lpwstr/>
  </property>
</Properties>
</file>