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b/>
          <w:caps/>
          <w:noProof w:val="0"/>
          <w:color w:val="595959" w:themeColor="text1" w:themeTint="A6"/>
          <w:kern w:val="32"/>
          <w:sz w:val="22"/>
          <w:szCs w:val="22"/>
        </w:rPr>
        <w:id w:val="-583061974"/>
        <w:docPartObj>
          <w:docPartGallery w:val="Cover Pages"/>
          <w:docPartUnique/>
        </w:docPartObj>
      </w:sdtPr>
      <w:sdtEndPr>
        <w:rPr>
          <w:color w:val="3A87C8"/>
          <w:sz w:val="44"/>
          <w:szCs w:val="36"/>
        </w:rPr>
      </w:sdtEndPr>
      <w:sdtContent>
        <w:tbl>
          <w:tblPr>
            <w:tblW w:w="0" w:type="auto"/>
            <w:jc w:val="center"/>
            <w:tblBorders>
              <w:left w:val="single" w:sz="24" w:space="0" w:color="3A87C8"/>
            </w:tblBorders>
            <w:tblLook w:val="04A0" w:firstRow="1" w:lastRow="0" w:firstColumn="1" w:lastColumn="0" w:noHBand="0" w:noVBand="1"/>
          </w:tblPr>
          <w:tblGrid>
            <w:gridCol w:w="7621"/>
          </w:tblGrid>
          <w:tr w:rsidR="00350A19" w:rsidRPr="002D7810" w14:paraId="6D621FD9" w14:textId="77777777" w:rsidTr="00E56CC9">
            <w:trPr>
              <w:jc w:val="center"/>
            </w:trPr>
            <w:tc>
              <w:tcPr>
                <w:tcW w:w="7621" w:type="dxa"/>
              </w:tcPr>
              <w:p w14:paraId="56A23A17" w14:textId="53520941" w:rsidR="00C30694" w:rsidRPr="002D7810" w:rsidRDefault="00C30694" w:rsidP="00F65ECD">
                <w:pPr>
                  <w:pStyle w:val="Subtitle"/>
                  <w:ind w:left="170"/>
                  <w:rPr>
                    <w:noProof w:val="0"/>
                  </w:rPr>
                </w:pPr>
                <w:r w:rsidRPr="002D7810">
                  <w:rPr>
                    <w:noProof w:val="0"/>
                  </w:rPr>
                  <w:t>Australian National Contact Point</w:t>
                </w:r>
              </w:p>
              <w:p w14:paraId="289B6AEF" w14:textId="77777777" w:rsidR="00C30694" w:rsidRPr="002D7810" w:rsidRDefault="00F65ECD" w:rsidP="00F65ECD">
                <w:pPr>
                  <w:pStyle w:val="SubSubTitle"/>
                  <w:rPr>
                    <w:noProof w:val="0"/>
                    <w:lang w:val="en-AU"/>
                  </w:rPr>
                </w:pPr>
                <w:r w:rsidRPr="002D7810">
                  <w:rPr>
                    <w:noProof w:val="0"/>
                    <w:lang w:val="en-AU"/>
                  </w:rPr>
                  <w:t>f</w:t>
                </w:r>
                <w:r w:rsidR="00C30694" w:rsidRPr="002D7810">
                  <w:rPr>
                    <w:noProof w:val="0"/>
                    <w:lang w:val="en-AU"/>
                  </w:rPr>
                  <w:t>or the OECD Guidelines for Multinational Enterprises</w:t>
                </w:r>
              </w:p>
            </w:tc>
          </w:tr>
          <w:tr w:rsidR="00605AB0" w:rsidRPr="002D7810" w14:paraId="2EB06520" w14:textId="77777777" w:rsidTr="00E56CC9">
            <w:trPr>
              <w:jc w:val="center"/>
            </w:trPr>
            <w:tc>
              <w:tcPr>
                <w:tcW w:w="7621" w:type="dxa"/>
              </w:tcPr>
              <w:p w14:paraId="686CBD8B" w14:textId="77777777" w:rsidR="00C30694" w:rsidRPr="002D7810" w:rsidRDefault="00E63C2A" w:rsidP="00E2290F">
                <w:pPr>
                  <w:pStyle w:val="Title"/>
                  <w:rPr>
                    <w:lang w:val="en-AU"/>
                  </w:rPr>
                </w:pPr>
                <w:r w:rsidRPr="002D7810">
                  <w:rPr>
                    <w:lang w:val="en-AU"/>
                  </w:rPr>
                  <w:t>Final Statement</w:t>
                </w:r>
                <w:r w:rsidR="00E56CC9" w:rsidRPr="002D7810">
                  <w:rPr>
                    <w:lang w:val="en-AU"/>
                  </w:rPr>
                  <w:t xml:space="preserve"> </w:t>
                </w:r>
              </w:p>
            </w:tc>
          </w:tr>
          <w:tr w:rsidR="00F65ECD" w:rsidRPr="002D7810" w14:paraId="4889B947" w14:textId="77777777" w:rsidTr="00E56CC9">
            <w:trPr>
              <w:jc w:val="center"/>
            </w:trPr>
            <w:tc>
              <w:tcPr>
                <w:tcW w:w="7621" w:type="dxa"/>
              </w:tcPr>
              <w:p w14:paraId="4024381E" w14:textId="77777777" w:rsidR="00C30694" w:rsidRPr="002D7810" w:rsidRDefault="00E56CC9" w:rsidP="00E2290F">
                <w:pPr>
                  <w:pStyle w:val="SubSubSubTitle"/>
                  <w:rPr>
                    <w:noProof w:val="0"/>
                  </w:rPr>
                </w:pPr>
                <w:r w:rsidRPr="002D7810">
                  <w:rPr>
                    <w:noProof w:val="0"/>
                  </w:rPr>
                  <w:t xml:space="preserve">This </w:t>
                </w:r>
                <w:r w:rsidR="00E2290F" w:rsidRPr="002D7810">
                  <w:rPr>
                    <w:noProof w:val="0"/>
                  </w:rPr>
                  <w:t>complaint</w:t>
                </w:r>
                <w:r w:rsidRPr="002D7810">
                  <w:rPr>
                    <w:noProof w:val="0"/>
                  </w:rPr>
                  <w:t xml:space="preserve"> was submitted by </w:t>
                </w:r>
                <w:r w:rsidR="00E2290F" w:rsidRPr="002D7810">
                  <w:rPr>
                    <w:noProof w:val="0"/>
                  </w:rPr>
                  <w:t xml:space="preserve">the International Union of Food, Agricultural, Hotel, Restaurant, Catering, Tobacco and Allied Workers' Associations (IUF) </w:t>
                </w:r>
                <w:r w:rsidRPr="002D7810">
                  <w:rPr>
                    <w:noProof w:val="0"/>
                  </w:rPr>
                  <w:t xml:space="preserve">against </w:t>
                </w:r>
                <w:r w:rsidR="00E2290F" w:rsidRPr="002D7810">
                  <w:rPr>
                    <w:noProof w:val="0"/>
                  </w:rPr>
                  <w:t xml:space="preserve">Coca-Cola Amatil </w:t>
                </w:r>
                <w:r w:rsidRPr="002D7810">
                  <w:rPr>
                    <w:noProof w:val="0"/>
                  </w:rPr>
                  <w:t xml:space="preserve">for its conduct in </w:t>
                </w:r>
                <w:r w:rsidR="00E2290F" w:rsidRPr="002D7810">
                  <w:rPr>
                    <w:noProof w:val="0"/>
                  </w:rPr>
                  <w:t>Indonesia</w:t>
                </w:r>
                <w:r w:rsidRPr="002D7810">
                  <w:rPr>
                    <w:noProof w:val="0"/>
                  </w:rPr>
                  <w:t>.</w:t>
                </w:r>
              </w:p>
            </w:tc>
          </w:tr>
          <w:tr w:rsidR="00605AB0" w:rsidRPr="002D7810" w14:paraId="1ACA01CE" w14:textId="77777777" w:rsidTr="00E56CC9">
            <w:trPr>
              <w:jc w:val="center"/>
            </w:trPr>
            <w:tc>
              <w:tcPr>
                <w:tcW w:w="7621" w:type="dxa"/>
              </w:tcPr>
              <w:p w14:paraId="6695C596" w14:textId="1655CADD" w:rsidR="00C30694" w:rsidRPr="002D7810" w:rsidRDefault="00E56CC9" w:rsidP="000A136C">
                <w:pPr>
                  <w:pStyle w:val="ReportDate"/>
                  <w:rPr>
                    <w:noProof w:val="0"/>
                  </w:rPr>
                </w:pPr>
                <w:r w:rsidRPr="000A136C">
                  <w:rPr>
                    <w:noProof w:val="0"/>
                  </w:rPr>
                  <w:t xml:space="preserve">Published </w:t>
                </w:r>
                <w:r w:rsidR="000A136C" w:rsidRPr="001E568F">
                  <w:rPr>
                    <w:noProof w:val="0"/>
                  </w:rPr>
                  <w:t>13 December</w:t>
                </w:r>
                <w:r w:rsidRPr="000A136C">
                  <w:rPr>
                    <w:noProof w:val="0"/>
                  </w:rPr>
                  <w:t xml:space="preserve"> </w:t>
                </w:r>
                <w:r w:rsidR="00E2290F" w:rsidRPr="000A136C">
                  <w:rPr>
                    <w:noProof w:val="0"/>
                  </w:rPr>
                  <w:t>2019</w:t>
                </w:r>
              </w:p>
            </w:tc>
          </w:tr>
        </w:tbl>
        <w:p w14:paraId="3DAA3746" w14:textId="77777777" w:rsidR="00605AB0" w:rsidRPr="002D7810" w:rsidRDefault="00605AB0" w:rsidP="00350A19">
          <w:pPr>
            <w:rPr>
              <w:noProof w:val="0"/>
            </w:rPr>
            <w:sectPr w:rsidR="00605AB0" w:rsidRPr="002D7810" w:rsidSect="00605AB0">
              <w:headerReference w:type="even" r:id="rId13"/>
              <w:headerReference w:type="default" r:id="rId14"/>
              <w:footerReference w:type="even" r:id="rId15"/>
              <w:footerReference w:type="default" r:id="rId16"/>
              <w:headerReference w:type="first" r:id="rId17"/>
              <w:footerReference w:type="first" r:id="rId18"/>
              <w:pgSz w:w="11906" w:h="16838" w:code="277"/>
              <w:pgMar w:top="1418" w:right="1418" w:bottom="1418" w:left="1418" w:header="765" w:footer="765" w:gutter="0"/>
              <w:pgNumType w:start="0"/>
              <w:cols w:space="708"/>
              <w:vAlign w:val="center"/>
              <w:titlePg/>
              <w:docGrid w:linePitch="360"/>
            </w:sectPr>
          </w:pPr>
        </w:p>
        <w:p w14:paraId="46174322" w14:textId="77777777" w:rsidR="00E37976" w:rsidRPr="002D7810" w:rsidRDefault="00805526" w:rsidP="00E37976">
          <w:pPr>
            <w:rPr>
              <w:noProof w:val="0"/>
            </w:rPr>
          </w:pPr>
          <w:r w:rsidRPr="002D7810">
            <w:rPr>
              <w:noProof w:val="0"/>
            </w:rPr>
            <w:lastRenderedPageBreak/>
            <w:t>© Commonwealth of Australia 2019</w:t>
          </w:r>
        </w:p>
        <w:p w14:paraId="05774CDE" w14:textId="77777777" w:rsidR="00E37976" w:rsidRPr="002D7810" w:rsidRDefault="00E37976" w:rsidP="00E37976">
          <w:pPr>
            <w:rPr>
              <w:noProof w:val="0"/>
              <w:sz w:val="24"/>
              <w:szCs w:val="24"/>
            </w:rPr>
          </w:pPr>
          <w:r w:rsidRPr="002D7810">
            <w:rPr>
              <w:noProof w:val="0"/>
            </w:rPr>
            <w:t>This publication is available for your use under a</w:t>
          </w:r>
          <w:r w:rsidRPr="002D7810">
            <w:rPr>
              <w:rFonts w:cs="Calibri"/>
              <w:noProof w:val="0"/>
              <w:sz w:val="24"/>
              <w:szCs w:val="24"/>
            </w:rPr>
            <w:t xml:space="preserve"> </w:t>
          </w:r>
          <w:hyperlink r:id="rId19" w:history="1">
            <w:r w:rsidRPr="00A47E66">
              <w:rPr>
                <w:rStyle w:val="Hyperlink"/>
                <w:b w:val="0"/>
                <w:noProof w:val="0"/>
              </w:rPr>
              <w:t>Creative Commons Attribution 3.0 Australia</w:t>
            </w:r>
          </w:hyperlink>
          <w:r w:rsidRPr="002D7810">
            <w:rPr>
              <w:rFonts w:cs="Calibri"/>
              <w:noProof w:val="0"/>
              <w:sz w:val="24"/>
              <w:szCs w:val="24"/>
            </w:rPr>
            <w:t xml:space="preserve"> </w:t>
          </w:r>
          <w:r w:rsidRPr="002D7810">
            <w:rPr>
              <w:noProof w:val="0"/>
            </w:rPr>
            <w:t>licence, with the exception of the Commonwealth Coat of Arms, the Treasury logo, photographs, images, signatures and where otherwise stated. The full licence terms are available from</w:t>
          </w:r>
          <w:r w:rsidR="00A47E66">
            <w:rPr>
              <w:noProof w:val="0"/>
            </w:rPr>
            <w:t xml:space="preserve"> </w:t>
          </w:r>
          <w:hyperlink r:id="rId20" w:history="1">
            <w:r w:rsidRPr="00A47E66">
              <w:rPr>
                <w:rStyle w:val="Hyperlink"/>
                <w:b w:val="0"/>
                <w:noProof w:val="0"/>
              </w:rPr>
              <w:t>http://creativecommons.org/licenses/by/3.0/au/</w:t>
            </w:r>
            <w:r w:rsidRPr="00A47E66">
              <w:rPr>
                <w:rStyle w:val="Hyperlink"/>
                <w:b w:val="0"/>
                <w:noProof w:val="0"/>
              </w:rPr>
              <w:br/>
              <w:t>legalcode</w:t>
            </w:r>
          </w:hyperlink>
          <w:r w:rsidRPr="00A47E66">
            <w:rPr>
              <w:b/>
              <w:noProof w:val="0"/>
              <w:color w:val="004A7F"/>
            </w:rPr>
            <w:t>.</w:t>
          </w:r>
        </w:p>
        <w:p w14:paraId="4CCC8823" w14:textId="77777777" w:rsidR="00E37976" w:rsidRPr="002D7810" w:rsidRDefault="00E37976" w:rsidP="00E37976">
          <w:pPr>
            <w:pStyle w:val="TableGraphic"/>
          </w:pPr>
          <w:r w:rsidRPr="002D7810">
            <w:rPr>
              <w:noProof/>
            </w:rPr>
            <w:drawing>
              <wp:anchor distT="0" distB="0" distL="114300" distR="114300" simplePos="0" relativeHeight="251658240" behindDoc="0" locked="0" layoutInCell="1" allowOverlap="1" wp14:anchorId="2DBF2EC6" wp14:editId="1A722F1C">
                <wp:simplePos x="0" y="0"/>
                <wp:positionH relativeFrom="column">
                  <wp:posOffset>4445</wp:posOffset>
                </wp:positionH>
                <wp:positionV relativeFrom="paragraph">
                  <wp:posOffset>4445</wp:posOffset>
                </wp:positionV>
                <wp:extent cx="809625" cy="285750"/>
                <wp:effectExtent l="0" t="0" r="9525" b="0"/>
                <wp:wrapSquare wrapText="bothSides"/>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D8F75FD" w14:textId="77777777" w:rsidR="00E37976" w:rsidRPr="002D7810" w:rsidRDefault="00E37976" w:rsidP="00E37976">
          <w:pPr>
            <w:rPr>
              <w:noProof w:val="0"/>
            </w:rPr>
          </w:pPr>
          <w:r w:rsidRPr="002D7810">
            <w:rPr>
              <w:noProof w:val="0"/>
            </w:rPr>
            <w:t>Use of Treasury material under a</w:t>
          </w:r>
          <w:r w:rsidRPr="002D7810">
            <w:rPr>
              <w:rFonts w:cs="Calibri"/>
              <w:noProof w:val="0"/>
              <w:sz w:val="24"/>
              <w:szCs w:val="24"/>
            </w:rPr>
            <w:t xml:space="preserve"> </w:t>
          </w:r>
          <w:hyperlink r:id="rId22" w:history="1">
            <w:r w:rsidRPr="00A47E66">
              <w:rPr>
                <w:rStyle w:val="Hyperlink"/>
                <w:b w:val="0"/>
                <w:noProof w:val="0"/>
              </w:rPr>
              <w:t>Creative Commons Attribution 3.0 Australia</w:t>
            </w:r>
          </w:hyperlink>
          <w:r w:rsidRPr="002D7810">
            <w:rPr>
              <w:b/>
              <w:noProof w:val="0"/>
              <w:color w:val="004A7F"/>
            </w:rPr>
            <w:t xml:space="preserve"> </w:t>
          </w:r>
          <w:r w:rsidRPr="002D7810">
            <w:rPr>
              <w:noProof w:val="0"/>
            </w:rPr>
            <w:t>licence requires you to attribute the work (but not in any way that suggests that the Treasury endorses you or your use of the work).</w:t>
          </w:r>
        </w:p>
        <w:p w14:paraId="63AE4B7E" w14:textId="77777777" w:rsidR="00E37976" w:rsidRPr="002D7810" w:rsidRDefault="00E37976" w:rsidP="00E37976">
          <w:pPr>
            <w:ind w:left="567"/>
            <w:rPr>
              <w:i/>
              <w:noProof w:val="0"/>
            </w:rPr>
          </w:pPr>
          <w:r w:rsidRPr="002D7810">
            <w:rPr>
              <w:i/>
              <w:noProof w:val="0"/>
            </w:rPr>
            <w:t>Treasury material used ‘as supplied’.</w:t>
          </w:r>
        </w:p>
        <w:p w14:paraId="3092FFC9" w14:textId="77777777" w:rsidR="00E37976" w:rsidRPr="002D7810" w:rsidRDefault="00E37976" w:rsidP="00E37976">
          <w:pPr>
            <w:rPr>
              <w:noProof w:val="0"/>
            </w:rPr>
          </w:pPr>
          <w:r w:rsidRPr="002D7810">
            <w:rPr>
              <w:noProof w:val="0"/>
            </w:rPr>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126B81C9" w14:textId="77777777" w:rsidR="00E37976" w:rsidRPr="002D7810" w:rsidRDefault="00E37976" w:rsidP="00E37976">
          <w:pPr>
            <w:ind w:left="567"/>
            <w:rPr>
              <w:i/>
              <w:noProof w:val="0"/>
            </w:rPr>
          </w:pPr>
          <w:r w:rsidRPr="002D7810">
            <w:rPr>
              <w:i/>
              <w:noProof w:val="0"/>
            </w:rPr>
            <w:t>Source: The Australian Government the Treasury</w:t>
          </w:r>
        </w:p>
        <w:p w14:paraId="415EC599" w14:textId="77777777" w:rsidR="00E37976" w:rsidRPr="002D7810" w:rsidRDefault="00E37976" w:rsidP="00E37976">
          <w:pPr>
            <w:rPr>
              <w:b/>
              <w:noProof w:val="0"/>
            </w:rPr>
          </w:pPr>
          <w:r w:rsidRPr="002D7810">
            <w:rPr>
              <w:b/>
              <w:noProof w:val="0"/>
            </w:rPr>
            <w:t>Derivative material</w:t>
          </w:r>
        </w:p>
        <w:p w14:paraId="6BCF66A8" w14:textId="77777777" w:rsidR="00E37976" w:rsidRPr="002D7810" w:rsidRDefault="00E37976" w:rsidP="00E37976">
          <w:pPr>
            <w:rPr>
              <w:noProof w:val="0"/>
            </w:rPr>
          </w:pPr>
          <w:r w:rsidRPr="002D7810">
            <w:rPr>
              <w:noProof w:val="0"/>
            </w:rPr>
            <w:t>If you have modified or transformed Treasury material, or derived new material from those of the Treasury in any way, then Treasury prefers the following attribution:</w:t>
          </w:r>
        </w:p>
        <w:p w14:paraId="0EA22056" w14:textId="77777777" w:rsidR="00E37976" w:rsidRPr="002D7810" w:rsidRDefault="00E37976" w:rsidP="00E37976">
          <w:pPr>
            <w:ind w:left="567"/>
            <w:rPr>
              <w:i/>
              <w:noProof w:val="0"/>
            </w:rPr>
          </w:pPr>
          <w:r w:rsidRPr="002D7810">
            <w:rPr>
              <w:i/>
              <w:noProof w:val="0"/>
            </w:rPr>
            <w:t>Based on The Australian Government the Treasury data</w:t>
          </w:r>
        </w:p>
        <w:p w14:paraId="7CBF4CE5" w14:textId="77777777" w:rsidR="00E37976" w:rsidRPr="002D7810" w:rsidRDefault="00E37976" w:rsidP="00E37976">
          <w:pPr>
            <w:rPr>
              <w:b/>
              <w:noProof w:val="0"/>
            </w:rPr>
          </w:pPr>
          <w:r w:rsidRPr="002D7810">
            <w:rPr>
              <w:b/>
              <w:noProof w:val="0"/>
            </w:rPr>
            <w:t>Use of the Coat of Arms</w:t>
          </w:r>
        </w:p>
        <w:p w14:paraId="51F5DC3C" w14:textId="77777777" w:rsidR="00E37976" w:rsidRPr="002D7810" w:rsidRDefault="00E37976" w:rsidP="00E37976">
          <w:pPr>
            <w:rPr>
              <w:noProof w:val="0"/>
            </w:rPr>
          </w:pPr>
          <w:r w:rsidRPr="002D7810">
            <w:rPr>
              <w:noProof w:val="0"/>
            </w:rPr>
            <w:t>The terms under which the Coat of Arms can be used are set out on the It’s an Honour website (see </w:t>
          </w:r>
          <w:hyperlink r:id="rId23" w:history="1">
            <w:r w:rsidRPr="00A47E66">
              <w:rPr>
                <w:rStyle w:val="Hyperlink"/>
                <w:b w:val="0"/>
                <w:noProof w:val="0"/>
              </w:rPr>
              <w:t>www.itsanhonour.gov.au</w:t>
            </w:r>
          </w:hyperlink>
          <w:r w:rsidRPr="00A47E66">
            <w:rPr>
              <w:noProof w:val="0"/>
            </w:rPr>
            <w:t>).</w:t>
          </w:r>
        </w:p>
        <w:p w14:paraId="600ECB21" w14:textId="77777777" w:rsidR="00E37976" w:rsidRPr="002D7810" w:rsidRDefault="00E37976" w:rsidP="00E37976">
          <w:pPr>
            <w:rPr>
              <w:b/>
              <w:noProof w:val="0"/>
            </w:rPr>
          </w:pPr>
          <w:r w:rsidRPr="002D7810">
            <w:rPr>
              <w:b/>
              <w:noProof w:val="0"/>
            </w:rPr>
            <w:t>Other uses</w:t>
          </w:r>
        </w:p>
        <w:p w14:paraId="329388F5" w14:textId="77777777" w:rsidR="00E37976" w:rsidRPr="002D7810" w:rsidRDefault="00E37976" w:rsidP="00E37976">
          <w:pPr>
            <w:rPr>
              <w:noProof w:val="0"/>
            </w:rPr>
          </w:pPr>
          <w:r w:rsidRPr="002D7810">
            <w:rPr>
              <w:noProof w:val="0"/>
            </w:rPr>
            <w:t>Enquiries regarding this licence and any other use of this document are welcome at:</w:t>
          </w:r>
        </w:p>
        <w:p w14:paraId="60F9DBEB" w14:textId="77777777" w:rsidR="00E37976" w:rsidRPr="002D7810" w:rsidRDefault="00E37976" w:rsidP="00E37976">
          <w:pPr>
            <w:ind w:left="567"/>
            <w:jc w:val="left"/>
            <w:rPr>
              <w:b/>
              <w:noProof w:val="0"/>
              <w:color w:val="004A7F"/>
            </w:rPr>
          </w:pPr>
          <w:r w:rsidRPr="002D7810">
            <w:rPr>
              <w:noProof w:val="0"/>
            </w:rPr>
            <w:t>Manager</w:t>
          </w:r>
          <w:r w:rsidRPr="002D7810">
            <w:rPr>
              <w:noProof w:val="0"/>
            </w:rPr>
            <w:br/>
            <w:t>Editorial, Media and Speeches Unit</w:t>
          </w:r>
          <w:r w:rsidRPr="002D7810">
            <w:rPr>
              <w:noProof w:val="0"/>
            </w:rPr>
            <w:br/>
            <w:t>The Treasury</w:t>
          </w:r>
          <w:r w:rsidRPr="002D7810">
            <w:rPr>
              <w:noProof w:val="0"/>
            </w:rPr>
            <w:br/>
            <w:t xml:space="preserve">Langton Crescent </w:t>
          </w:r>
          <w:r w:rsidRPr="002D7810">
            <w:rPr>
              <w:noProof w:val="0"/>
            </w:rPr>
            <w:br/>
            <w:t>Parkes  ACT  2600</w:t>
          </w:r>
          <w:r w:rsidRPr="002D7810">
            <w:rPr>
              <w:noProof w:val="0"/>
            </w:rPr>
            <w:br/>
            <w:t xml:space="preserve">Email: </w:t>
          </w:r>
          <w:hyperlink r:id="rId24" w:history="1">
            <w:r w:rsidRPr="00A47E66">
              <w:rPr>
                <w:rStyle w:val="Hyperlink"/>
                <w:b w:val="0"/>
                <w:noProof w:val="0"/>
              </w:rPr>
              <w:t>medialiaison@treasury.gov.au</w:t>
            </w:r>
          </w:hyperlink>
        </w:p>
        <w:p w14:paraId="6C76BA0F" w14:textId="77777777" w:rsidR="00E37976" w:rsidRPr="002D7810" w:rsidRDefault="00E37976" w:rsidP="00E37976">
          <w:pPr>
            <w:rPr>
              <w:noProof w:val="0"/>
            </w:rPr>
          </w:pPr>
        </w:p>
        <w:sdt>
          <w:sdtPr>
            <w:rPr>
              <w:rFonts w:ascii="Century Gothic" w:hAnsi="Century Gothic" w:cs="Times New Roman"/>
              <w:b w:val="0"/>
              <w:caps w:val="0"/>
              <w:noProof/>
              <w:color w:val="595959" w:themeColor="text1" w:themeTint="A6"/>
              <w:kern w:val="0"/>
              <w:sz w:val="22"/>
              <w:szCs w:val="22"/>
            </w:rPr>
            <w:id w:val="-1122075217"/>
            <w:docPartObj>
              <w:docPartGallery w:val="Table of Contents"/>
              <w:docPartUnique/>
            </w:docPartObj>
          </w:sdtPr>
          <w:sdtEndPr>
            <w:rPr>
              <w:bCs/>
            </w:rPr>
          </w:sdtEndPr>
          <w:sdtContent>
            <w:p w14:paraId="21CCBCAC" w14:textId="77777777" w:rsidR="00E37976" w:rsidRPr="002D7810" w:rsidRDefault="00E37976" w:rsidP="00E37976">
              <w:pPr>
                <w:pStyle w:val="Heading1-NoTOC"/>
              </w:pPr>
              <w:r w:rsidRPr="002D7810">
                <w:t xml:space="preserve">Contents </w:t>
              </w:r>
            </w:p>
            <w:p w14:paraId="03FF6ED4" w14:textId="7E7E7678" w:rsidR="00B74E64" w:rsidRDefault="00CE6E73">
              <w:pPr>
                <w:pStyle w:val="TOC1"/>
                <w:rPr>
                  <w:rFonts w:asciiTheme="minorHAnsi" w:eastAsiaTheme="minorEastAsia" w:hAnsiTheme="minorHAnsi" w:cstheme="minorBidi"/>
                  <w:b w:val="0"/>
                  <w:caps w:val="0"/>
                  <w:color w:val="auto"/>
                </w:rPr>
              </w:pPr>
              <w:r w:rsidRPr="002D7810">
                <w:rPr>
                  <w:b w:val="0"/>
                  <w:caps w:val="0"/>
                  <w:noProof w:val="0"/>
                </w:rPr>
                <w:fldChar w:fldCharType="begin"/>
              </w:r>
              <w:r w:rsidRPr="002D7810">
                <w:rPr>
                  <w:b w:val="0"/>
                  <w:caps w:val="0"/>
                  <w:noProof w:val="0"/>
                </w:rPr>
                <w:instrText xml:space="preserve"> TOC \o "1-2" \h \z \u </w:instrText>
              </w:r>
              <w:r w:rsidRPr="002D7810">
                <w:rPr>
                  <w:b w:val="0"/>
                  <w:caps w:val="0"/>
                  <w:noProof w:val="0"/>
                </w:rPr>
                <w:fldChar w:fldCharType="separate"/>
              </w:r>
              <w:hyperlink w:anchor="_Toc27053462" w:history="1">
                <w:r w:rsidR="00B74E64" w:rsidRPr="00B255F3">
                  <w:rPr>
                    <w:rStyle w:val="Hyperlink"/>
                  </w:rPr>
                  <w:t>Executive Summary</w:t>
                </w:r>
                <w:r w:rsidR="00B74E64">
                  <w:rPr>
                    <w:webHidden/>
                  </w:rPr>
                  <w:tab/>
                </w:r>
                <w:r w:rsidR="00B74E64">
                  <w:rPr>
                    <w:webHidden/>
                  </w:rPr>
                  <w:fldChar w:fldCharType="begin"/>
                </w:r>
                <w:r w:rsidR="00B74E64">
                  <w:rPr>
                    <w:webHidden/>
                  </w:rPr>
                  <w:instrText xml:space="preserve"> PAGEREF _Toc27053462 \h </w:instrText>
                </w:r>
                <w:r w:rsidR="00B74E64">
                  <w:rPr>
                    <w:webHidden/>
                  </w:rPr>
                </w:r>
                <w:r w:rsidR="00B74E64">
                  <w:rPr>
                    <w:webHidden/>
                  </w:rPr>
                  <w:fldChar w:fldCharType="separate"/>
                </w:r>
                <w:r w:rsidR="00B74E64">
                  <w:rPr>
                    <w:webHidden/>
                  </w:rPr>
                  <w:t>1</w:t>
                </w:r>
                <w:r w:rsidR="00B74E64">
                  <w:rPr>
                    <w:webHidden/>
                  </w:rPr>
                  <w:fldChar w:fldCharType="end"/>
                </w:r>
              </w:hyperlink>
            </w:p>
            <w:p w14:paraId="794B723C" w14:textId="034AA36D" w:rsidR="00B74E64" w:rsidRDefault="00B74E64">
              <w:pPr>
                <w:pStyle w:val="TOC1"/>
                <w:rPr>
                  <w:rFonts w:asciiTheme="minorHAnsi" w:eastAsiaTheme="minorEastAsia" w:hAnsiTheme="minorHAnsi" w:cstheme="minorBidi"/>
                  <w:b w:val="0"/>
                  <w:caps w:val="0"/>
                  <w:color w:val="auto"/>
                </w:rPr>
              </w:pPr>
              <w:hyperlink w:anchor="_Toc27053463" w:history="1">
                <w:r w:rsidRPr="00B255F3">
                  <w:rPr>
                    <w:rStyle w:val="Hyperlink"/>
                  </w:rPr>
                  <w:t>Complaint</w:t>
                </w:r>
                <w:r>
                  <w:rPr>
                    <w:webHidden/>
                  </w:rPr>
                  <w:tab/>
                </w:r>
                <w:r>
                  <w:rPr>
                    <w:webHidden/>
                  </w:rPr>
                  <w:fldChar w:fldCharType="begin"/>
                </w:r>
                <w:r>
                  <w:rPr>
                    <w:webHidden/>
                  </w:rPr>
                  <w:instrText xml:space="preserve"> PAGEREF _Toc27053463 \h </w:instrText>
                </w:r>
                <w:r>
                  <w:rPr>
                    <w:webHidden/>
                  </w:rPr>
                </w:r>
                <w:r>
                  <w:rPr>
                    <w:webHidden/>
                  </w:rPr>
                  <w:fldChar w:fldCharType="separate"/>
                </w:r>
                <w:r>
                  <w:rPr>
                    <w:webHidden/>
                  </w:rPr>
                  <w:t>3</w:t>
                </w:r>
                <w:r>
                  <w:rPr>
                    <w:webHidden/>
                  </w:rPr>
                  <w:fldChar w:fldCharType="end"/>
                </w:r>
              </w:hyperlink>
            </w:p>
            <w:p w14:paraId="5E6A62FA" w14:textId="0574D1F8" w:rsidR="00B74E64" w:rsidRDefault="00B74E64">
              <w:pPr>
                <w:pStyle w:val="TOC2"/>
                <w:rPr>
                  <w:rFonts w:asciiTheme="minorHAnsi" w:eastAsiaTheme="minorEastAsia" w:hAnsiTheme="minorHAnsi" w:cstheme="minorBidi"/>
                  <w:color w:val="auto"/>
                </w:rPr>
              </w:pPr>
              <w:hyperlink w:anchor="_Toc27053464" w:history="1">
                <w:r w:rsidRPr="00B255F3">
                  <w:rPr>
                    <w:rStyle w:val="Hyperlink"/>
                  </w:rPr>
                  <w:t>Parties</w:t>
                </w:r>
                <w:r>
                  <w:rPr>
                    <w:webHidden/>
                  </w:rPr>
                  <w:tab/>
                </w:r>
                <w:r>
                  <w:rPr>
                    <w:webHidden/>
                  </w:rPr>
                  <w:fldChar w:fldCharType="begin"/>
                </w:r>
                <w:r>
                  <w:rPr>
                    <w:webHidden/>
                  </w:rPr>
                  <w:instrText xml:space="preserve"> PAGEREF _Toc27053464 \h </w:instrText>
                </w:r>
                <w:r>
                  <w:rPr>
                    <w:webHidden/>
                  </w:rPr>
                </w:r>
                <w:r>
                  <w:rPr>
                    <w:webHidden/>
                  </w:rPr>
                  <w:fldChar w:fldCharType="separate"/>
                </w:r>
                <w:r>
                  <w:rPr>
                    <w:webHidden/>
                  </w:rPr>
                  <w:t>3</w:t>
                </w:r>
                <w:r>
                  <w:rPr>
                    <w:webHidden/>
                  </w:rPr>
                  <w:fldChar w:fldCharType="end"/>
                </w:r>
              </w:hyperlink>
            </w:p>
            <w:p w14:paraId="32640256" w14:textId="44E2DF84" w:rsidR="00B74E64" w:rsidRDefault="00B74E64">
              <w:pPr>
                <w:pStyle w:val="TOC2"/>
                <w:rPr>
                  <w:rFonts w:asciiTheme="minorHAnsi" w:eastAsiaTheme="minorEastAsia" w:hAnsiTheme="minorHAnsi" w:cstheme="minorBidi"/>
                  <w:color w:val="auto"/>
                </w:rPr>
              </w:pPr>
              <w:hyperlink w:anchor="_Toc27053465" w:history="1">
                <w:r w:rsidRPr="00B255F3">
                  <w:rPr>
                    <w:rStyle w:val="Hyperlink"/>
                  </w:rPr>
                  <w:t>Other parties and National Contact Points</w:t>
                </w:r>
                <w:r>
                  <w:rPr>
                    <w:webHidden/>
                  </w:rPr>
                  <w:tab/>
                </w:r>
                <w:r>
                  <w:rPr>
                    <w:webHidden/>
                  </w:rPr>
                  <w:fldChar w:fldCharType="begin"/>
                </w:r>
                <w:r>
                  <w:rPr>
                    <w:webHidden/>
                  </w:rPr>
                  <w:instrText xml:space="preserve"> PAGEREF _Toc27053465 \h </w:instrText>
                </w:r>
                <w:r>
                  <w:rPr>
                    <w:webHidden/>
                  </w:rPr>
                </w:r>
                <w:r>
                  <w:rPr>
                    <w:webHidden/>
                  </w:rPr>
                  <w:fldChar w:fldCharType="separate"/>
                </w:r>
                <w:r>
                  <w:rPr>
                    <w:webHidden/>
                  </w:rPr>
                  <w:t>3</w:t>
                </w:r>
                <w:r>
                  <w:rPr>
                    <w:webHidden/>
                  </w:rPr>
                  <w:fldChar w:fldCharType="end"/>
                </w:r>
              </w:hyperlink>
            </w:p>
            <w:p w14:paraId="41BA7E33" w14:textId="2270EEF3" w:rsidR="00B74E64" w:rsidRDefault="00B74E64">
              <w:pPr>
                <w:pStyle w:val="TOC2"/>
                <w:rPr>
                  <w:rFonts w:asciiTheme="minorHAnsi" w:eastAsiaTheme="minorEastAsia" w:hAnsiTheme="minorHAnsi" w:cstheme="minorBidi"/>
                  <w:color w:val="auto"/>
                </w:rPr>
              </w:pPr>
              <w:hyperlink w:anchor="_Toc27053466" w:history="1">
                <w:r w:rsidRPr="00B255F3">
                  <w:rPr>
                    <w:rStyle w:val="Hyperlink"/>
                  </w:rPr>
                  <w:t>Complaint</w:t>
                </w:r>
                <w:r>
                  <w:rPr>
                    <w:webHidden/>
                  </w:rPr>
                  <w:tab/>
                </w:r>
                <w:r>
                  <w:rPr>
                    <w:webHidden/>
                  </w:rPr>
                  <w:fldChar w:fldCharType="begin"/>
                </w:r>
                <w:r>
                  <w:rPr>
                    <w:webHidden/>
                  </w:rPr>
                  <w:instrText xml:space="preserve"> PAGEREF _Toc27053466 \h </w:instrText>
                </w:r>
                <w:r>
                  <w:rPr>
                    <w:webHidden/>
                  </w:rPr>
                </w:r>
                <w:r>
                  <w:rPr>
                    <w:webHidden/>
                  </w:rPr>
                  <w:fldChar w:fldCharType="separate"/>
                </w:r>
                <w:r>
                  <w:rPr>
                    <w:webHidden/>
                  </w:rPr>
                  <w:t>3</w:t>
                </w:r>
                <w:r>
                  <w:rPr>
                    <w:webHidden/>
                  </w:rPr>
                  <w:fldChar w:fldCharType="end"/>
                </w:r>
              </w:hyperlink>
            </w:p>
            <w:p w14:paraId="2A884604" w14:textId="315718E0" w:rsidR="00B74E64" w:rsidRDefault="00B74E64">
              <w:pPr>
                <w:pStyle w:val="TOC2"/>
                <w:rPr>
                  <w:rFonts w:asciiTheme="minorHAnsi" w:eastAsiaTheme="minorEastAsia" w:hAnsiTheme="minorHAnsi" w:cstheme="minorBidi"/>
                  <w:color w:val="auto"/>
                </w:rPr>
              </w:pPr>
              <w:hyperlink w:anchor="_Toc27053467" w:history="1">
                <w:r w:rsidRPr="00B255F3">
                  <w:rPr>
                    <w:rStyle w:val="Hyperlink"/>
                  </w:rPr>
                  <w:t>Outcomes sought</w:t>
                </w:r>
                <w:r>
                  <w:rPr>
                    <w:webHidden/>
                  </w:rPr>
                  <w:tab/>
                </w:r>
                <w:r>
                  <w:rPr>
                    <w:webHidden/>
                  </w:rPr>
                  <w:fldChar w:fldCharType="begin"/>
                </w:r>
                <w:r>
                  <w:rPr>
                    <w:webHidden/>
                  </w:rPr>
                  <w:instrText xml:space="preserve"> PAGEREF _Toc27053467 \h </w:instrText>
                </w:r>
                <w:r>
                  <w:rPr>
                    <w:webHidden/>
                  </w:rPr>
                </w:r>
                <w:r>
                  <w:rPr>
                    <w:webHidden/>
                  </w:rPr>
                  <w:fldChar w:fldCharType="separate"/>
                </w:r>
                <w:r>
                  <w:rPr>
                    <w:webHidden/>
                  </w:rPr>
                  <w:t>4</w:t>
                </w:r>
                <w:r>
                  <w:rPr>
                    <w:webHidden/>
                  </w:rPr>
                  <w:fldChar w:fldCharType="end"/>
                </w:r>
              </w:hyperlink>
            </w:p>
            <w:p w14:paraId="48F2D8FA" w14:textId="7B63B22A" w:rsidR="00B74E64" w:rsidRDefault="00B74E64">
              <w:pPr>
                <w:pStyle w:val="TOC2"/>
                <w:rPr>
                  <w:rFonts w:asciiTheme="minorHAnsi" w:eastAsiaTheme="minorEastAsia" w:hAnsiTheme="minorHAnsi" w:cstheme="minorBidi"/>
                  <w:color w:val="auto"/>
                </w:rPr>
              </w:pPr>
              <w:hyperlink w:anchor="_Toc27053468" w:history="1">
                <w:r w:rsidRPr="00B255F3">
                  <w:rPr>
                    <w:rStyle w:val="Hyperlink"/>
                  </w:rPr>
                  <w:t>Coca-Cola Amatil response</w:t>
                </w:r>
                <w:r>
                  <w:rPr>
                    <w:webHidden/>
                  </w:rPr>
                  <w:tab/>
                </w:r>
                <w:r>
                  <w:rPr>
                    <w:webHidden/>
                  </w:rPr>
                  <w:fldChar w:fldCharType="begin"/>
                </w:r>
                <w:r>
                  <w:rPr>
                    <w:webHidden/>
                  </w:rPr>
                  <w:instrText xml:space="preserve"> PAGEREF _Toc27053468 \h </w:instrText>
                </w:r>
                <w:r>
                  <w:rPr>
                    <w:webHidden/>
                  </w:rPr>
                </w:r>
                <w:r>
                  <w:rPr>
                    <w:webHidden/>
                  </w:rPr>
                  <w:fldChar w:fldCharType="separate"/>
                </w:r>
                <w:r>
                  <w:rPr>
                    <w:webHidden/>
                  </w:rPr>
                  <w:t>4</w:t>
                </w:r>
                <w:r>
                  <w:rPr>
                    <w:webHidden/>
                  </w:rPr>
                  <w:fldChar w:fldCharType="end"/>
                </w:r>
              </w:hyperlink>
            </w:p>
            <w:p w14:paraId="277ABA46" w14:textId="429C6397" w:rsidR="00B74E64" w:rsidRDefault="00B74E64">
              <w:pPr>
                <w:pStyle w:val="TOC1"/>
                <w:rPr>
                  <w:rFonts w:asciiTheme="minorHAnsi" w:eastAsiaTheme="minorEastAsia" w:hAnsiTheme="minorHAnsi" w:cstheme="minorBidi"/>
                  <w:b w:val="0"/>
                  <w:caps w:val="0"/>
                  <w:color w:val="auto"/>
                </w:rPr>
              </w:pPr>
              <w:hyperlink w:anchor="_Toc27053469" w:history="1">
                <w:r w:rsidRPr="00B255F3">
                  <w:rPr>
                    <w:rStyle w:val="Hyperlink"/>
                  </w:rPr>
                  <w:t>Relevant OECD Guidelines</w:t>
                </w:r>
                <w:r>
                  <w:rPr>
                    <w:webHidden/>
                  </w:rPr>
                  <w:tab/>
                </w:r>
                <w:r>
                  <w:rPr>
                    <w:webHidden/>
                  </w:rPr>
                  <w:fldChar w:fldCharType="begin"/>
                </w:r>
                <w:r>
                  <w:rPr>
                    <w:webHidden/>
                  </w:rPr>
                  <w:instrText xml:space="preserve"> PAGEREF _Toc27053469 \h </w:instrText>
                </w:r>
                <w:r>
                  <w:rPr>
                    <w:webHidden/>
                  </w:rPr>
                </w:r>
                <w:r>
                  <w:rPr>
                    <w:webHidden/>
                  </w:rPr>
                  <w:fldChar w:fldCharType="separate"/>
                </w:r>
                <w:r>
                  <w:rPr>
                    <w:webHidden/>
                  </w:rPr>
                  <w:t>5</w:t>
                </w:r>
                <w:r>
                  <w:rPr>
                    <w:webHidden/>
                  </w:rPr>
                  <w:fldChar w:fldCharType="end"/>
                </w:r>
              </w:hyperlink>
            </w:p>
            <w:p w14:paraId="2A48E5E6" w14:textId="5F7A8EA7" w:rsidR="00B74E64" w:rsidRDefault="00B74E64">
              <w:pPr>
                <w:pStyle w:val="TOC1"/>
                <w:rPr>
                  <w:rFonts w:asciiTheme="minorHAnsi" w:eastAsiaTheme="minorEastAsia" w:hAnsiTheme="minorHAnsi" w:cstheme="minorBidi"/>
                  <w:b w:val="0"/>
                  <w:caps w:val="0"/>
                  <w:color w:val="auto"/>
                </w:rPr>
              </w:pPr>
              <w:hyperlink w:anchor="_Toc27053470" w:history="1">
                <w:r w:rsidRPr="00B255F3">
                  <w:rPr>
                    <w:rStyle w:val="Hyperlink"/>
                  </w:rPr>
                  <w:t>Initial Assessment</w:t>
                </w:r>
                <w:r>
                  <w:rPr>
                    <w:webHidden/>
                  </w:rPr>
                  <w:tab/>
                </w:r>
                <w:r>
                  <w:rPr>
                    <w:webHidden/>
                  </w:rPr>
                  <w:fldChar w:fldCharType="begin"/>
                </w:r>
                <w:r>
                  <w:rPr>
                    <w:webHidden/>
                  </w:rPr>
                  <w:instrText xml:space="preserve"> PAGEREF _Toc27053470 \h </w:instrText>
                </w:r>
                <w:r>
                  <w:rPr>
                    <w:webHidden/>
                  </w:rPr>
                </w:r>
                <w:r>
                  <w:rPr>
                    <w:webHidden/>
                  </w:rPr>
                  <w:fldChar w:fldCharType="separate"/>
                </w:r>
                <w:r>
                  <w:rPr>
                    <w:webHidden/>
                  </w:rPr>
                  <w:t>6</w:t>
                </w:r>
                <w:r>
                  <w:rPr>
                    <w:webHidden/>
                  </w:rPr>
                  <w:fldChar w:fldCharType="end"/>
                </w:r>
              </w:hyperlink>
            </w:p>
            <w:p w14:paraId="49A8738F" w14:textId="3068795A" w:rsidR="00B74E64" w:rsidRDefault="00B74E64">
              <w:pPr>
                <w:pStyle w:val="TOC1"/>
                <w:rPr>
                  <w:rFonts w:asciiTheme="minorHAnsi" w:eastAsiaTheme="minorEastAsia" w:hAnsiTheme="minorHAnsi" w:cstheme="minorBidi"/>
                  <w:b w:val="0"/>
                  <w:caps w:val="0"/>
                  <w:color w:val="auto"/>
                </w:rPr>
              </w:pPr>
              <w:hyperlink w:anchor="_Toc27053471" w:history="1">
                <w:r w:rsidRPr="00B255F3">
                  <w:rPr>
                    <w:rStyle w:val="Hyperlink"/>
                  </w:rPr>
                  <w:t>Conclusion</w:t>
                </w:r>
                <w:r>
                  <w:rPr>
                    <w:webHidden/>
                  </w:rPr>
                  <w:tab/>
                </w:r>
                <w:r>
                  <w:rPr>
                    <w:webHidden/>
                  </w:rPr>
                  <w:fldChar w:fldCharType="begin"/>
                </w:r>
                <w:r>
                  <w:rPr>
                    <w:webHidden/>
                  </w:rPr>
                  <w:instrText xml:space="preserve"> PAGEREF _Toc27053471 \h </w:instrText>
                </w:r>
                <w:r>
                  <w:rPr>
                    <w:webHidden/>
                  </w:rPr>
                </w:r>
                <w:r>
                  <w:rPr>
                    <w:webHidden/>
                  </w:rPr>
                  <w:fldChar w:fldCharType="separate"/>
                </w:r>
                <w:r>
                  <w:rPr>
                    <w:webHidden/>
                  </w:rPr>
                  <w:t>8</w:t>
                </w:r>
                <w:r>
                  <w:rPr>
                    <w:webHidden/>
                  </w:rPr>
                  <w:fldChar w:fldCharType="end"/>
                </w:r>
              </w:hyperlink>
            </w:p>
            <w:p w14:paraId="5E6607F8" w14:textId="367B2FBE" w:rsidR="00B74E64" w:rsidRDefault="00B74E64">
              <w:pPr>
                <w:pStyle w:val="TOC2"/>
                <w:rPr>
                  <w:rFonts w:asciiTheme="minorHAnsi" w:eastAsiaTheme="minorEastAsia" w:hAnsiTheme="minorHAnsi" w:cstheme="minorBidi"/>
                  <w:color w:val="auto"/>
                </w:rPr>
              </w:pPr>
              <w:hyperlink w:anchor="_Toc27053472" w:history="1">
                <w:r w:rsidRPr="00B255F3">
                  <w:rPr>
                    <w:rStyle w:val="Hyperlink"/>
                  </w:rPr>
                  <w:t>Publications</w:t>
                </w:r>
                <w:r>
                  <w:rPr>
                    <w:webHidden/>
                  </w:rPr>
                  <w:tab/>
                </w:r>
                <w:r>
                  <w:rPr>
                    <w:webHidden/>
                  </w:rPr>
                  <w:fldChar w:fldCharType="begin"/>
                </w:r>
                <w:r>
                  <w:rPr>
                    <w:webHidden/>
                  </w:rPr>
                  <w:instrText xml:space="preserve"> PAGEREF _Toc27053472 \h </w:instrText>
                </w:r>
                <w:r>
                  <w:rPr>
                    <w:webHidden/>
                  </w:rPr>
                </w:r>
                <w:r>
                  <w:rPr>
                    <w:webHidden/>
                  </w:rPr>
                  <w:fldChar w:fldCharType="separate"/>
                </w:r>
                <w:r>
                  <w:rPr>
                    <w:webHidden/>
                  </w:rPr>
                  <w:t>10</w:t>
                </w:r>
                <w:r>
                  <w:rPr>
                    <w:webHidden/>
                  </w:rPr>
                  <w:fldChar w:fldCharType="end"/>
                </w:r>
              </w:hyperlink>
            </w:p>
            <w:p w14:paraId="0B4C98D4" w14:textId="198C8A86" w:rsidR="00B74E64" w:rsidRDefault="00B74E64">
              <w:pPr>
                <w:pStyle w:val="TOC1"/>
                <w:rPr>
                  <w:rFonts w:asciiTheme="minorHAnsi" w:eastAsiaTheme="minorEastAsia" w:hAnsiTheme="minorHAnsi" w:cstheme="minorBidi"/>
                  <w:b w:val="0"/>
                  <w:caps w:val="0"/>
                  <w:color w:val="auto"/>
                </w:rPr>
              </w:pPr>
              <w:hyperlink w:anchor="_Toc27053473" w:history="1">
                <w:r w:rsidRPr="00B255F3">
                  <w:rPr>
                    <w:rStyle w:val="Hyperlink"/>
                  </w:rPr>
                  <w:t>Schedule of events</w:t>
                </w:r>
                <w:r>
                  <w:rPr>
                    <w:webHidden/>
                  </w:rPr>
                  <w:tab/>
                </w:r>
                <w:r>
                  <w:rPr>
                    <w:webHidden/>
                  </w:rPr>
                  <w:fldChar w:fldCharType="begin"/>
                </w:r>
                <w:r>
                  <w:rPr>
                    <w:webHidden/>
                  </w:rPr>
                  <w:instrText xml:space="preserve"> PAGEREF _Toc27053473 \h </w:instrText>
                </w:r>
                <w:r>
                  <w:rPr>
                    <w:webHidden/>
                  </w:rPr>
                </w:r>
                <w:r>
                  <w:rPr>
                    <w:webHidden/>
                  </w:rPr>
                  <w:fldChar w:fldCharType="separate"/>
                </w:r>
                <w:r>
                  <w:rPr>
                    <w:webHidden/>
                  </w:rPr>
                  <w:t>11</w:t>
                </w:r>
                <w:r>
                  <w:rPr>
                    <w:webHidden/>
                  </w:rPr>
                  <w:fldChar w:fldCharType="end"/>
                </w:r>
              </w:hyperlink>
            </w:p>
            <w:p w14:paraId="148FA76E" w14:textId="4F90E35B" w:rsidR="00B74E64" w:rsidRDefault="00B74E64">
              <w:pPr>
                <w:pStyle w:val="TOC1"/>
                <w:rPr>
                  <w:rFonts w:asciiTheme="minorHAnsi" w:eastAsiaTheme="minorEastAsia" w:hAnsiTheme="minorHAnsi" w:cstheme="minorBidi"/>
                  <w:b w:val="0"/>
                  <w:caps w:val="0"/>
                  <w:color w:val="auto"/>
                </w:rPr>
              </w:pPr>
              <w:hyperlink w:anchor="_Toc27053474" w:history="1">
                <w:r w:rsidRPr="00B255F3">
                  <w:rPr>
                    <w:rStyle w:val="Hyperlink"/>
                  </w:rPr>
                  <w:t>Institutional arrangements</w:t>
                </w:r>
                <w:r>
                  <w:rPr>
                    <w:webHidden/>
                  </w:rPr>
                  <w:tab/>
                </w:r>
                <w:r>
                  <w:rPr>
                    <w:webHidden/>
                  </w:rPr>
                  <w:fldChar w:fldCharType="begin"/>
                </w:r>
                <w:r>
                  <w:rPr>
                    <w:webHidden/>
                  </w:rPr>
                  <w:instrText xml:space="preserve"> PAGEREF _Toc27053474 \h </w:instrText>
                </w:r>
                <w:r>
                  <w:rPr>
                    <w:webHidden/>
                  </w:rPr>
                </w:r>
                <w:r>
                  <w:rPr>
                    <w:webHidden/>
                  </w:rPr>
                  <w:fldChar w:fldCharType="separate"/>
                </w:r>
                <w:r>
                  <w:rPr>
                    <w:webHidden/>
                  </w:rPr>
                  <w:t>12</w:t>
                </w:r>
                <w:r>
                  <w:rPr>
                    <w:webHidden/>
                  </w:rPr>
                  <w:fldChar w:fldCharType="end"/>
                </w:r>
              </w:hyperlink>
            </w:p>
            <w:p w14:paraId="6616D317" w14:textId="06E0C71D" w:rsidR="00B74E64" w:rsidRDefault="00B74E64">
              <w:pPr>
                <w:pStyle w:val="TOC1"/>
                <w:rPr>
                  <w:rFonts w:asciiTheme="minorHAnsi" w:eastAsiaTheme="minorEastAsia" w:hAnsiTheme="minorHAnsi" w:cstheme="minorBidi"/>
                  <w:b w:val="0"/>
                  <w:caps w:val="0"/>
                  <w:color w:val="auto"/>
                </w:rPr>
              </w:pPr>
              <w:hyperlink w:anchor="_Toc27053475" w:history="1">
                <w:r w:rsidRPr="00B255F3">
                  <w:rPr>
                    <w:rStyle w:val="Hyperlink"/>
                  </w:rPr>
                  <w:t>Governance</w:t>
                </w:r>
                <w:r>
                  <w:rPr>
                    <w:webHidden/>
                  </w:rPr>
                  <w:tab/>
                </w:r>
                <w:r>
                  <w:rPr>
                    <w:webHidden/>
                  </w:rPr>
                  <w:fldChar w:fldCharType="begin"/>
                </w:r>
                <w:r>
                  <w:rPr>
                    <w:webHidden/>
                  </w:rPr>
                  <w:instrText xml:space="preserve"> PAGEREF _Toc27053475 \h </w:instrText>
                </w:r>
                <w:r>
                  <w:rPr>
                    <w:webHidden/>
                  </w:rPr>
                </w:r>
                <w:r>
                  <w:rPr>
                    <w:webHidden/>
                  </w:rPr>
                  <w:fldChar w:fldCharType="separate"/>
                </w:r>
                <w:r>
                  <w:rPr>
                    <w:webHidden/>
                  </w:rPr>
                  <w:t>13</w:t>
                </w:r>
                <w:r>
                  <w:rPr>
                    <w:webHidden/>
                  </w:rPr>
                  <w:fldChar w:fldCharType="end"/>
                </w:r>
              </w:hyperlink>
            </w:p>
            <w:p w14:paraId="674FAC15" w14:textId="574EC599" w:rsidR="00E37976" w:rsidRPr="002D7810" w:rsidRDefault="00CE6E73">
              <w:pPr>
                <w:rPr>
                  <w:noProof w:val="0"/>
                </w:rPr>
              </w:pPr>
              <w:r w:rsidRPr="002D7810">
                <w:rPr>
                  <w:b/>
                  <w:caps/>
                  <w:noProof w:val="0"/>
                  <w:color w:val="5B5E60"/>
                </w:rPr>
                <w:fldChar w:fldCharType="end"/>
              </w:r>
            </w:p>
          </w:sdtContent>
        </w:sdt>
        <w:p w14:paraId="7689832F" w14:textId="77777777" w:rsidR="00E37976" w:rsidRPr="002D7810" w:rsidRDefault="00E37976" w:rsidP="00E37976">
          <w:pPr>
            <w:rPr>
              <w:noProof w:val="0"/>
            </w:rPr>
          </w:pPr>
        </w:p>
        <w:p w14:paraId="147A8EF3" w14:textId="77777777" w:rsidR="00E37976" w:rsidRPr="002D7810" w:rsidRDefault="00E37976" w:rsidP="00E37976">
          <w:pPr>
            <w:rPr>
              <w:noProof w:val="0"/>
            </w:rPr>
          </w:pPr>
        </w:p>
        <w:p w14:paraId="3CCAB0E8" w14:textId="77777777" w:rsidR="00E37976" w:rsidRPr="002D7810" w:rsidRDefault="00E37976" w:rsidP="00E37976">
          <w:pPr>
            <w:rPr>
              <w:noProof w:val="0"/>
            </w:rPr>
          </w:pPr>
        </w:p>
        <w:p w14:paraId="292EB844" w14:textId="77777777" w:rsidR="007965C4" w:rsidRPr="002D7810" w:rsidRDefault="007965C4" w:rsidP="00E37976">
          <w:pPr>
            <w:rPr>
              <w:noProof w:val="0"/>
            </w:rPr>
            <w:sectPr w:rsidR="007965C4" w:rsidRPr="002D7810" w:rsidSect="007F6109">
              <w:headerReference w:type="even" r:id="rId25"/>
              <w:headerReference w:type="default" r:id="rId26"/>
              <w:footerReference w:type="even" r:id="rId27"/>
              <w:footerReference w:type="default" r:id="rId28"/>
              <w:headerReference w:type="first" r:id="rId29"/>
              <w:footerReference w:type="first" r:id="rId30"/>
              <w:type w:val="oddPage"/>
              <w:pgSz w:w="11906" w:h="16838" w:code="277"/>
              <w:pgMar w:top="1418" w:right="1418" w:bottom="1418" w:left="1418" w:header="765" w:footer="765" w:gutter="0"/>
              <w:pgNumType w:fmt="lowerRoman" w:start="2"/>
              <w:cols w:space="708"/>
              <w:titlePg/>
              <w:docGrid w:linePitch="360"/>
            </w:sectPr>
          </w:pPr>
        </w:p>
        <w:p w14:paraId="005FCBEB" w14:textId="77777777" w:rsidR="00605AB0" w:rsidRPr="002D7810" w:rsidRDefault="00605AB0" w:rsidP="007965C4">
          <w:pPr>
            <w:pStyle w:val="Heading1"/>
          </w:pPr>
          <w:bookmarkStart w:id="0" w:name="_Toc27053462"/>
          <w:r w:rsidRPr="002D7810">
            <w:lastRenderedPageBreak/>
            <w:t>Executive Summary</w:t>
          </w:r>
        </w:p>
      </w:sdtContent>
    </w:sdt>
    <w:bookmarkEnd w:id="0" w:displacedByCustomXml="prev"/>
    <w:p w14:paraId="761EA739" w14:textId="28AC0656" w:rsidR="00605AB0" w:rsidRPr="002D7810" w:rsidRDefault="00147311" w:rsidP="00F65ECD">
      <w:pPr>
        <w:pStyle w:val="OutlineNumbered1"/>
        <w:rPr>
          <w:b/>
          <w:noProof w:val="0"/>
        </w:rPr>
      </w:pPr>
      <w:r w:rsidRPr="002D7810">
        <w:rPr>
          <w:noProof w:val="0"/>
        </w:rPr>
        <w:t xml:space="preserve">On </w:t>
      </w:r>
      <w:r w:rsidR="00323854" w:rsidRPr="002D7810">
        <w:rPr>
          <w:noProof w:val="0"/>
        </w:rPr>
        <w:t xml:space="preserve">20 June 2019, </w:t>
      </w:r>
      <w:r w:rsidR="0084587F" w:rsidRPr="002D7810">
        <w:rPr>
          <w:noProof w:val="0"/>
        </w:rPr>
        <w:t xml:space="preserve">the Australian National Contact Point (AusNCP) received a complaint from </w:t>
      </w:r>
      <w:r w:rsidRPr="002D7810">
        <w:rPr>
          <w:noProof w:val="0"/>
        </w:rPr>
        <w:t xml:space="preserve">the </w:t>
      </w:r>
      <w:r w:rsidR="00323854" w:rsidRPr="002D7810">
        <w:rPr>
          <w:noProof w:val="0"/>
        </w:rPr>
        <w:t>International Union of Food, Agricultural, Hotel, Restaurant, Catering, Tobacco and Allied Workers' Associations (IUF)</w:t>
      </w:r>
      <w:r w:rsidR="00F97522">
        <w:rPr>
          <w:noProof w:val="0"/>
        </w:rPr>
        <w:t xml:space="preserve"> </w:t>
      </w:r>
      <w:r w:rsidR="00A07670" w:rsidRPr="002D7810">
        <w:rPr>
          <w:noProof w:val="0"/>
        </w:rPr>
        <w:t xml:space="preserve">against </w:t>
      </w:r>
      <w:r w:rsidR="00323854" w:rsidRPr="002D7810">
        <w:rPr>
          <w:noProof w:val="0"/>
        </w:rPr>
        <w:t xml:space="preserve">Coca-Cola Amatil (CCA) </w:t>
      </w:r>
      <w:r w:rsidR="00A07670" w:rsidRPr="002D7810">
        <w:rPr>
          <w:noProof w:val="0"/>
        </w:rPr>
        <w:t>regarding</w:t>
      </w:r>
      <w:r w:rsidR="00323854" w:rsidRPr="002D7810">
        <w:rPr>
          <w:noProof w:val="0"/>
        </w:rPr>
        <w:t xml:space="preserve"> its </w:t>
      </w:r>
      <w:r w:rsidR="0091089D" w:rsidRPr="002D7810">
        <w:rPr>
          <w:noProof w:val="0"/>
        </w:rPr>
        <w:t xml:space="preserve">bottling and distribution </w:t>
      </w:r>
      <w:r w:rsidR="00120A25" w:rsidRPr="002D7810">
        <w:rPr>
          <w:noProof w:val="0"/>
        </w:rPr>
        <w:t>operations</w:t>
      </w:r>
      <w:r w:rsidR="00323854" w:rsidRPr="002D7810">
        <w:rPr>
          <w:noProof w:val="0"/>
        </w:rPr>
        <w:t xml:space="preserve"> in Indonesia</w:t>
      </w:r>
      <w:r w:rsidRPr="002D7810">
        <w:rPr>
          <w:noProof w:val="0"/>
        </w:rPr>
        <w:t xml:space="preserve">. </w:t>
      </w:r>
    </w:p>
    <w:p w14:paraId="11022009" w14:textId="6A7BC6D0" w:rsidR="0084587F" w:rsidRPr="001E568F" w:rsidRDefault="0084587F" w:rsidP="00A07670">
      <w:pPr>
        <w:pStyle w:val="OutlineNumbered1"/>
        <w:rPr>
          <w:noProof w:val="0"/>
        </w:rPr>
      </w:pPr>
      <w:r w:rsidRPr="002D7810">
        <w:rPr>
          <w:noProof w:val="0"/>
        </w:rPr>
        <w:t xml:space="preserve">The complaint alleged CCA had </w:t>
      </w:r>
      <w:r w:rsidR="00A07670" w:rsidRPr="002D7810">
        <w:rPr>
          <w:noProof w:val="0"/>
        </w:rPr>
        <w:t xml:space="preserve">breached the Employment and Industrial Relations and Human Rights chapters of the OECD Guidelines for Multinational Enterprises </w:t>
      </w:r>
      <w:r w:rsidR="000D0E5B" w:rsidRPr="002D7810">
        <w:rPr>
          <w:noProof w:val="0"/>
        </w:rPr>
        <w:t>by targeting elected union offic</w:t>
      </w:r>
      <w:r w:rsidR="002424CC">
        <w:rPr>
          <w:noProof w:val="0"/>
        </w:rPr>
        <w:t>ials</w:t>
      </w:r>
      <w:r w:rsidR="000D0E5B" w:rsidRPr="002D7810">
        <w:rPr>
          <w:noProof w:val="0"/>
        </w:rPr>
        <w:t xml:space="preserve"> and union members for dismissal and suspension; refus</w:t>
      </w:r>
      <w:r w:rsidR="008412DA" w:rsidRPr="002D7810">
        <w:rPr>
          <w:noProof w:val="0"/>
        </w:rPr>
        <w:t>ing</w:t>
      </w:r>
      <w:r w:rsidR="000D0E5B" w:rsidRPr="002D7810">
        <w:rPr>
          <w:noProof w:val="0"/>
        </w:rPr>
        <w:t xml:space="preserve"> to </w:t>
      </w:r>
      <w:r w:rsidR="000D0E5B" w:rsidRPr="001E568F">
        <w:rPr>
          <w:noProof w:val="0"/>
        </w:rPr>
        <w:t>meet with elected union officials</w:t>
      </w:r>
      <w:r w:rsidR="006D0F0C" w:rsidRPr="001E568F">
        <w:rPr>
          <w:noProof w:val="0"/>
        </w:rPr>
        <w:t>;</w:t>
      </w:r>
      <w:r w:rsidR="000D0E5B" w:rsidRPr="001E568F">
        <w:rPr>
          <w:noProof w:val="0"/>
        </w:rPr>
        <w:t xml:space="preserve"> and refus</w:t>
      </w:r>
      <w:r w:rsidR="008412DA" w:rsidRPr="001E568F">
        <w:rPr>
          <w:noProof w:val="0"/>
        </w:rPr>
        <w:t>ing</w:t>
      </w:r>
      <w:r w:rsidR="000D0E5B" w:rsidRPr="001E568F">
        <w:rPr>
          <w:noProof w:val="0"/>
        </w:rPr>
        <w:t xml:space="preserve"> to engage in meaningful negotiations with three independent unions</w:t>
      </w:r>
      <w:r w:rsidR="008412DA" w:rsidRPr="001E568F">
        <w:rPr>
          <w:noProof w:val="0"/>
        </w:rPr>
        <w:t>. The complaint asserted these alleged actions were preventing employees from exercising their rights to freedom of association and collective bargaining</w:t>
      </w:r>
      <w:r w:rsidR="000D0E5B" w:rsidRPr="001E568F">
        <w:rPr>
          <w:noProof w:val="0"/>
        </w:rPr>
        <w:t xml:space="preserve">. </w:t>
      </w:r>
    </w:p>
    <w:p w14:paraId="1993B18B" w14:textId="29FDDE7C" w:rsidR="00AB3F0B" w:rsidRPr="002D7810" w:rsidRDefault="006140AD" w:rsidP="00AB3F0B">
      <w:pPr>
        <w:pStyle w:val="OutlineNumbered1"/>
        <w:rPr>
          <w:noProof w:val="0"/>
        </w:rPr>
      </w:pPr>
      <w:r w:rsidRPr="001E568F">
        <w:rPr>
          <w:noProof w:val="0"/>
        </w:rPr>
        <w:t xml:space="preserve">The </w:t>
      </w:r>
      <w:r w:rsidR="00265D33" w:rsidRPr="001E568F">
        <w:rPr>
          <w:noProof w:val="0"/>
        </w:rPr>
        <w:t>IUF</w:t>
      </w:r>
      <w:r w:rsidR="00015FF4" w:rsidRPr="001E568F">
        <w:rPr>
          <w:noProof w:val="0"/>
        </w:rPr>
        <w:t xml:space="preserve"> raised </w:t>
      </w:r>
      <w:r w:rsidR="00E075A8" w:rsidRPr="001E568F">
        <w:rPr>
          <w:noProof w:val="0"/>
        </w:rPr>
        <w:t>similar</w:t>
      </w:r>
      <w:r w:rsidR="00015FF4" w:rsidRPr="001E568F">
        <w:rPr>
          <w:noProof w:val="0"/>
        </w:rPr>
        <w:t xml:space="preserve"> issues in a </w:t>
      </w:r>
      <w:r w:rsidR="004A0A11" w:rsidRPr="001E568F">
        <w:rPr>
          <w:noProof w:val="0"/>
        </w:rPr>
        <w:t xml:space="preserve">2017 </w:t>
      </w:r>
      <w:r w:rsidR="00015FF4" w:rsidRPr="001E568F">
        <w:rPr>
          <w:noProof w:val="0"/>
        </w:rPr>
        <w:t xml:space="preserve">complaint to the US NCP against </w:t>
      </w:r>
      <w:r w:rsidR="004A54BA" w:rsidRPr="001E568F">
        <w:rPr>
          <w:noProof w:val="0"/>
        </w:rPr>
        <w:br/>
      </w:r>
      <w:r w:rsidR="00015FF4" w:rsidRPr="001E568F">
        <w:rPr>
          <w:noProof w:val="0"/>
        </w:rPr>
        <w:t>The Coca-Cola Company (TCCC)</w:t>
      </w:r>
      <w:r w:rsidR="00293F27" w:rsidRPr="001E568F">
        <w:rPr>
          <w:noProof w:val="0"/>
        </w:rPr>
        <w:t>, which referred to TCCC’s business relationship with CCA in terms of contributing to adverse impact</w:t>
      </w:r>
      <w:r w:rsidR="004A0A11" w:rsidRPr="001E568F">
        <w:rPr>
          <w:noProof w:val="0"/>
        </w:rPr>
        <w:t xml:space="preserve">. </w:t>
      </w:r>
      <w:r w:rsidR="00015FF4" w:rsidRPr="001E568F">
        <w:rPr>
          <w:noProof w:val="0"/>
        </w:rPr>
        <w:t>The US NCP</w:t>
      </w:r>
      <w:r w:rsidR="00A07670" w:rsidRPr="001E568F">
        <w:rPr>
          <w:noProof w:val="0"/>
        </w:rPr>
        <w:t xml:space="preserve"> accepted the complaint</w:t>
      </w:r>
      <w:r w:rsidR="003E52DB" w:rsidRPr="001E568F">
        <w:rPr>
          <w:noProof w:val="0"/>
        </w:rPr>
        <w:t>, considered the issues raised</w:t>
      </w:r>
      <w:r w:rsidR="00A07670" w:rsidRPr="001E568F">
        <w:rPr>
          <w:noProof w:val="0"/>
        </w:rPr>
        <w:t xml:space="preserve"> and</w:t>
      </w:r>
      <w:r w:rsidR="00420060" w:rsidRPr="001E568F">
        <w:rPr>
          <w:noProof w:val="0"/>
        </w:rPr>
        <w:t xml:space="preserve"> </w:t>
      </w:r>
      <w:r w:rsidR="00015FF4" w:rsidRPr="001E568F">
        <w:rPr>
          <w:noProof w:val="0"/>
        </w:rPr>
        <w:t xml:space="preserve">conducted a mediation process </w:t>
      </w:r>
      <w:r w:rsidR="00A07670" w:rsidRPr="001E568F">
        <w:rPr>
          <w:noProof w:val="0"/>
        </w:rPr>
        <w:t xml:space="preserve">between the parties </w:t>
      </w:r>
      <w:r w:rsidR="00420060" w:rsidRPr="001E568F">
        <w:rPr>
          <w:noProof w:val="0"/>
        </w:rPr>
        <w:t>in early</w:t>
      </w:r>
      <w:r w:rsidR="00015FF4" w:rsidRPr="001E568F">
        <w:rPr>
          <w:noProof w:val="0"/>
        </w:rPr>
        <w:t xml:space="preserve"> 2018</w:t>
      </w:r>
      <w:r w:rsidR="003E52DB" w:rsidRPr="001E568F">
        <w:rPr>
          <w:noProof w:val="0"/>
        </w:rPr>
        <w:t xml:space="preserve"> in Washington</w:t>
      </w:r>
      <w:r w:rsidR="00B9481A" w:rsidRPr="001E568F">
        <w:rPr>
          <w:noProof w:val="0"/>
        </w:rPr>
        <w:t xml:space="preserve">. </w:t>
      </w:r>
      <w:r w:rsidR="00015FF4" w:rsidRPr="001E568F">
        <w:rPr>
          <w:noProof w:val="0"/>
        </w:rPr>
        <w:t>TCCC in</w:t>
      </w:r>
      <w:r w:rsidR="00B9481A" w:rsidRPr="001E568F">
        <w:rPr>
          <w:noProof w:val="0"/>
        </w:rPr>
        <w:t>cluded</w:t>
      </w:r>
      <w:r w:rsidR="00125F53" w:rsidRPr="001E568F">
        <w:rPr>
          <w:noProof w:val="0"/>
        </w:rPr>
        <w:t xml:space="preserve"> two</w:t>
      </w:r>
      <w:r w:rsidR="00B9481A" w:rsidRPr="001E568F">
        <w:rPr>
          <w:noProof w:val="0"/>
        </w:rPr>
        <w:t xml:space="preserve"> </w:t>
      </w:r>
      <w:r w:rsidR="00015FF4" w:rsidRPr="001E568F">
        <w:rPr>
          <w:noProof w:val="0"/>
        </w:rPr>
        <w:t>CCA represe</w:t>
      </w:r>
      <w:r w:rsidR="00A07670" w:rsidRPr="001E568F">
        <w:rPr>
          <w:noProof w:val="0"/>
        </w:rPr>
        <w:t>ntatives in its mediation team</w:t>
      </w:r>
      <w:r w:rsidR="000E31E4" w:rsidRPr="001E568F">
        <w:rPr>
          <w:noProof w:val="0"/>
        </w:rPr>
        <w:t>,</w:t>
      </w:r>
      <w:r w:rsidR="000E31E4">
        <w:rPr>
          <w:noProof w:val="0"/>
        </w:rPr>
        <w:t xml:space="preserve"> who participated directly in discussions</w:t>
      </w:r>
      <w:r w:rsidR="00A07670" w:rsidRPr="002D7810">
        <w:rPr>
          <w:noProof w:val="0"/>
        </w:rPr>
        <w:t>.</w:t>
      </w:r>
    </w:p>
    <w:p w14:paraId="520EE4C8" w14:textId="4886B470" w:rsidR="00E074E7" w:rsidRPr="002D7810" w:rsidRDefault="00DA222A" w:rsidP="00C27F97">
      <w:pPr>
        <w:pStyle w:val="OutlineNumbered1"/>
        <w:rPr>
          <w:noProof w:val="0"/>
        </w:rPr>
      </w:pPr>
      <w:r w:rsidRPr="002D7810">
        <w:rPr>
          <w:noProof w:val="0"/>
        </w:rPr>
        <w:t>The US NCP process concluded in March 2018</w:t>
      </w:r>
      <w:r w:rsidR="006936A0" w:rsidRPr="002D7810">
        <w:rPr>
          <w:noProof w:val="0"/>
        </w:rPr>
        <w:t xml:space="preserve">. </w:t>
      </w:r>
      <w:r w:rsidRPr="002D7810">
        <w:rPr>
          <w:noProof w:val="0"/>
        </w:rPr>
        <w:t>In its</w:t>
      </w:r>
      <w:r w:rsidRPr="00092F09">
        <w:rPr>
          <w:b/>
          <w:noProof w:val="0"/>
        </w:rPr>
        <w:t xml:space="preserve"> </w:t>
      </w:r>
      <w:hyperlink r:id="rId31" w:history="1">
        <w:r w:rsidRPr="00092F09">
          <w:rPr>
            <w:rStyle w:val="Hyperlink"/>
            <w:b w:val="0"/>
            <w:noProof w:val="0"/>
          </w:rPr>
          <w:t>final statement</w:t>
        </w:r>
      </w:hyperlink>
      <w:r w:rsidRPr="002D7810">
        <w:rPr>
          <w:noProof w:val="0"/>
        </w:rPr>
        <w:t xml:space="preserve"> on the case,</w:t>
      </w:r>
      <w:r w:rsidR="004A0A11" w:rsidRPr="002D7810">
        <w:rPr>
          <w:noProof w:val="0"/>
        </w:rPr>
        <w:t xml:space="preserve"> </w:t>
      </w:r>
      <w:r w:rsidRPr="002D7810">
        <w:rPr>
          <w:noProof w:val="0"/>
        </w:rPr>
        <w:t>t</w:t>
      </w:r>
      <w:r w:rsidR="004A0A11" w:rsidRPr="002D7810">
        <w:rPr>
          <w:noProof w:val="0"/>
        </w:rPr>
        <w:t xml:space="preserve">he US NCP encouraged the </w:t>
      </w:r>
      <w:r w:rsidR="004A0A11" w:rsidRPr="002D7810">
        <w:rPr>
          <w:noProof w:val="0"/>
          <w:sz w:val="20"/>
        </w:rPr>
        <w:t xml:space="preserve">parties </w:t>
      </w:r>
      <w:r w:rsidR="004A0A11" w:rsidRPr="002D7810">
        <w:rPr>
          <w:noProof w:val="0"/>
        </w:rPr>
        <w:t>to continue a dialogue on the issues raised, and noted it would consider future requests</w:t>
      </w:r>
      <w:r w:rsidR="00F3293A">
        <w:rPr>
          <w:noProof w:val="0"/>
        </w:rPr>
        <w:t xml:space="preserve"> by the parties</w:t>
      </w:r>
      <w:r w:rsidR="004A0A11" w:rsidRPr="002D7810">
        <w:rPr>
          <w:noProof w:val="0"/>
        </w:rPr>
        <w:t xml:space="preserve"> for mediation under the auspices of the US NCP.</w:t>
      </w:r>
      <w:r w:rsidR="00C27F97" w:rsidRPr="002D7810">
        <w:rPr>
          <w:noProof w:val="0"/>
        </w:rPr>
        <w:t xml:space="preserve"> </w:t>
      </w:r>
      <w:r w:rsidR="00D91B41" w:rsidRPr="00745DE4">
        <w:rPr>
          <w:noProof w:val="0"/>
        </w:rPr>
        <w:t>The AusNCP’s consultations confirmed all parties engaged meaningfully with the issues raised</w:t>
      </w:r>
      <w:r w:rsidR="007028D2">
        <w:rPr>
          <w:noProof w:val="0"/>
        </w:rPr>
        <w:t xml:space="preserve"> during the process</w:t>
      </w:r>
      <w:r w:rsidR="00FA5719" w:rsidRPr="00745DE4">
        <w:rPr>
          <w:noProof w:val="0"/>
        </w:rPr>
        <w:t xml:space="preserve">, despite </w:t>
      </w:r>
      <w:r w:rsidR="007028D2">
        <w:rPr>
          <w:noProof w:val="0"/>
        </w:rPr>
        <w:t>it</w:t>
      </w:r>
      <w:r w:rsidR="00F133B1" w:rsidRPr="00745DE4">
        <w:rPr>
          <w:noProof w:val="0"/>
        </w:rPr>
        <w:t xml:space="preserve"> concluding without a resolution</w:t>
      </w:r>
      <w:r w:rsidR="00D91B41" w:rsidRPr="00745DE4">
        <w:rPr>
          <w:noProof w:val="0"/>
        </w:rPr>
        <w:t xml:space="preserve">. </w:t>
      </w:r>
      <w:r w:rsidR="006140AD">
        <w:rPr>
          <w:noProof w:val="0"/>
        </w:rPr>
        <w:t xml:space="preserve">The </w:t>
      </w:r>
      <w:r w:rsidR="00265D33">
        <w:rPr>
          <w:noProof w:val="0"/>
        </w:rPr>
        <w:t>IUF</w:t>
      </w:r>
      <w:r w:rsidR="00D91B41" w:rsidRPr="00745DE4">
        <w:rPr>
          <w:noProof w:val="0"/>
        </w:rPr>
        <w:t xml:space="preserve"> asserted direct dialogue </w:t>
      </w:r>
      <w:r w:rsidR="00265D33">
        <w:rPr>
          <w:noProof w:val="0"/>
        </w:rPr>
        <w:t>with</w:t>
      </w:r>
      <w:r w:rsidR="00D91B41" w:rsidRPr="002D7810">
        <w:rPr>
          <w:noProof w:val="0"/>
        </w:rPr>
        <w:t xml:space="preserve"> CCA</w:t>
      </w:r>
      <w:r w:rsidR="00B810FC">
        <w:rPr>
          <w:noProof w:val="0"/>
        </w:rPr>
        <w:t xml:space="preserve"> had last occurred</w:t>
      </w:r>
      <w:r w:rsidR="00D91B41" w:rsidRPr="002D7810">
        <w:rPr>
          <w:noProof w:val="0"/>
        </w:rPr>
        <w:t xml:space="preserve"> in</w:t>
      </w:r>
      <w:r w:rsidR="00B810FC">
        <w:rPr>
          <w:noProof w:val="0"/>
        </w:rPr>
        <w:t xml:space="preserve"> April</w:t>
      </w:r>
      <w:r w:rsidR="00D91B41" w:rsidRPr="002D7810">
        <w:rPr>
          <w:noProof w:val="0"/>
        </w:rPr>
        <w:t xml:space="preserve"> 2019</w:t>
      </w:r>
      <w:r w:rsidR="00B810FC">
        <w:rPr>
          <w:noProof w:val="0"/>
        </w:rPr>
        <w:t xml:space="preserve">, but had </w:t>
      </w:r>
      <w:r w:rsidR="00265D33">
        <w:rPr>
          <w:noProof w:val="0"/>
        </w:rPr>
        <w:t>not</w:t>
      </w:r>
      <w:r w:rsidR="00C06BCB">
        <w:rPr>
          <w:noProof w:val="0"/>
        </w:rPr>
        <w:t xml:space="preserve"> </w:t>
      </w:r>
      <w:r w:rsidR="00D91B41" w:rsidRPr="002D7810">
        <w:rPr>
          <w:noProof w:val="0"/>
        </w:rPr>
        <w:t>resolve</w:t>
      </w:r>
      <w:r w:rsidR="00265D33">
        <w:rPr>
          <w:noProof w:val="0"/>
        </w:rPr>
        <w:t>d</w:t>
      </w:r>
      <w:r w:rsidR="00D91B41" w:rsidRPr="002D7810">
        <w:rPr>
          <w:noProof w:val="0"/>
        </w:rPr>
        <w:t xml:space="preserve"> the impasse between the parties.</w:t>
      </w:r>
      <w:r w:rsidR="006C0C01">
        <w:rPr>
          <w:rStyle w:val="FootnoteReference"/>
          <w:noProof w:val="0"/>
        </w:rPr>
        <w:footnoteReference w:id="2"/>
      </w:r>
    </w:p>
    <w:p w14:paraId="2942B3CB" w14:textId="67EC3997" w:rsidR="003026DD" w:rsidRPr="001E568F" w:rsidRDefault="00DF0DE5" w:rsidP="00B74E64">
      <w:pPr>
        <w:pStyle w:val="OutlineNumbered1"/>
        <w:rPr>
          <w:b/>
          <w:noProof w:val="0"/>
        </w:rPr>
      </w:pPr>
      <w:r w:rsidRPr="002D7810">
        <w:rPr>
          <w:noProof w:val="0"/>
        </w:rPr>
        <w:t>T</w:t>
      </w:r>
      <w:r w:rsidR="00A60D4F" w:rsidRPr="002D7810">
        <w:rPr>
          <w:noProof w:val="0"/>
        </w:rPr>
        <w:t>he</w:t>
      </w:r>
      <w:r w:rsidR="00072527" w:rsidRPr="002D7810">
        <w:rPr>
          <w:noProof w:val="0"/>
        </w:rPr>
        <w:t xml:space="preserve"> AusNCP</w:t>
      </w:r>
      <w:r w:rsidR="00F97A96" w:rsidRPr="002D7810">
        <w:rPr>
          <w:noProof w:val="0"/>
        </w:rPr>
        <w:t xml:space="preserve"> </w:t>
      </w:r>
      <w:r w:rsidR="00072527" w:rsidRPr="002D7810">
        <w:rPr>
          <w:noProof w:val="0"/>
        </w:rPr>
        <w:t xml:space="preserve">undertook an extended initial assessment process in order to </w:t>
      </w:r>
      <w:r w:rsidR="00605E52" w:rsidRPr="002D7810">
        <w:rPr>
          <w:noProof w:val="0"/>
        </w:rPr>
        <w:t xml:space="preserve">consider the complaint and </w:t>
      </w:r>
      <w:r w:rsidR="00072527" w:rsidRPr="002D7810">
        <w:rPr>
          <w:noProof w:val="0"/>
        </w:rPr>
        <w:t xml:space="preserve">seek </w:t>
      </w:r>
      <w:r w:rsidR="0080777E" w:rsidRPr="001E568F">
        <w:rPr>
          <w:noProof w:val="0"/>
        </w:rPr>
        <w:t>more</w:t>
      </w:r>
      <w:r w:rsidR="00072527" w:rsidRPr="001E568F">
        <w:rPr>
          <w:noProof w:val="0"/>
        </w:rPr>
        <w:t xml:space="preserve"> information from both parties</w:t>
      </w:r>
      <w:r w:rsidR="006B08ED" w:rsidRPr="001E568F">
        <w:rPr>
          <w:noProof w:val="0"/>
        </w:rPr>
        <w:t xml:space="preserve"> on the substance of the complaint</w:t>
      </w:r>
      <w:r w:rsidR="00C27F97" w:rsidRPr="001E568F">
        <w:rPr>
          <w:noProof w:val="0"/>
        </w:rPr>
        <w:t>.</w:t>
      </w:r>
      <w:r w:rsidR="00A1259F" w:rsidRPr="001E568F">
        <w:rPr>
          <w:noProof w:val="0"/>
        </w:rPr>
        <w:t xml:space="preserve"> </w:t>
      </w:r>
      <w:r w:rsidR="00A1259F" w:rsidRPr="001E568F">
        <w:t xml:space="preserve">During </w:t>
      </w:r>
      <w:r w:rsidR="00406F43" w:rsidRPr="001E568F">
        <w:t>this</w:t>
      </w:r>
      <w:r w:rsidR="00A1259F" w:rsidRPr="001E568F">
        <w:t xml:space="preserve"> process, the</w:t>
      </w:r>
      <w:r w:rsidR="00EF52A3" w:rsidRPr="001E568F">
        <w:t xml:space="preserve"> AusNCP encouraged</w:t>
      </w:r>
      <w:r w:rsidR="006140AD" w:rsidRPr="001E568F">
        <w:t xml:space="preserve"> the</w:t>
      </w:r>
      <w:r w:rsidR="00EF52A3" w:rsidRPr="001E568F">
        <w:t xml:space="preserve"> </w:t>
      </w:r>
      <w:r w:rsidR="00265D33" w:rsidRPr="001E568F">
        <w:t>IUF</w:t>
      </w:r>
      <w:r w:rsidR="00EF52A3" w:rsidRPr="001E568F">
        <w:t xml:space="preserve"> </w:t>
      </w:r>
      <w:r w:rsidR="002F3E13" w:rsidRPr="001E568F">
        <w:t xml:space="preserve">to provide an </w:t>
      </w:r>
      <w:r w:rsidR="00EF52A3" w:rsidRPr="001E568F">
        <w:t xml:space="preserve">additional submission to reflect on any </w:t>
      </w:r>
      <w:r w:rsidR="00406F43" w:rsidRPr="001E568F">
        <w:t>issues</w:t>
      </w:r>
      <w:r w:rsidR="00D347ED" w:rsidRPr="001E568F">
        <w:t xml:space="preserve"> or objectives</w:t>
      </w:r>
      <w:r w:rsidR="00406F43" w:rsidRPr="001E568F">
        <w:t xml:space="preserve"> </w:t>
      </w:r>
      <w:r w:rsidR="00EF52A3" w:rsidRPr="001E568F">
        <w:t>that might be materially different to the matters already</w:t>
      </w:r>
      <w:r w:rsidR="00406F43" w:rsidRPr="001E568F">
        <w:t xml:space="preserve"> aired between the parties and</w:t>
      </w:r>
      <w:r w:rsidR="00EF52A3" w:rsidRPr="001E568F">
        <w:t xml:space="preserve"> considered </w:t>
      </w:r>
      <w:r w:rsidR="00406F43" w:rsidRPr="001E568F">
        <w:t>in</w:t>
      </w:r>
      <w:r w:rsidR="00EF52A3" w:rsidRPr="001E568F">
        <w:t xml:space="preserve"> the US NCP</w:t>
      </w:r>
      <w:r w:rsidR="00406F43" w:rsidRPr="001E568F">
        <w:t xml:space="preserve"> process</w:t>
      </w:r>
      <w:r w:rsidR="00EF52A3" w:rsidRPr="001E568F">
        <w:t>.</w:t>
      </w:r>
      <w:r w:rsidR="00A1259F" w:rsidRPr="001E568F">
        <w:t xml:space="preserve"> </w:t>
      </w:r>
      <w:r w:rsidR="006140AD" w:rsidRPr="001E568F">
        <w:t xml:space="preserve">The </w:t>
      </w:r>
      <w:r w:rsidR="00265D33" w:rsidRPr="001E568F">
        <w:t>IUF</w:t>
      </w:r>
      <w:r w:rsidR="00A1259F" w:rsidRPr="001E568F">
        <w:t xml:space="preserve"> did not </w:t>
      </w:r>
      <w:r w:rsidR="00241C52" w:rsidRPr="001E568F">
        <w:t>provide</w:t>
      </w:r>
      <w:r w:rsidR="00A1259F" w:rsidRPr="001E568F">
        <w:t xml:space="preserve"> </w:t>
      </w:r>
      <w:r w:rsidR="00F509B3" w:rsidRPr="001E568F">
        <w:t xml:space="preserve">materially different </w:t>
      </w:r>
      <w:r w:rsidR="00241C52" w:rsidRPr="001E568F">
        <w:t>information</w:t>
      </w:r>
      <w:r w:rsidR="00A1259F" w:rsidRPr="001E568F">
        <w:t xml:space="preserve"> in its subsequent submission.</w:t>
      </w:r>
      <w:r w:rsidR="00605E52" w:rsidRPr="001E568F">
        <w:t xml:space="preserve"> </w:t>
      </w:r>
    </w:p>
    <w:p w14:paraId="5D85E04E" w14:textId="5763C328" w:rsidR="00A60D4F" w:rsidRPr="001E568F" w:rsidRDefault="009B037C" w:rsidP="00B74E64">
      <w:pPr>
        <w:pStyle w:val="OutlineNumbered1"/>
        <w:rPr>
          <w:b/>
          <w:noProof w:val="0"/>
        </w:rPr>
      </w:pPr>
      <w:r w:rsidRPr="001E568F">
        <w:lastRenderedPageBreak/>
        <w:t>Consistent</w:t>
      </w:r>
      <w:r w:rsidR="00DF0DE5" w:rsidRPr="001E568F">
        <w:t xml:space="preserve"> with the </w:t>
      </w:r>
      <w:hyperlink r:id="rId32" w:history="1">
        <w:r w:rsidR="00DF0DE5" w:rsidRPr="001E568F">
          <w:rPr>
            <w:rStyle w:val="Hyperlink"/>
            <w:b w:val="0"/>
          </w:rPr>
          <w:t>AusNCP</w:t>
        </w:r>
      </w:hyperlink>
      <w:r w:rsidR="00DF0DE5" w:rsidRPr="001E568F">
        <w:rPr>
          <w:b/>
        </w:rPr>
        <w:t xml:space="preserve"> </w:t>
      </w:r>
      <w:hyperlink r:id="rId33" w:history="1">
        <w:r w:rsidR="00DF0DE5" w:rsidRPr="001E568F">
          <w:rPr>
            <w:rStyle w:val="Hyperlink"/>
            <w:b w:val="0"/>
          </w:rPr>
          <w:t>procedures</w:t>
        </w:r>
      </w:hyperlink>
      <w:r w:rsidR="00DF0DE5" w:rsidRPr="001E568F">
        <w:rPr>
          <w:b/>
        </w:rPr>
        <w:t xml:space="preserve"> </w:t>
      </w:r>
      <w:r w:rsidR="00DF0DE5" w:rsidRPr="001E568F">
        <w:t>and the principles set out in the</w:t>
      </w:r>
      <w:r w:rsidR="00DF0DE5" w:rsidRPr="001E568F">
        <w:rPr>
          <w:b/>
        </w:rPr>
        <w:t xml:space="preserve"> </w:t>
      </w:r>
      <w:hyperlink r:id="rId34" w:history="1">
        <w:r w:rsidR="00DF0DE5" w:rsidRPr="001E568F">
          <w:rPr>
            <w:rStyle w:val="Hyperlink"/>
            <w:b w:val="0"/>
          </w:rPr>
          <w:t>OECD Procedural Guidance and Commentary</w:t>
        </w:r>
      </w:hyperlink>
      <w:r w:rsidR="00DF0DE5" w:rsidRPr="001E568F">
        <w:rPr>
          <w:b/>
        </w:rPr>
        <w:t>,</w:t>
      </w:r>
      <w:r w:rsidR="00DF0DE5" w:rsidRPr="001E568F">
        <w:t xml:space="preserve"> the AusNCP considered the complaint and reviewed the additional material provided by the parties.</w:t>
      </w:r>
      <w:r w:rsidR="00F97522" w:rsidRPr="001E568F">
        <w:rPr>
          <w:rStyle w:val="FootnoteReference"/>
        </w:rPr>
        <w:footnoteReference w:id="3"/>
      </w:r>
      <w:r w:rsidR="00BD4B5B" w:rsidRPr="001E568F">
        <w:t xml:space="preserve"> </w:t>
      </w:r>
      <w:r w:rsidR="00DE672F" w:rsidRPr="001E568F">
        <w:t xml:space="preserve"> </w:t>
      </w:r>
    </w:p>
    <w:p w14:paraId="555F6EC8" w14:textId="77777777" w:rsidR="00B74E64" w:rsidRDefault="00B74E64">
      <w:pPr>
        <w:spacing w:after="200" w:line="276" w:lineRule="auto"/>
        <w:jc w:val="left"/>
      </w:pPr>
      <w:r>
        <w:br w:type="page"/>
      </w:r>
    </w:p>
    <w:p w14:paraId="3970CBAF" w14:textId="686A6988" w:rsidR="00CE3F43" w:rsidRPr="00642AEE" w:rsidRDefault="00BB4B66" w:rsidP="00CE3F43">
      <w:pPr>
        <w:pStyle w:val="OutlineNumbered1"/>
        <w:rPr>
          <w:b/>
          <w:noProof w:val="0"/>
        </w:rPr>
      </w:pPr>
      <w:r w:rsidRPr="001E568F">
        <w:t>Given</w:t>
      </w:r>
      <w:r w:rsidR="00A3155F" w:rsidRPr="001E568F">
        <w:t xml:space="preserve"> the AusNCP’s assessment that</w:t>
      </w:r>
      <w:r w:rsidR="006140AD" w:rsidRPr="001E568F">
        <w:t xml:space="preserve"> the</w:t>
      </w:r>
      <w:r w:rsidRPr="001E568F">
        <w:t xml:space="preserve"> </w:t>
      </w:r>
      <w:r w:rsidR="00265D33" w:rsidRPr="001E568F">
        <w:t>IUF</w:t>
      </w:r>
      <w:r w:rsidRPr="001E568F">
        <w:t xml:space="preserve"> did not raise materially different issues or identify objectives</w:t>
      </w:r>
      <w:r w:rsidRPr="00C4007B">
        <w:t xml:space="preserve"> different from those sought from the US NCP process, the AusNCP </w:t>
      </w:r>
      <w:r w:rsidRPr="001E568F">
        <w:t xml:space="preserve">determined that </w:t>
      </w:r>
      <w:r w:rsidR="00C97B44" w:rsidRPr="001E568F">
        <w:t xml:space="preserve">duplicating the US NCP process by </w:t>
      </w:r>
      <w:r w:rsidRPr="001E568F">
        <w:t>bringing the parties together once again</w:t>
      </w:r>
      <w:r w:rsidR="0066283E" w:rsidRPr="001E568F">
        <w:t xml:space="preserve"> </w:t>
      </w:r>
      <w:r w:rsidRPr="001E568F">
        <w:t>to re-examine the issues raised would not contribute to the purposes and effectiveness of the OECD Guidelines.</w:t>
      </w:r>
      <w:r w:rsidR="00F1413E" w:rsidRPr="001E568F">
        <w:t xml:space="preserve"> The AusNCP therefore did not accept this complaint</w:t>
      </w:r>
      <w:r w:rsidR="000E31E4" w:rsidRPr="001E568F">
        <w:t>.</w:t>
      </w:r>
      <w:r w:rsidR="00C97B44" w:rsidRPr="00C97B44">
        <w:rPr>
          <w:lang w:val="en"/>
        </w:rPr>
        <w:t xml:space="preserve"> </w:t>
      </w:r>
    </w:p>
    <w:p w14:paraId="21CC08C1" w14:textId="1ADCB545" w:rsidR="00CE3F43" w:rsidRPr="00BF62E1" w:rsidRDefault="00CE3F43" w:rsidP="00CE3F43">
      <w:pPr>
        <w:pStyle w:val="OutlineNumbered1"/>
      </w:pPr>
      <w:r w:rsidRPr="00BF62E1">
        <w:t xml:space="preserve">After the final statement had been drafted and shared with the parties, at </w:t>
      </w:r>
      <w:r w:rsidR="006140AD">
        <w:t xml:space="preserve">the </w:t>
      </w:r>
      <w:r w:rsidR="00265D33">
        <w:t>IUF</w:t>
      </w:r>
      <w:r w:rsidRPr="00BF62E1">
        <w:t xml:space="preserve">’s request, the AusNCP consulted again with the US NCP in relation to the case. The NCPs agreed that the parties, issues and objectives of the complaint to the AusNCP were substantially similar to what had already been canvassed in the US NCP </w:t>
      </w:r>
      <w:r w:rsidR="00C06BCB" w:rsidRPr="00BF62E1">
        <w:t>mediation process</w:t>
      </w:r>
      <w:r w:rsidRPr="00BF62E1">
        <w:t xml:space="preserve">, negating the utility of accepting or transferring the case. </w:t>
      </w:r>
    </w:p>
    <w:p w14:paraId="2AC6A52D" w14:textId="457AAC2C" w:rsidR="007F2B79" w:rsidRPr="00745DE4" w:rsidRDefault="007F2B79">
      <w:pPr>
        <w:pStyle w:val="OutlineNumbered1"/>
        <w:rPr>
          <w:b/>
          <w:noProof w:val="0"/>
        </w:rPr>
      </w:pPr>
      <w:r w:rsidRPr="00745DE4">
        <w:t>The AusNCP acknowledges</w:t>
      </w:r>
      <w:r w:rsidR="006140AD">
        <w:t xml:space="preserve"> the</w:t>
      </w:r>
      <w:r w:rsidRPr="00745DE4">
        <w:t xml:space="preserve"> </w:t>
      </w:r>
      <w:r w:rsidR="00265D33">
        <w:t>IUF</w:t>
      </w:r>
      <w:r w:rsidRPr="00745DE4">
        <w:t xml:space="preserve">’s </w:t>
      </w:r>
      <w:r w:rsidR="00B8320B" w:rsidRPr="00745DE4">
        <w:t>decision to submit a</w:t>
      </w:r>
      <w:r w:rsidR="00067B50" w:rsidRPr="00745DE4">
        <w:t xml:space="preserve"> </w:t>
      </w:r>
      <w:r w:rsidR="00B8320B" w:rsidRPr="00745DE4">
        <w:t xml:space="preserve">new </w:t>
      </w:r>
      <w:r w:rsidR="00067B50" w:rsidRPr="00745DE4">
        <w:t xml:space="preserve">complaint reflects </w:t>
      </w:r>
      <w:r w:rsidR="002309E7">
        <w:t>its</w:t>
      </w:r>
      <w:r w:rsidR="00BD3342" w:rsidRPr="00745DE4">
        <w:rPr>
          <w:noProof w:val="0"/>
        </w:rPr>
        <w:t xml:space="preserve"> view that </w:t>
      </w:r>
      <w:r w:rsidR="004F5C46">
        <w:rPr>
          <w:noProof w:val="0"/>
        </w:rPr>
        <w:t xml:space="preserve">the </w:t>
      </w:r>
      <w:r w:rsidR="00BD3342" w:rsidRPr="00745DE4">
        <w:rPr>
          <w:noProof w:val="0"/>
        </w:rPr>
        <w:t xml:space="preserve">scope of </w:t>
      </w:r>
      <w:r w:rsidR="002309E7">
        <w:rPr>
          <w:noProof w:val="0"/>
        </w:rPr>
        <w:t>CCA’s</w:t>
      </w:r>
      <w:r w:rsidR="00282981" w:rsidRPr="00745DE4">
        <w:rPr>
          <w:noProof w:val="0"/>
        </w:rPr>
        <w:t xml:space="preserve"> engagement</w:t>
      </w:r>
      <w:r w:rsidR="002309E7">
        <w:rPr>
          <w:noProof w:val="0"/>
        </w:rPr>
        <w:t xml:space="preserve"> in a complaint process to which it had been identified as a direct party may be different to its engagement in the US NCP-led process. </w:t>
      </w:r>
      <w:r w:rsidR="00282981" w:rsidRPr="00745DE4">
        <w:t>However, t</w:t>
      </w:r>
      <w:r w:rsidR="00F75FAF" w:rsidRPr="00745DE4">
        <w:t>he AusNCP is satisfied from</w:t>
      </w:r>
      <w:r w:rsidRPr="00745DE4">
        <w:t xml:space="preserve"> </w:t>
      </w:r>
      <w:r w:rsidR="00BD3342" w:rsidRPr="00745DE4">
        <w:t xml:space="preserve">the material provided during the initial assessment </w:t>
      </w:r>
      <w:r w:rsidR="00F75FAF" w:rsidRPr="00745DE4">
        <w:t>that</w:t>
      </w:r>
      <w:r w:rsidRPr="00745DE4">
        <w:t xml:space="preserve"> CCA effectively participated as a direct party </w:t>
      </w:r>
      <w:r w:rsidR="00561156" w:rsidRPr="00745DE4">
        <w:t>ahead of, during and after</w:t>
      </w:r>
      <w:r w:rsidRPr="00745DE4">
        <w:t xml:space="preserve"> the US NCP mediation process</w:t>
      </w:r>
      <w:r w:rsidR="00282981" w:rsidRPr="00745DE4">
        <w:t>, and naming it as a direct party does not materially change the substance of the complaint</w:t>
      </w:r>
      <w:r w:rsidRPr="00745DE4">
        <w:t xml:space="preserve">. </w:t>
      </w:r>
      <w:r w:rsidR="00BD3342" w:rsidRPr="00745DE4">
        <w:t>CCA’s</w:t>
      </w:r>
      <w:r w:rsidRPr="00745DE4">
        <w:t xml:space="preserve"> involvement</w:t>
      </w:r>
      <w:r w:rsidR="00BD3342" w:rsidRPr="00745DE4">
        <w:t xml:space="preserve"> </w:t>
      </w:r>
      <w:r w:rsidR="00282981" w:rsidRPr="00745DE4">
        <w:t xml:space="preserve">in the US process </w:t>
      </w:r>
      <w:r w:rsidRPr="00745DE4">
        <w:t>reflect</w:t>
      </w:r>
      <w:r w:rsidR="00BD3342" w:rsidRPr="00745DE4">
        <w:t>ed</w:t>
      </w:r>
      <w:r w:rsidRPr="00745DE4">
        <w:t xml:space="preserve"> the due consideration</w:t>
      </w:r>
      <w:r w:rsidR="00BD3342" w:rsidRPr="00745DE4">
        <w:t xml:space="preserve"> given</w:t>
      </w:r>
      <w:r w:rsidRPr="00745DE4">
        <w:t xml:space="preserve"> to </w:t>
      </w:r>
      <w:r w:rsidR="00282981" w:rsidRPr="00745DE4">
        <w:t>its</w:t>
      </w:r>
      <w:r w:rsidRPr="00745DE4">
        <w:t xml:space="preserve"> role as owner of the facilities named in the complaint and its related obligations under the OECD Guidelines</w:t>
      </w:r>
      <w:r w:rsidR="00F87500" w:rsidRPr="00745DE4">
        <w:t xml:space="preserve">. </w:t>
      </w:r>
    </w:p>
    <w:p w14:paraId="22B331E7" w14:textId="2C4CEB79" w:rsidR="00274D37" w:rsidRDefault="00274D37" w:rsidP="00A03333">
      <w:pPr>
        <w:pStyle w:val="OutlineNumbered1"/>
        <w:rPr>
          <w:noProof w:val="0"/>
        </w:rPr>
      </w:pPr>
      <w:r w:rsidRPr="002D7810">
        <w:rPr>
          <w:noProof w:val="0"/>
        </w:rPr>
        <w:t xml:space="preserve">The AusNCP notes both parties </w:t>
      </w:r>
      <w:r>
        <w:rPr>
          <w:noProof w:val="0"/>
        </w:rPr>
        <w:t>last</w:t>
      </w:r>
      <w:r w:rsidRPr="002D7810">
        <w:rPr>
          <w:noProof w:val="0"/>
        </w:rPr>
        <w:t xml:space="preserve"> engaged in direct dialogue regarding the matters raised in the complaint</w:t>
      </w:r>
      <w:r>
        <w:rPr>
          <w:noProof w:val="0"/>
        </w:rPr>
        <w:t xml:space="preserve"> in April 2019</w:t>
      </w:r>
      <w:r w:rsidRPr="002D7810">
        <w:rPr>
          <w:noProof w:val="0"/>
        </w:rPr>
        <w:t xml:space="preserve">. The AusNCP encourages the parties to </w:t>
      </w:r>
      <w:r>
        <w:rPr>
          <w:noProof w:val="0"/>
        </w:rPr>
        <w:t>maintain open and constructive communication channels</w:t>
      </w:r>
      <w:r w:rsidR="00B74E64">
        <w:rPr>
          <w:noProof w:val="0"/>
        </w:rPr>
        <w:t>.</w:t>
      </w:r>
    </w:p>
    <w:p w14:paraId="56D7EB2E" w14:textId="38FF3A5B" w:rsidR="00C579F5" w:rsidRDefault="00004B6F" w:rsidP="00A03333">
      <w:pPr>
        <w:pStyle w:val="OutlineNumbered1"/>
        <w:rPr>
          <w:noProof w:val="0"/>
        </w:rPr>
      </w:pPr>
      <w:r w:rsidRPr="00D24BB8">
        <w:rPr>
          <w:noProof w:val="0"/>
        </w:rPr>
        <w:t>The AusNCP Governance and Advisory Board was consulted in the formulation of this assessment.</w:t>
      </w:r>
      <w:r w:rsidR="00FA5719" w:rsidRPr="0066283E">
        <w:rPr>
          <w:rStyle w:val="FootnoteReference"/>
        </w:rPr>
        <w:footnoteReference w:id="4"/>
      </w:r>
      <w:r w:rsidR="00FA5719" w:rsidRPr="0066283E" w:rsidDel="00F1413E">
        <w:rPr>
          <w:rStyle w:val="FootnoteReference"/>
        </w:rPr>
        <w:t xml:space="preserve"> </w:t>
      </w:r>
      <w:r w:rsidR="00DB6DB9">
        <w:rPr>
          <w:noProof w:val="0"/>
        </w:rPr>
        <w:t>This</w:t>
      </w:r>
      <w:r w:rsidR="00DB6DB9" w:rsidRPr="00DB6DB9">
        <w:rPr>
          <w:noProof w:val="0"/>
        </w:rPr>
        <w:t xml:space="preserve"> </w:t>
      </w:r>
      <w:r w:rsidR="00DB6DB9" w:rsidRPr="002D7810">
        <w:rPr>
          <w:noProof w:val="0"/>
        </w:rPr>
        <w:t xml:space="preserve">statement is available on the AusNCP website at </w:t>
      </w:r>
      <w:hyperlink r:id="rId35" w:history="1">
        <w:r w:rsidR="00DB6DB9" w:rsidRPr="00062FBA">
          <w:rPr>
            <w:noProof w:val="0"/>
          </w:rPr>
          <w:t>www.ausncp.gov.au</w:t>
        </w:r>
      </w:hyperlink>
      <w:r w:rsidR="00DB6DB9" w:rsidRPr="00062FBA">
        <w:rPr>
          <w:noProof w:val="0"/>
        </w:rPr>
        <w:t xml:space="preserve">. </w:t>
      </w:r>
    </w:p>
    <w:p w14:paraId="3EA5EF97" w14:textId="7DDFEFC6" w:rsidR="00DB6DB9" w:rsidRDefault="00C579F5" w:rsidP="00745DE4">
      <w:pPr>
        <w:pStyle w:val="OutlineNumbered1"/>
        <w:rPr>
          <w:noProof w:val="0"/>
        </w:rPr>
      </w:pPr>
      <w:r w:rsidRPr="002D7810" w:rsidDel="00F1413E">
        <w:rPr>
          <w:noProof w:val="0"/>
        </w:rPr>
        <w:t>The AusNCP notes that this outcome is not a determination on the merits of the claims presented</w:t>
      </w:r>
      <w:r>
        <w:rPr>
          <w:noProof w:val="0"/>
        </w:rPr>
        <w:t>. The AusNCP enc</w:t>
      </w:r>
      <w:r w:rsidRPr="00745DE4">
        <w:rPr>
          <w:noProof w:val="0"/>
        </w:rPr>
        <w:t>ourages all c</w:t>
      </w:r>
      <w:r w:rsidR="00DB6DB9" w:rsidRPr="00745DE4">
        <w:rPr>
          <w:noProof w:val="0"/>
        </w:rPr>
        <w:t>ompanies operating in Australia and Australian companies operating overseas to act in accordance with the principles set out in the</w:t>
      </w:r>
      <w:r w:rsidR="0059370F" w:rsidRPr="00745DE4">
        <w:rPr>
          <w:noProof w:val="0"/>
        </w:rPr>
        <w:t xml:space="preserve"> OECD</w:t>
      </w:r>
      <w:r w:rsidR="00DB6DB9" w:rsidRPr="00745DE4">
        <w:rPr>
          <w:noProof w:val="0"/>
        </w:rPr>
        <w:t xml:space="preserve"> Guidelines and to perform to the standards they suggest.</w:t>
      </w:r>
      <w:r w:rsidR="00DB6DB9">
        <w:rPr>
          <w:noProof w:val="0"/>
        </w:rPr>
        <w:t xml:space="preserve"> </w:t>
      </w:r>
    </w:p>
    <w:p w14:paraId="25CB4DD2" w14:textId="77777777" w:rsidR="0066283E" w:rsidRDefault="0066283E" w:rsidP="00350A19">
      <w:pPr>
        <w:jc w:val="left"/>
        <w:rPr>
          <w:b/>
          <w:noProof w:val="0"/>
        </w:rPr>
      </w:pPr>
    </w:p>
    <w:p w14:paraId="4CAA5370" w14:textId="48274693" w:rsidR="004D24CE" w:rsidRPr="002D7810" w:rsidRDefault="00745DE4" w:rsidP="00350A19">
      <w:pPr>
        <w:jc w:val="left"/>
        <w:rPr>
          <w:noProof w:val="0"/>
        </w:rPr>
      </w:pPr>
      <w:r>
        <w:rPr>
          <w:b/>
          <w:noProof w:val="0"/>
        </w:rPr>
        <w:br/>
      </w:r>
      <w:r w:rsidR="00874BF2">
        <w:rPr>
          <w:noProof w:val="0"/>
        </w:rPr>
        <w:t>Kate Lynch</w:t>
      </w:r>
      <w:r w:rsidR="004D24CE" w:rsidRPr="00C4007B">
        <w:rPr>
          <w:noProof w:val="0"/>
        </w:rPr>
        <w:br/>
      </w:r>
      <w:r w:rsidR="004D24CE" w:rsidRPr="002D7810">
        <w:rPr>
          <w:noProof w:val="0"/>
        </w:rPr>
        <w:t>Australian National Contact Point</w:t>
      </w:r>
      <w:r w:rsidR="004D24CE" w:rsidRPr="002D7810">
        <w:rPr>
          <w:noProof w:val="0"/>
        </w:rPr>
        <w:br/>
        <w:t>OECD Guidelines for Multinational Enterprises</w:t>
      </w:r>
    </w:p>
    <w:p w14:paraId="3AAADDEE" w14:textId="341453E5" w:rsidR="00AB3F0B" w:rsidRPr="002D7810" w:rsidRDefault="004D24CE" w:rsidP="009C1861">
      <w:pPr>
        <w:jc w:val="left"/>
        <w:rPr>
          <w:noProof w:val="0"/>
        </w:rPr>
      </w:pPr>
      <w:r w:rsidRPr="002D7810">
        <w:rPr>
          <w:noProof w:val="0"/>
        </w:rPr>
        <w:t xml:space="preserve">c/- </w:t>
      </w:r>
      <w:r w:rsidR="00BB4B66" w:rsidRPr="002D7810">
        <w:rPr>
          <w:noProof w:val="0"/>
        </w:rPr>
        <w:t>Australian Treasury</w:t>
      </w:r>
      <w:r w:rsidRPr="002D7810">
        <w:rPr>
          <w:noProof w:val="0"/>
        </w:rPr>
        <w:br/>
        <w:t xml:space="preserve">Email: </w:t>
      </w:r>
      <w:hyperlink r:id="rId36" w:history="1">
        <w:r w:rsidR="00DD303E" w:rsidRPr="002D7810">
          <w:rPr>
            <w:rStyle w:val="Hyperlink"/>
            <w:noProof w:val="0"/>
          </w:rPr>
          <w:t>Secretariat@AusNCP.gov.au</w:t>
        </w:r>
      </w:hyperlink>
      <w:r w:rsidRPr="002D7810">
        <w:rPr>
          <w:noProof w:val="0"/>
        </w:rPr>
        <w:t xml:space="preserve">  </w:t>
      </w:r>
    </w:p>
    <w:p w14:paraId="4810BC24" w14:textId="77777777" w:rsidR="004D24CE" w:rsidRPr="00C4007B" w:rsidRDefault="00FF746B" w:rsidP="00350A19">
      <w:pPr>
        <w:pStyle w:val="Heading1"/>
      </w:pPr>
      <w:bookmarkStart w:id="1" w:name="_Toc444006373"/>
      <w:bookmarkStart w:id="2" w:name="_Toc461443213"/>
      <w:bookmarkStart w:id="3" w:name="_Toc27053463"/>
      <w:r w:rsidRPr="00C4007B">
        <w:t>C</w:t>
      </w:r>
      <w:r w:rsidR="007965C4" w:rsidRPr="00C4007B">
        <w:t>omplaint</w:t>
      </w:r>
      <w:bookmarkEnd w:id="3"/>
    </w:p>
    <w:p w14:paraId="450E9243" w14:textId="77777777" w:rsidR="004D24CE" w:rsidRPr="00C4007B" w:rsidRDefault="004D24CE" w:rsidP="00D42D4B">
      <w:pPr>
        <w:pStyle w:val="Heading2"/>
      </w:pPr>
      <w:bookmarkStart w:id="4" w:name="_Toc27053464"/>
      <w:r w:rsidRPr="00C4007B">
        <w:t>Parties</w:t>
      </w:r>
      <w:bookmarkEnd w:id="1"/>
      <w:bookmarkEnd w:id="2"/>
      <w:bookmarkEnd w:id="4"/>
      <w:r w:rsidR="00350A19" w:rsidRPr="00C4007B">
        <w:t xml:space="preserve"> </w:t>
      </w:r>
    </w:p>
    <w:p w14:paraId="5B0DDE5E" w14:textId="254A0F2D" w:rsidR="00FF746B" w:rsidRPr="00C4007B" w:rsidRDefault="00DA222A" w:rsidP="00614E11">
      <w:pPr>
        <w:pStyle w:val="OutlineNumbered1"/>
        <w:numPr>
          <w:ilvl w:val="0"/>
          <w:numId w:val="19"/>
        </w:numPr>
        <w:rPr>
          <w:b/>
          <w:noProof w:val="0"/>
        </w:rPr>
      </w:pPr>
      <w:r w:rsidRPr="00C4007B">
        <w:rPr>
          <w:noProof w:val="0"/>
        </w:rPr>
        <w:t>T</w:t>
      </w:r>
      <w:r w:rsidR="00FF746B" w:rsidRPr="00C4007B">
        <w:rPr>
          <w:noProof w:val="0"/>
        </w:rPr>
        <w:t>he International Union of Food, Agricultural, Hotel, Restaurant, Catering, Tobacco and Allied Workers' Associations (IUF)</w:t>
      </w:r>
      <w:r w:rsidR="00BE6720" w:rsidRPr="00C4007B">
        <w:rPr>
          <w:noProof w:val="0"/>
        </w:rPr>
        <w:t xml:space="preserve">, representing affected </w:t>
      </w:r>
      <w:r w:rsidR="00925813" w:rsidRPr="0066283E">
        <w:rPr>
          <w:noProof w:val="0"/>
        </w:rPr>
        <w:t>members</w:t>
      </w:r>
      <w:r w:rsidR="00BE6720" w:rsidRPr="0066283E">
        <w:rPr>
          <w:noProof w:val="0"/>
        </w:rPr>
        <w:t xml:space="preserve"> </w:t>
      </w:r>
      <w:r w:rsidR="00BE6720" w:rsidRPr="00C4007B">
        <w:rPr>
          <w:noProof w:val="0"/>
        </w:rPr>
        <w:t>in CCA’s Indonesian bottling and distribution plants</w:t>
      </w:r>
      <w:r w:rsidR="00FF746B" w:rsidRPr="00C4007B">
        <w:rPr>
          <w:noProof w:val="0"/>
        </w:rPr>
        <w:t xml:space="preserve">. </w:t>
      </w:r>
    </w:p>
    <w:p w14:paraId="3E18A7AC" w14:textId="15A44CF8" w:rsidR="00FF746B" w:rsidRPr="00C4007B" w:rsidRDefault="00FF746B" w:rsidP="00FF746B">
      <w:pPr>
        <w:pStyle w:val="OutlineNumbered1"/>
        <w:rPr>
          <w:noProof w:val="0"/>
        </w:rPr>
      </w:pPr>
      <w:r w:rsidRPr="00C4007B">
        <w:rPr>
          <w:noProof w:val="0"/>
        </w:rPr>
        <w:t>Coca-Cola Amatil</w:t>
      </w:r>
      <w:r w:rsidR="009205B4" w:rsidRPr="00C4007B">
        <w:rPr>
          <w:noProof w:val="0"/>
        </w:rPr>
        <w:t xml:space="preserve"> (CCA)</w:t>
      </w:r>
      <w:r w:rsidRPr="00C4007B">
        <w:rPr>
          <w:noProof w:val="0"/>
        </w:rPr>
        <w:t xml:space="preserve"> is one of the largest bottlers of non-alcoholic</w:t>
      </w:r>
      <w:r w:rsidR="0066283E">
        <w:rPr>
          <w:noProof w:val="0"/>
        </w:rPr>
        <w:t>,</w:t>
      </w:r>
      <w:r w:rsidRPr="00C4007B">
        <w:rPr>
          <w:noProof w:val="0"/>
        </w:rPr>
        <w:t xml:space="preserve"> </w:t>
      </w:r>
      <w:r w:rsidR="0066283E">
        <w:rPr>
          <w:noProof w:val="0"/>
        </w:rPr>
        <w:br/>
      </w:r>
      <w:r w:rsidRPr="00C4007B">
        <w:rPr>
          <w:noProof w:val="0"/>
        </w:rPr>
        <w:t>ready-to-drink beverages in the Asia-Pacific region and one of the world's five major Coca-Cola bottlers. CCA operates in six countries – Australia, New Zealand, Indonesia, Papua New Guinea, Fiji and Samoa.</w:t>
      </w:r>
    </w:p>
    <w:p w14:paraId="52E53E0F" w14:textId="77777777" w:rsidR="001F3F00" w:rsidRPr="00C4007B" w:rsidRDefault="001F3F00" w:rsidP="001F3F00">
      <w:pPr>
        <w:pStyle w:val="Heading2"/>
      </w:pPr>
      <w:bookmarkStart w:id="5" w:name="_Toc27053465"/>
      <w:r w:rsidRPr="00C4007B">
        <w:t>Other parties and National Contact Points</w:t>
      </w:r>
      <w:bookmarkEnd w:id="5"/>
    </w:p>
    <w:p w14:paraId="3F8AB7B7" w14:textId="77777777" w:rsidR="001F3F00" w:rsidRPr="00C4007B" w:rsidRDefault="001F3F00" w:rsidP="001F3F00">
      <w:pPr>
        <w:pStyle w:val="OutlineNumbered1"/>
        <w:rPr>
          <w:noProof w:val="0"/>
        </w:rPr>
      </w:pPr>
      <w:r w:rsidRPr="00C4007B">
        <w:rPr>
          <w:noProof w:val="0"/>
        </w:rPr>
        <w:t>The AusNCP sought advice from the US National Contact Point</w:t>
      </w:r>
      <w:r w:rsidR="00925813" w:rsidRPr="00C4007B">
        <w:rPr>
          <w:noProof w:val="0"/>
        </w:rPr>
        <w:t xml:space="preserve"> </w:t>
      </w:r>
      <w:r w:rsidR="004C3AD3" w:rsidRPr="00C4007B">
        <w:rPr>
          <w:noProof w:val="0"/>
        </w:rPr>
        <w:t xml:space="preserve">and the </w:t>
      </w:r>
      <w:r w:rsidR="003804B5" w:rsidRPr="00C4007B">
        <w:rPr>
          <w:noProof w:val="0"/>
        </w:rPr>
        <w:br/>
      </w:r>
      <w:r w:rsidR="004C3AD3" w:rsidRPr="00C4007B">
        <w:rPr>
          <w:noProof w:val="0"/>
        </w:rPr>
        <w:t>OECD Secretariat</w:t>
      </w:r>
      <w:r w:rsidR="00925813" w:rsidRPr="00C4007B">
        <w:rPr>
          <w:noProof w:val="0"/>
        </w:rPr>
        <w:t xml:space="preserve"> in developing this initial assessment</w:t>
      </w:r>
      <w:r w:rsidRPr="00C4007B">
        <w:rPr>
          <w:noProof w:val="0"/>
        </w:rPr>
        <w:t>.</w:t>
      </w:r>
    </w:p>
    <w:p w14:paraId="47B6C165" w14:textId="77777777" w:rsidR="00350A19" w:rsidRPr="00C4007B" w:rsidRDefault="004D24CE" w:rsidP="00D42D4B">
      <w:pPr>
        <w:pStyle w:val="Heading2"/>
      </w:pPr>
      <w:bookmarkStart w:id="6" w:name="_Toc27053466"/>
      <w:r w:rsidRPr="00C4007B">
        <w:t>Complaint</w:t>
      </w:r>
      <w:bookmarkEnd w:id="6"/>
    </w:p>
    <w:p w14:paraId="49261855" w14:textId="2534F71C" w:rsidR="003804B5" w:rsidRPr="00C4007B" w:rsidRDefault="00C14B23" w:rsidP="003804B5">
      <w:pPr>
        <w:pStyle w:val="OutlineNumbered1"/>
        <w:rPr>
          <w:noProof w:val="0"/>
        </w:rPr>
      </w:pPr>
      <w:r w:rsidRPr="00C4007B">
        <w:rPr>
          <w:noProof w:val="0"/>
        </w:rPr>
        <w:t>On 20 June 2019</w:t>
      </w:r>
      <w:r w:rsidR="00F97522">
        <w:rPr>
          <w:noProof w:val="0"/>
        </w:rPr>
        <w:t>,</w:t>
      </w:r>
      <w:r w:rsidRPr="00C4007B">
        <w:rPr>
          <w:noProof w:val="0"/>
        </w:rPr>
        <w:t xml:space="preserve"> </w:t>
      </w:r>
      <w:r w:rsidR="006140AD">
        <w:rPr>
          <w:noProof w:val="0"/>
        </w:rPr>
        <w:t xml:space="preserve">the </w:t>
      </w:r>
      <w:r w:rsidR="00265D33">
        <w:rPr>
          <w:noProof w:val="0"/>
        </w:rPr>
        <w:t>IUF</w:t>
      </w:r>
      <w:r w:rsidRPr="00C4007B">
        <w:rPr>
          <w:noProof w:val="0"/>
        </w:rPr>
        <w:t xml:space="preserve"> submitted a complaint to the Australian National Contact Point (AusNCP) alleging conduct by CCA and its Indonesian subsidiaries, Coca-Cola Distribution Indonesia (CCDI) and Coca-Cola Bottling Indonesia (CCBI), inconsistent with Chapter V</w:t>
      </w:r>
      <w:r w:rsidR="006936A0" w:rsidRPr="00C4007B">
        <w:rPr>
          <w:noProof w:val="0"/>
        </w:rPr>
        <w:t>:</w:t>
      </w:r>
      <w:r w:rsidRPr="00C4007B">
        <w:rPr>
          <w:noProof w:val="0"/>
        </w:rPr>
        <w:t xml:space="preserve"> Employment and Industrial Relations</w:t>
      </w:r>
      <w:r w:rsidR="006936A0" w:rsidRPr="00C4007B">
        <w:rPr>
          <w:noProof w:val="0"/>
        </w:rPr>
        <w:t xml:space="preserve"> and Chapter IV: Human Rights </w:t>
      </w:r>
      <w:r w:rsidRPr="00C4007B">
        <w:rPr>
          <w:noProof w:val="0"/>
        </w:rPr>
        <w:t>of the OECD Guidelines</w:t>
      </w:r>
      <w:r w:rsidR="0066283E">
        <w:rPr>
          <w:noProof w:val="0"/>
        </w:rPr>
        <w:t>,</w:t>
      </w:r>
      <w:r w:rsidRPr="00C4007B">
        <w:rPr>
          <w:noProof w:val="0"/>
        </w:rPr>
        <w:t xml:space="preserve"> in relation to the following alleged actions</w:t>
      </w:r>
      <w:r w:rsidR="00BA49C7" w:rsidRPr="00C4007B">
        <w:rPr>
          <w:noProof w:val="0"/>
        </w:rPr>
        <w:t xml:space="preserve"> by local management</w:t>
      </w:r>
      <w:r w:rsidRPr="00C4007B">
        <w:rPr>
          <w:noProof w:val="0"/>
        </w:rPr>
        <w:t>:</w:t>
      </w:r>
    </w:p>
    <w:p w14:paraId="55804A25" w14:textId="77777777" w:rsidR="003804B5" w:rsidRPr="00C4007B" w:rsidRDefault="00BA49C7" w:rsidP="00614E11">
      <w:pPr>
        <w:pStyle w:val="OutlineNumbered1"/>
        <w:numPr>
          <w:ilvl w:val="0"/>
          <w:numId w:val="18"/>
        </w:numPr>
        <w:rPr>
          <w:noProof w:val="0"/>
        </w:rPr>
      </w:pPr>
      <w:r w:rsidRPr="00C4007B">
        <w:rPr>
          <w:noProof w:val="0"/>
        </w:rPr>
        <w:t>p</w:t>
      </w:r>
      <w:r w:rsidR="003804B5" w:rsidRPr="00C4007B">
        <w:rPr>
          <w:noProof w:val="0"/>
        </w:rPr>
        <w:t xml:space="preserve">reventing workers </w:t>
      </w:r>
      <w:r w:rsidR="00CD0765" w:rsidRPr="00C4007B">
        <w:rPr>
          <w:noProof w:val="0"/>
        </w:rPr>
        <w:t xml:space="preserve">from forming and joining independent, democratic unions as an alternative to the existing workplace structures </w:t>
      </w:r>
      <w:r w:rsidR="003804B5" w:rsidRPr="00C4007B">
        <w:rPr>
          <w:noProof w:val="0"/>
        </w:rPr>
        <w:t xml:space="preserve">at the Cibitung distribution centre in West Java, Bawen  plant in Central Java and </w:t>
      </w:r>
      <w:r w:rsidR="00CD0765" w:rsidRPr="00C4007B">
        <w:rPr>
          <w:noProof w:val="0"/>
        </w:rPr>
        <w:t>CCA’s</w:t>
      </w:r>
      <w:r w:rsidR="003804B5" w:rsidRPr="00C4007B">
        <w:rPr>
          <w:noProof w:val="0"/>
        </w:rPr>
        <w:t xml:space="preserve"> Bandung plant;  </w:t>
      </w:r>
    </w:p>
    <w:p w14:paraId="35A96268" w14:textId="77777777" w:rsidR="003804B5" w:rsidRPr="00C4007B" w:rsidRDefault="00BA49C7" w:rsidP="00614E11">
      <w:pPr>
        <w:pStyle w:val="OutlineNumbered1"/>
        <w:numPr>
          <w:ilvl w:val="0"/>
          <w:numId w:val="18"/>
        </w:numPr>
        <w:rPr>
          <w:noProof w:val="0"/>
        </w:rPr>
      </w:pPr>
      <w:r w:rsidRPr="00C4007B">
        <w:rPr>
          <w:noProof w:val="0"/>
        </w:rPr>
        <w:t>t</w:t>
      </w:r>
      <w:r w:rsidR="003804B5" w:rsidRPr="00C4007B">
        <w:rPr>
          <w:noProof w:val="0"/>
        </w:rPr>
        <w:t xml:space="preserve">argeting the elected leadership of </w:t>
      </w:r>
      <w:r w:rsidR="004A28A0" w:rsidRPr="00C4007B">
        <w:rPr>
          <w:noProof w:val="0"/>
        </w:rPr>
        <w:t>three unions at facilities in Indonesia</w:t>
      </w:r>
      <w:r w:rsidR="004A54BA">
        <w:rPr>
          <w:noProof w:val="0"/>
        </w:rPr>
        <w:t xml:space="preserve"> in disciplinary, dismissal and transfer processes, resulting in the loss of jobs for two individuals</w:t>
      </w:r>
      <w:r w:rsidR="003804B5" w:rsidRPr="00C4007B">
        <w:rPr>
          <w:noProof w:val="0"/>
        </w:rPr>
        <w:t>; and</w:t>
      </w:r>
    </w:p>
    <w:p w14:paraId="3E30F803" w14:textId="77777777" w:rsidR="003804B5" w:rsidRPr="00C4007B" w:rsidRDefault="00BA49C7" w:rsidP="00614E11">
      <w:pPr>
        <w:pStyle w:val="OutlineNumbered1"/>
        <w:numPr>
          <w:ilvl w:val="0"/>
          <w:numId w:val="18"/>
        </w:numPr>
        <w:rPr>
          <w:noProof w:val="0"/>
        </w:rPr>
      </w:pPr>
      <w:r w:rsidRPr="00C4007B">
        <w:rPr>
          <w:noProof w:val="0"/>
        </w:rPr>
        <w:lastRenderedPageBreak/>
        <w:t>p</w:t>
      </w:r>
      <w:r w:rsidR="003804B5" w:rsidRPr="00C4007B">
        <w:rPr>
          <w:noProof w:val="0"/>
        </w:rPr>
        <w:t xml:space="preserve">reventing elected union </w:t>
      </w:r>
      <w:r w:rsidR="009006C9" w:rsidRPr="00C4007B">
        <w:rPr>
          <w:noProof w:val="0"/>
        </w:rPr>
        <w:t>representatives</w:t>
      </w:r>
      <w:r w:rsidR="003804B5" w:rsidRPr="00C4007B">
        <w:rPr>
          <w:noProof w:val="0"/>
        </w:rPr>
        <w:t xml:space="preserve"> from meeting with their members at the workplace and excluding them from labour-management meetings. </w:t>
      </w:r>
    </w:p>
    <w:p w14:paraId="77A768D2" w14:textId="059FFD46" w:rsidR="00180CBB" w:rsidRPr="002D7810" w:rsidRDefault="006140AD" w:rsidP="00ED5630">
      <w:pPr>
        <w:pStyle w:val="OutlineNumbered1"/>
        <w:rPr>
          <w:noProof w:val="0"/>
        </w:rPr>
      </w:pPr>
      <w:r>
        <w:rPr>
          <w:noProof w:val="0"/>
        </w:rPr>
        <w:t xml:space="preserve">The </w:t>
      </w:r>
      <w:r w:rsidR="00265D33">
        <w:rPr>
          <w:noProof w:val="0"/>
        </w:rPr>
        <w:t>IUF</w:t>
      </w:r>
      <w:r w:rsidR="004A28A0" w:rsidRPr="00C4007B">
        <w:rPr>
          <w:noProof w:val="0"/>
        </w:rPr>
        <w:t xml:space="preserve"> asserted t</w:t>
      </w:r>
      <w:r w:rsidR="00CD0765" w:rsidRPr="00C4007B">
        <w:rPr>
          <w:noProof w:val="0"/>
        </w:rPr>
        <w:t xml:space="preserve">he </w:t>
      </w:r>
      <w:r w:rsidR="00BA49C7" w:rsidRPr="00C4007B">
        <w:rPr>
          <w:noProof w:val="0"/>
        </w:rPr>
        <w:t xml:space="preserve">alleged targeted </w:t>
      </w:r>
      <w:r w:rsidR="00CD0765" w:rsidRPr="00C4007B">
        <w:rPr>
          <w:noProof w:val="0"/>
        </w:rPr>
        <w:t>dismissal or transfer of newly elected union leaders had undermined the confidence of workers in CCA’s plants in Indonesia to form and join a union of their choice</w:t>
      </w:r>
      <w:r w:rsidR="00AC352D" w:rsidRPr="00C4007B">
        <w:rPr>
          <w:noProof w:val="0"/>
        </w:rPr>
        <w:t>.</w:t>
      </w:r>
      <w:r w:rsidR="00AC352D" w:rsidRPr="002D7810">
        <w:rPr>
          <w:rStyle w:val="FootnoteReference"/>
          <w:noProof w:val="0"/>
        </w:rPr>
        <w:footnoteReference w:id="5"/>
      </w:r>
    </w:p>
    <w:p w14:paraId="37A60435" w14:textId="209B46BE" w:rsidR="009205B4" w:rsidRPr="00000526" w:rsidRDefault="006140AD" w:rsidP="00ED5630">
      <w:pPr>
        <w:pStyle w:val="OutlineNumbered1"/>
        <w:rPr>
          <w:noProof w:val="0"/>
        </w:rPr>
      </w:pPr>
      <w:r>
        <w:rPr>
          <w:noProof w:val="0"/>
        </w:rPr>
        <w:t xml:space="preserve">The </w:t>
      </w:r>
      <w:r w:rsidR="00265D33">
        <w:rPr>
          <w:noProof w:val="0"/>
        </w:rPr>
        <w:t>IUF</w:t>
      </w:r>
      <w:r w:rsidR="004525FC" w:rsidRPr="002D7810">
        <w:rPr>
          <w:noProof w:val="0"/>
        </w:rPr>
        <w:t xml:space="preserve"> </w:t>
      </w:r>
      <w:r w:rsidR="00AC352D" w:rsidRPr="002D7810">
        <w:rPr>
          <w:noProof w:val="0"/>
        </w:rPr>
        <w:t>asserted</w:t>
      </w:r>
      <w:r w:rsidR="009205B4" w:rsidRPr="002D7810">
        <w:rPr>
          <w:noProof w:val="0"/>
        </w:rPr>
        <w:t xml:space="preserve"> its</w:t>
      </w:r>
      <w:r w:rsidR="004A2F53">
        <w:rPr>
          <w:noProof w:val="0"/>
        </w:rPr>
        <w:t xml:space="preserve"> view that</w:t>
      </w:r>
      <w:r w:rsidR="009205B4" w:rsidRPr="002D7810">
        <w:rPr>
          <w:noProof w:val="0"/>
        </w:rPr>
        <w:t xml:space="preserve"> </w:t>
      </w:r>
      <w:r w:rsidR="004A2F53">
        <w:rPr>
          <w:noProof w:val="0"/>
        </w:rPr>
        <w:t xml:space="preserve">the </w:t>
      </w:r>
      <w:r w:rsidR="009205B4" w:rsidRPr="002D7810">
        <w:rPr>
          <w:noProof w:val="0"/>
        </w:rPr>
        <w:t xml:space="preserve">complaint to the AusNCP </w:t>
      </w:r>
      <w:r w:rsidR="004A2F53">
        <w:rPr>
          <w:noProof w:val="0"/>
        </w:rPr>
        <w:t>was</w:t>
      </w:r>
      <w:r w:rsidR="009205B4" w:rsidRPr="002D7810">
        <w:rPr>
          <w:noProof w:val="0"/>
        </w:rPr>
        <w:t xml:space="preserve"> distinct from </w:t>
      </w:r>
      <w:r w:rsidR="00BA49C7" w:rsidRPr="00C4007B">
        <w:rPr>
          <w:noProof w:val="0"/>
        </w:rPr>
        <w:t>its</w:t>
      </w:r>
      <w:r w:rsidR="009205B4" w:rsidRPr="00C4007B">
        <w:rPr>
          <w:noProof w:val="0"/>
        </w:rPr>
        <w:t xml:space="preserve"> complaint</w:t>
      </w:r>
      <w:r w:rsidR="00BA49C7" w:rsidRPr="00C4007B">
        <w:rPr>
          <w:noProof w:val="0"/>
        </w:rPr>
        <w:t xml:space="preserve"> to </w:t>
      </w:r>
      <w:r w:rsidR="009205B4" w:rsidRPr="00C4007B">
        <w:rPr>
          <w:noProof w:val="0"/>
        </w:rPr>
        <w:t>the US NCP</w:t>
      </w:r>
      <w:r w:rsidR="00BA49C7" w:rsidRPr="00C4007B">
        <w:rPr>
          <w:noProof w:val="0"/>
        </w:rPr>
        <w:t xml:space="preserve"> in 2017 regarding similar matters</w:t>
      </w:r>
      <w:r w:rsidR="009205B4" w:rsidRPr="00C4007B">
        <w:rPr>
          <w:noProof w:val="0"/>
        </w:rPr>
        <w:t xml:space="preserve"> for the following </w:t>
      </w:r>
      <w:r w:rsidR="009205B4" w:rsidRPr="00000526">
        <w:rPr>
          <w:noProof w:val="0"/>
        </w:rPr>
        <w:t xml:space="preserve">reasons: </w:t>
      </w:r>
    </w:p>
    <w:p w14:paraId="2E940E78" w14:textId="632AB020" w:rsidR="00EA4FC0" w:rsidRPr="00BF62E1" w:rsidRDefault="00FF6172" w:rsidP="00614E11">
      <w:pPr>
        <w:pStyle w:val="OutlineNumbered1"/>
        <w:numPr>
          <w:ilvl w:val="0"/>
          <w:numId w:val="18"/>
        </w:numPr>
        <w:rPr>
          <w:noProof w:val="0"/>
        </w:rPr>
      </w:pPr>
      <w:r>
        <w:rPr>
          <w:noProof w:val="0"/>
        </w:rPr>
        <w:t>The IUF had i</w:t>
      </w:r>
      <w:r w:rsidR="00B74E64">
        <w:rPr>
          <w:noProof w:val="0"/>
        </w:rPr>
        <w:t>dentifi</w:t>
      </w:r>
      <w:r>
        <w:rPr>
          <w:noProof w:val="0"/>
        </w:rPr>
        <w:t>ed</w:t>
      </w:r>
      <w:r w:rsidR="00B74E64">
        <w:rPr>
          <w:noProof w:val="0"/>
        </w:rPr>
        <w:t xml:space="preserve"> a</w:t>
      </w:r>
      <w:r w:rsidR="00EA4FC0" w:rsidRPr="00BF62E1">
        <w:rPr>
          <w:noProof w:val="0"/>
        </w:rPr>
        <w:t xml:space="preserve"> third individual </w:t>
      </w:r>
      <w:r w:rsidR="00B74E64">
        <w:rPr>
          <w:noProof w:val="0"/>
        </w:rPr>
        <w:t>affected by an alleged</w:t>
      </w:r>
      <w:r>
        <w:rPr>
          <w:noProof w:val="0"/>
        </w:rPr>
        <w:t>ly</w:t>
      </w:r>
      <w:r w:rsidR="00B74E64">
        <w:rPr>
          <w:noProof w:val="0"/>
        </w:rPr>
        <w:t xml:space="preserve"> anti-union disciplinary process </w:t>
      </w:r>
      <w:r w:rsidR="00EA4FC0" w:rsidRPr="00BF62E1">
        <w:rPr>
          <w:noProof w:val="0"/>
        </w:rPr>
        <w:t xml:space="preserve">following the conclusion of the US NCP </w:t>
      </w:r>
      <w:r>
        <w:rPr>
          <w:noProof w:val="0"/>
        </w:rPr>
        <w:t>case</w:t>
      </w:r>
      <w:r w:rsidR="00EA4FC0" w:rsidRPr="00BF62E1">
        <w:rPr>
          <w:noProof w:val="0"/>
        </w:rPr>
        <w:t>;</w:t>
      </w:r>
    </w:p>
    <w:p w14:paraId="4394E9D8" w14:textId="4D3CB6C4" w:rsidR="009205B4" w:rsidRPr="00C4007B" w:rsidRDefault="009205B4" w:rsidP="00FF6172">
      <w:pPr>
        <w:pStyle w:val="OutlineNumbered1"/>
        <w:numPr>
          <w:ilvl w:val="0"/>
          <w:numId w:val="18"/>
        </w:numPr>
        <w:rPr>
          <w:noProof w:val="0"/>
        </w:rPr>
      </w:pPr>
      <w:r w:rsidRPr="00C4007B">
        <w:rPr>
          <w:noProof w:val="0"/>
        </w:rPr>
        <w:t xml:space="preserve">CCA had participated in the US NCP process at the invitation of The </w:t>
      </w:r>
      <w:r w:rsidR="00BA49C7" w:rsidRPr="00C4007B">
        <w:rPr>
          <w:noProof w:val="0"/>
        </w:rPr>
        <w:br/>
      </w:r>
      <w:r w:rsidRPr="00C4007B">
        <w:rPr>
          <w:noProof w:val="0"/>
        </w:rPr>
        <w:t>Coca-Cola Compan</w:t>
      </w:r>
      <w:r w:rsidR="00FF6172">
        <w:rPr>
          <w:noProof w:val="0"/>
        </w:rPr>
        <w:t xml:space="preserve">y (TCCC) as part of TCCC’s team. </w:t>
      </w:r>
      <w:r w:rsidR="000A4661" w:rsidRPr="00C4007B">
        <w:rPr>
          <w:noProof w:val="0"/>
        </w:rPr>
        <w:t xml:space="preserve">As CCA had not been a direct party to the complaint, the role of its representatives in the mediation was fundamentally different; </w:t>
      </w:r>
    </w:p>
    <w:p w14:paraId="42DBCEEC" w14:textId="532664F1" w:rsidR="000A4661" w:rsidRPr="00C4007B" w:rsidRDefault="000A4661" w:rsidP="00614E11">
      <w:pPr>
        <w:pStyle w:val="OutlineNumbered1"/>
        <w:numPr>
          <w:ilvl w:val="0"/>
          <w:numId w:val="18"/>
        </w:numPr>
        <w:rPr>
          <w:noProof w:val="0"/>
        </w:rPr>
      </w:pPr>
      <w:r w:rsidRPr="00C4007B">
        <w:rPr>
          <w:noProof w:val="0"/>
        </w:rPr>
        <w:t>The complaint to the US NCP had not addressed CCA’s responsibilities as the owner of the Indonesian bottling operations and its obligations under the OECD Guidelines; and</w:t>
      </w:r>
    </w:p>
    <w:p w14:paraId="059E0A35" w14:textId="6FD18A0A" w:rsidR="00D86C0A" w:rsidRPr="002D7810" w:rsidRDefault="000A4661" w:rsidP="00D86C0A">
      <w:pPr>
        <w:pStyle w:val="OutlineNumbered1"/>
        <w:numPr>
          <w:ilvl w:val="0"/>
          <w:numId w:val="18"/>
        </w:numPr>
        <w:rPr>
          <w:noProof w:val="0"/>
        </w:rPr>
      </w:pPr>
      <w:r w:rsidRPr="00C4007B">
        <w:rPr>
          <w:noProof w:val="0"/>
        </w:rPr>
        <w:t>Filing the complaint to the AusNCP reflected CCA’s status as an Australian company with direct managerial control of the operations in Indonesia.</w:t>
      </w:r>
      <w:r w:rsidR="00AC352D" w:rsidRPr="002D7810">
        <w:rPr>
          <w:rStyle w:val="FootnoteReference"/>
          <w:noProof w:val="0"/>
        </w:rPr>
        <w:footnoteReference w:id="6"/>
      </w:r>
      <w:r w:rsidRPr="002D7810">
        <w:rPr>
          <w:noProof w:val="0"/>
        </w:rPr>
        <w:t xml:space="preserve"> </w:t>
      </w:r>
    </w:p>
    <w:p w14:paraId="0C3F1F37" w14:textId="77777777" w:rsidR="00BA49C7" w:rsidRPr="00C4007B" w:rsidRDefault="00BA49C7" w:rsidP="00BA49C7">
      <w:bookmarkStart w:id="7" w:name="_GoBack"/>
      <w:bookmarkEnd w:id="7"/>
    </w:p>
    <w:p w14:paraId="6C9D3E58" w14:textId="77777777" w:rsidR="00350A19" w:rsidRPr="00C4007B" w:rsidRDefault="004D24CE" w:rsidP="00D42D4B">
      <w:pPr>
        <w:pStyle w:val="Heading2"/>
      </w:pPr>
      <w:bookmarkStart w:id="8" w:name="_Toc27053467"/>
      <w:r w:rsidRPr="00C4007B">
        <w:t>Outcomes sought</w:t>
      </w:r>
      <w:bookmarkEnd w:id="8"/>
      <w:r w:rsidR="00350A19" w:rsidRPr="00C4007B">
        <w:t xml:space="preserve"> </w:t>
      </w:r>
    </w:p>
    <w:p w14:paraId="676DAD1A" w14:textId="2ED1F0CD" w:rsidR="00E10FDE" w:rsidRPr="00C4007B" w:rsidRDefault="006140AD" w:rsidP="00D86C0A">
      <w:pPr>
        <w:pStyle w:val="OutlineNumbered1"/>
        <w:rPr>
          <w:noProof w:val="0"/>
        </w:rPr>
      </w:pPr>
      <w:bookmarkStart w:id="9" w:name="_Toc444267551"/>
      <w:bookmarkStart w:id="10" w:name="_Toc461443218"/>
      <w:r>
        <w:rPr>
          <w:noProof w:val="0"/>
        </w:rPr>
        <w:t xml:space="preserve">The </w:t>
      </w:r>
      <w:r w:rsidR="00265D33">
        <w:rPr>
          <w:noProof w:val="0"/>
        </w:rPr>
        <w:t>IUF</w:t>
      </w:r>
      <w:r w:rsidR="00ED5630" w:rsidRPr="00C4007B">
        <w:rPr>
          <w:noProof w:val="0"/>
        </w:rPr>
        <w:t xml:space="preserve"> </w:t>
      </w:r>
      <w:r w:rsidR="0066153F" w:rsidRPr="00C4007B">
        <w:rPr>
          <w:noProof w:val="0"/>
        </w:rPr>
        <w:t xml:space="preserve">was seeking for </w:t>
      </w:r>
      <w:r w:rsidR="003D2400" w:rsidRPr="00C4007B">
        <w:rPr>
          <w:noProof w:val="0"/>
        </w:rPr>
        <w:t xml:space="preserve">the AusNCP to use its good offices to facilitate a comprehensive resolution to the </w:t>
      </w:r>
      <w:r w:rsidR="0066153F" w:rsidRPr="00C4007B">
        <w:rPr>
          <w:noProof w:val="0"/>
        </w:rPr>
        <w:t>issues raised.</w:t>
      </w:r>
    </w:p>
    <w:p w14:paraId="7596B774" w14:textId="5719DC38" w:rsidR="009738C3" w:rsidRPr="002D7810" w:rsidRDefault="006140AD" w:rsidP="003D2400">
      <w:pPr>
        <w:pStyle w:val="OutlineNumbered1"/>
        <w:rPr>
          <w:noProof w:val="0"/>
        </w:rPr>
      </w:pPr>
      <w:r>
        <w:rPr>
          <w:noProof w:val="0"/>
        </w:rPr>
        <w:t xml:space="preserve">The </w:t>
      </w:r>
      <w:r w:rsidR="00265D33">
        <w:rPr>
          <w:noProof w:val="0"/>
        </w:rPr>
        <w:t>IUF</w:t>
      </w:r>
      <w:r w:rsidR="00B42071" w:rsidRPr="00C4007B">
        <w:rPr>
          <w:noProof w:val="0"/>
        </w:rPr>
        <w:t xml:space="preserve"> </w:t>
      </w:r>
      <w:r w:rsidR="00214E28" w:rsidRPr="00C4007B">
        <w:rPr>
          <w:noProof w:val="0"/>
        </w:rPr>
        <w:t xml:space="preserve">affirmed the reinstatement of the two dismissed union leaders would be essential to </w:t>
      </w:r>
      <w:r w:rsidR="00893356" w:rsidRPr="00C4007B">
        <w:rPr>
          <w:noProof w:val="0"/>
        </w:rPr>
        <w:t xml:space="preserve">restoring workers’ confidence that </w:t>
      </w:r>
      <w:r w:rsidR="00000526">
        <w:rPr>
          <w:noProof w:val="0"/>
        </w:rPr>
        <w:t xml:space="preserve">choosing to </w:t>
      </w:r>
      <w:r w:rsidR="00893356" w:rsidRPr="00C4007B">
        <w:rPr>
          <w:noProof w:val="0"/>
        </w:rPr>
        <w:t xml:space="preserve">form, join or lead </w:t>
      </w:r>
      <w:r w:rsidR="00024C93" w:rsidRPr="00C4007B">
        <w:rPr>
          <w:noProof w:val="0"/>
        </w:rPr>
        <w:t>a union</w:t>
      </w:r>
      <w:r w:rsidR="006B08ED" w:rsidRPr="00C4007B">
        <w:rPr>
          <w:noProof w:val="0"/>
        </w:rPr>
        <w:t xml:space="preserve"> </w:t>
      </w:r>
      <w:r w:rsidR="00024C93" w:rsidRPr="00C4007B">
        <w:rPr>
          <w:noProof w:val="0"/>
        </w:rPr>
        <w:t>would not be met with disciplinary action</w:t>
      </w:r>
      <w:r w:rsidR="006B08ED" w:rsidRPr="00C4007B">
        <w:rPr>
          <w:noProof w:val="0"/>
        </w:rPr>
        <w:t>, transfer</w:t>
      </w:r>
      <w:r w:rsidR="00024C93" w:rsidRPr="00C4007B">
        <w:rPr>
          <w:noProof w:val="0"/>
        </w:rPr>
        <w:t xml:space="preserve"> or dismissal.</w:t>
      </w:r>
      <w:r w:rsidR="006B08ED" w:rsidRPr="002D7810">
        <w:rPr>
          <w:rStyle w:val="FootnoteReference"/>
          <w:noProof w:val="0"/>
        </w:rPr>
        <w:footnoteReference w:id="7"/>
      </w:r>
      <w:r w:rsidR="00024C93" w:rsidRPr="002D7810">
        <w:rPr>
          <w:noProof w:val="0"/>
        </w:rPr>
        <w:t xml:space="preserve"> </w:t>
      </w:r>
      <w:r w:rsidR="00ED5630" w:rsidRPr="002D7810">
        <w:rPr>
          <w:noProof w:val="0"/>
        </w:rPr>
        <w:t xml:space="preserve">  </w:t>
      </w:r>
    </w:p>
    <w:p w14:paraId="156315DC" w14:textId="66932EC5" w:rsidR="00AC352D" w:rsidRPr="00C4007B" w:rsidRDefault="00AC352D" w:rsidP="00BA49C7"/>
    <w:p w14:paraId="154A511F" w14:textId="77777777" w:rsidR="003A04EB" w:rsidRPr="00C4007B" w:rsidRDefault="00ED5630" w:rsidP="003A04EB">
      <w:pPr>
        <w:pStyle w:val="Heading2"/>
      </w:pPr>
      <w:bookmarkStart w:id="11" w:name="_Toc27053468"/>
      <w:r w:rsidRPr="00C4007B">
        <w:t>Coca-Cola Amatil response</w:t>
      </w:r>
      <w:bookmarkEnd w:id="11"/>
      <w:r w:rsidRPr="00C4007B">
        <w:t xml:space="preserve"> </w:t>
      </w:r>
    </w:p>
    <w:p w14:paraId="5F16CE94" w14:textId="3FFEAA64" w:rsidR="00CA4CEB" w:rsidRPr="00C4007B" w:rsidRDefault="00526220" w:rsidP="00472F12">
      <w:pPr>
        <w:pStyle w:val="OutlineNumbered1"/>
        <w:rPr>
          <w:noProof w:val="0"/>
        </w:rPr>
      </w:pPr>
      <w:r w:rsidRPr="00C4007B">
        <w:rPr>
          <w:noProof w:val="0"/>
        </w:rPr>
        <w:t>CCA</w:t>
      </w:r>
      <w:r w:rsidR="00A60D4F" w:rsidRPr="00C4007B">
        <w:rPr>
          <w:noProof w:val="0"/>
        </w:rPr>
        <w:t xml:space="preserve"> provided </w:t>
      </w:r>
      <w:r w:rsidR="00E20FD0" w:rsidRPr="00C4007B">
        <w:rPr>
          <w:noProof w:val="0"/>
        </w:rPr>
        <w:t>material in response</w:t>
      </w:r>
      <w:r w:rsidR="00A60D4F" w:rsidRPr="00C4007B">
        <w:rPr>
          <w:noProof w:val="0"/>
        </w:rPr>
        <w:t xml:space="preserve"> to </w:t>
      </w:r>
      <w:r w:rsidR="00F83954" w:rsidRPr="00C4007B">
        <w:rPr>
          <w:noProof w:val="0"/>
        </w:rPr>
        <w:t>both</w:t>
      </w:r>
      <w:r w:rsidR="006140AD">
        <w:rPr>
          <w:noProof w:val="0"/>
        </w:rPr>
        <w:t xml:space="preserve"> the</w:t>
      </w:r>
      <w:r w:rsidR="00F83954" w:rsidRPr="00C4007B">
        <w:rPr>
          <w:noProof w:val="0"/>
        </w:rPr>
        <w:t xml:space="preserve"> </w:t>
      </w:r>
      <w:r w:rsidR="00265D33">
        <w:rPr>
          <w:noProof w:val="0"/>
        </w:rPr>
        <w:t>IUF</w:t>
      </w:r>
      <w:r w:rsidR="00756BA1" w:rsidRPr="00C4007B">
        <w:rPr>
          <w:noProof w:val="0"/>
        </w:rPr>
        <w:t>’s</w:t>
      </w:r>
      <w:r w:rsidR="00941A03" w:rsidRPr="00C4007B">
        <w:rPr>
          <w:noProof w:val="0"/>
        </w:rPr>
        <w:t xml:space="preserve"> complaint and subsequent submission, including copies of</w:t>
      </w:r>
      <w:r w:rsidR="00A60D4F" w:rsidRPr="00C4007B">
        <w:rPr>
          <w:noProof w:val="0"/>
        </w:rPr>
        <w:t xml:space="preserve"> direct correspondence previously exchanged between the </w:t>
      </w:r>
      <w:r w:rsidR="00941A03" w:rsidRPr="00C4007B">
        <w:rPr>
          <w:noProof w:val="0"/>
        </w:rPr>
        <w:t>parties</w:t>
      </w:r>
      <w:r w:rsidR="00A60D4F" w:rsidRPr="00C4007B">
        <w:rPr>
          <w:noProof w:val="0"/>
        </w:rPr>
        <w:t>.</w:t>
      </w:r>
      <w:r w:rsidR="00733FAF" w:rsidRPr="00C4007B">
        <w:rPr>
          <w:noProof w:val="0"/>
        </w:rPr>
        <w:t xml:space="preserve"> </w:t>
      </w:r>
      <w:r w:rsidR="00BC66B3" w:rsidRPr="00C4007B">
        <w:rPr>
          <w:noProof w:val="0"/>
        </w:rPr>
        <w:t xml:space="preserve">Within this material, </w:t>
      </w:r>
      <w:r w:rsidR="00733FAF" w:rsidRPr="00C4007B">
        <w:rPr>
          <w:noProof w:val="0"/>
        </w:rPr>
        <w:t xml:space="preserve">CCA provided </w:t>
      </w:r>
      <w:r w:rsidR="00F83954" w:rsidRPr="00C4007B">
        <w:rPr>
          <w:noProof w:val="0"/>
        </w:rPr>
        <w:t>detailed</w:t>
      </w:r>
      <w:r w:rsidR="00733FAF" w:rsidRPr="00C4007B">
        <w:rPr>
          <w:noProof w:val="0"/>
        </w:rPr>
        <w:t xml:space="preserve"> information on the circumstances regarding the employment decisions </w:t>
      </w:r>
      <w:r w:rsidR="00756BA1" w:rsidRPr="00C4007B">
        <w:rPr>
          <w:noProof w:val="0"/>
        </w:rPr>
        <w:t xml:space="preserve">made in </w:t>
      </w:r>
      <w:r w:rsidR="00756BA1" w:rsidRPr="00C4007B">
        <w:rPr>
          <w:noProof w:val="0"/>
        </w:rPr>
        <w:lastRenderedPageBreak/>
        <w:t>relation to the individuals identified in the complaint</w:t>
      </w:r>
      <w:r w:rsidR="00E20FD0" w:rsidRPr="00C4007B">
        <w:rPr>
          <w:noProof w:val="0"/>
        </w:rPr>
        <w:t xml:space="preserve">. </w:t>
      </w:r>
      <w:r w:rsidR="00352644" w:rsidRPr="00C4007B">
        <w:rPr>
          <w:noProof w:val="0"/>
        </w:rPr>
        <w:t>All material provided by CCA to the AusNCP was shared with permission and in confidence with</w:t>
      </w:r>
      <w:r w:rsidR="006140AD">
        <w:rPr>
          <w:noProof w:val="0"/>
        </w:rPr>
        <w:t xml:space="preserve"> the</w:t>
      </w:r>
      <w:r w:rsidR="00352644" w:rsidRPr="00C4007B">
        <w:rPr>
          <w:noProof w:val="0"/>
        </w:rPr>
        <w:t xml:space="preserve"> </w:t>
      </w:r>
      <w:r w:rsidR="00265D33">
        <w:rPr>
          <w:noProof w:val="0"/>
        </w:rPr>
        <w:t>IUF</w:t>
      </w:r>
      <w:r w:rsidR="00352644" w:rsidRPr="00C4007B">
        <w:rPr>
          <w:noProof w:val="0"/>
        </w:rPr>
        <w:t xml:space="preserve">. </w:t>
      </w:r>
      <w:r w:rsidR="00FC3A96" w:rsidRPr="00C4007B">
        <w:rPr>
          <w:noProof w:val="0"/>
        </w:rPr>
        <w:t xml:space="preserve">  </w:t>
      </w:r>
    </w:p>
    <w:p w14:paraId="08FFE613" w14:textId="77777777" w:rsidR="00472F12" w:rsidRPr="00C4007B" w:rsidRDefault="00751BB4" w:rsidP="00472F12">
      <w:pPr>
        <w:pStyle w:val="OutlineNumbered1"/>
        <w:rPr>
          <w:noProof w:val="0"/>
        </w:rPr>
      </w:pPr>
      <w:r w:rsidRPr="00C4007B">
        <w:rPr>
          <w:noProof w:val="0"/>
        </w:rPr>
        <w:t xml:space="preserve">CCA asserted </w:t>
      </w:r>
      <w:r w:rsidR="00E20FD0" w:rsidRPr="00C4007B">
        <w:rPr>
          <w:noProof w:val="0"/>
        </w:rPr>
        <w:t xml:space="preserve">it had been fully involved </w:t>
      </w:r>
      <w:r w:rsidR="00CA4CEB" w:rsidRPr="00C4007B">
        <w:rPr>
          <w:noProof w:val="0"/>
        </w:rPr>
        <w:t xml:space="preserve">in </w:t>
      </w:r>
      <w:r w:rsidRPr="00C4007B">
        <w:rPr>
          <w:noProof w:val="0"/>
        </w:rPr>
        <w:t>the</w:t>
      </w:r>
      <w:r w:rsidR="000E7F09" w:rsidRPr="00C4007B">
        <w:rPr>
          <w:noProof w:val="0"/>
        </w:rPr>
        <w:t xml:space="preserve"> complaint and</w:t>
      </w:r>
      <w:r w:rsidRPr="00C4007B">
        <w:rPr>
          <w:noProof w:val="0"/>
        </w:rPr>
        <w:t xml:space="preserve"> mediation process conducted under the auspices of the US NCP</w:t>
      </w:r>
      <w:r w:rsidR="00B178E1" w:rsidRPr="00C4007B">
        <w:rPr>
          <w:noProof w:val="0"/>
        </w:rPr>
        <w:t xml:space="preserve">. CCA </w:t>
      </w:r>
      <w:r w:rsidR="00E25E54" w:rsidRPr="00C4007B">
        <w:rPr>
          <w:noProof w:val="0"/>
        </w:rPr>
        <w:t>noted</w:t>
      </w:r>
      <w:r w:rsidR="00B178E1" w:rsidRPr="00C4007B">
        <w:rPr>
          <w:noProof w:val="0"/>
        </w:rPr>
        <w:t xml:space="preserve"> it was </w:t>
      </w:r>
      <w:r w:rsidR="00CA4CEB" w:rsidRPr="00C4007B">
        <w:rPr>
          <w:noProof w:val="0"/>
        </w:rPr>
        <w:t>involve</w:t>
      </w:r>
      <w:r w:rsidR="00B178E1" w:rsidRPr="00C4007B">
        <w:rPr>
          <w:noProof w:val="0"/>
        </w:rPr>
        <w:t>d</w:t>
      </w:r>
      <w:r w:rsidR="00CA4CEB" w:rsidRPr="00C4007B">
        <w:rPr>
          <w:noProof w:val="0"/>
        </w:rPr>
        <w:t xml:space="preserve"> in </w:t>
      </w:r>
      <w:r w:rsidR="0084325F" w:rsidRPr="00C4007B">
        <w:rPr>
          <w:noProof w:val="0"/>
        </w:rPr>
        <w:br/>
      </w:r>
      <w:r w:rsidRPr="00C4007B">
        <w:rPr>
          <w:noProof w:val="0"/>
        </w:rPr>
        <w:t xml:space="preserve">pre-attendance conference calls, </w:t>
      </w:r>
      <w:r w:rsidR="00BD4B5B" w:rsidRPr="00C4007B">
        <w:rPr>
          <w:noProof w:val="0"/>
        </w:rPr>
        <w:t>provid</w:t>
      </w:r>
      <w:r w:rsidR="00B178E1" w:rsidRPr="00C4007B">
        <w:rPr>
          <w:noProof w:val="0"/>
        </w:rPr>
        <w:t>ed</w:t>
      </w:r>
      <w:r w:rsidR="00BD4B5B" w:rsidRPr="00C4007B">
        <w:rPr>
          <w:noProof w:val="0"/>
        </w:rPr>
        <w:t xml:space="preserve"> detailed submissions, </w:t>
      </w:r>
      <w:r w:rsidR="00807851" w:rsidRPr="00C4007B">
        <w:rPr>
          <w:noProof w:val="0"/>
        </w:rPr>
        <w:t>ensur</w:t>
      </w:r>
      <w:r w:rsidR="00B178E1" w:rsidRPr="00C4007B">
        <w:rPr>
          <w:noProof w:val="0"/>
        </w:rPr>
        <w:t>ed</w:t>
      </w:r>
      <w:r w:rsidR="00807851" w:rsidRPr="00C4007B">
        <w:rPr>
          <w:noProof w:val="0"/>
        </w:rPr>
        <w:t xml:space="preserve"> </w:t>
      </w:r>
      <w:r w:rsidRPr="00C4007B">
        <w:rPr>
          <w:noProof w:val="0"/>
        </w:rPr>
        <w:t>two senior</w:t>
      </w:r>
      <w:r w:rsidR="00CA4CEB" w:rsidRPr="00C4007B">
        <w:rPr>
          <w:noProof w:val="0"/>
        </w:rPr>
        <w:t xml:space="preserve"> CCA</w:t>
      </w:r>
      <w:r w:rsidRPr="00C4007B">
        <w:rPr>
          <w:noProof w:val="0"/>
        </w:rPr>
        <w:t xml:space="preserve"> members </w:t>
      </w:r>
      <w:r w:rsidR="00B178E1" w:rsidRPr="00C4007B">
        <w:rPr>
          <w:noProof w:val="0"/>
        </w:rPr>
        <w:t>participated in</w:t>
      </w:r>
      <w:r w:rsidRPr="00C4007B">
        <w:rPr>
          <w:noProof w:val="0"/>
        </w:rPr>
        <w:t xml:space="preserve"> the mediation process</w:t>
      </w:r>
      <w:r w:rsidR="00BD4B5B" w:rsidRPr="00C4007B">
        <w:rPr>
          <w:noProof w:val="0"/>
        </w:rPr>
        <w:t xml:space="preserve"> in Washington DC</w:t>
      </w:r>
      <w:r w:rsidR="00E20FD0" w:rsidRPr="00C4007B">
        <w:rPr>
          <w:noProof w:val="0"/>
        </w:rPr>
        <w:t>,</w:t>
      </w:r>
      <w:r w:rsidRPr="00C4007B">
        <w:rPr>
          <w:noProof w:val="0"/>
        </w:rPr>
        <w:t xml:space="preserve"> and </w:t>
      </w:r>
      <w:r w:rsidR="00B178E1" w:rsidRPr="00C4007B">
        <w:rPr>
          <w:noProof w:val="0"/>
        </w:rPr>
        <w:t xml:space="preserve">was </w:t>
      </w:r>
      <w:r w:rsidR="00CA4CEB" w:rsidRPr="00C4007B">
        <w:rPr>
          <w:noProof w:val="0"/>
        </w:rPr>
        <w:t>involve</w:t>
      </w:r>
      <w:r w:rsidR="00B178E1" w:rsidRPr="00C4007B">
        <w:rPr>
          <w:noProof w:val="0"/>
        </w:rPr>
        <w:t>d</w:t>
      </w:r>
      <w:r w:rsidR="00CA4CEB" w:rsidRPr="00C4007B">
        <w:rPr>
          <w:noProof w:val="0"/>
        </w:rPr>
        <w:t xml:space="preserve"> in </w:t>
      </w:r>
      <w:r w:rsidRPr="00C4007B">
        <w:rPr>
          <w:noProof w:val="0"/>
        </w:rPr>
        <w:t>final calls</w:t>
      </w:r>
      <w:r w:rsidR="00FC3A96" w:rsidRPr="00C4007B">
        <w:rPr>
          <w:noProof w:val="0"/>
        </w:rPr>
        <w:t xml:space="preserve"> following this process</w:t>
      </w:r>
      <w:r w:rsidRPr="00C4007B">
        <w:rPr>
          <w:noProof w:val="0"/>
        </w:rPr>
        <w:t xml:space="preserve">. </w:t>
      </w:r>
    </w:p>
    <w:p w14:paraId="5C2A265D" w14:textId="77777777" w:rsidR="009738C3" w:rsidRPr="00C4007B" w:rsidRDefault="009738C3" w:rsidP="00472F12">
      <w:pPr>
        <w:pStyle w:val="Heading1"/>
      </w:pPr>
      <w:bookmarkStart w:id="12" w:name="_Toc27053469"/>
      <w:r w:rsidRPr="00C4007B">
        <w:t>Relevant OECD Guidelines</w:t>
      </w:r>
      <w:bookmarkEnd w:id="12"/>
      <w:r w:rsidR="00F65ECD" w:rsidRPr="00C4007B">
        <w:t xml:space="preserve"> </w:t>
      </w:r>
    </w:p>
    <w:p w14:paraId="580EB838" w14:textId="27DB89C8" w:rsidR="0076026C" w:rsidRPr="00C4007B" w:rsidRDefault="0076026C" w:rsidP="00F67F9E">
      <w:pPr>
        <w:pStyle w:val="OutlineNumbered1"/>
        <w:rPr>
          <w:noProof w:val="0"/>
        </w:rPr>
      </w:pPr>
      <w:r w:rsidRPr="00C4007B">
        <w:t>The complaint submitted by</w:t>
      </w:r>
      <w:r w:rsidR="006140AD">
        <w:t xml:space="preserve"> the</w:t>
      </w:r>
      <w:r w:rsidRPr="00C4007B">
        <w:t xml:space="preserve"> </w:t>
      </w:r>
      <w:r w:rsidR="00265D33">
        <w:t>IUF</w:t>
      </w:r>
      <w:r w:rsidRPr="00C4007B">
        <w:t xml:space="preserve"> alleged that CCA </w:t>
      </w:r>
      <w:r w:rsidR="004D1D85" w:rsidRPr="00C4007B">
        <w:t>breached certain parapgraphs of</w:t>
      </w:r>
      <w:r w:rsidRPr="00C4007B">
        <w:t xml:space="preserve"> the OECD Guidelines</w:t>
      </w:r>
      <w:r w:rsidR="004D1D85" w:rsidRPr="00C4007B">
        <w:t xml:space="preserve">, specifically the following: </w:t>
      </w:r>
    </w:p>
    <w:p w14:paraId="47BE0E8A" w14:textId="77777777" w:rsidR="0076026C" w:rsidRPr="0066283E" w:rsidRDefault="0076026C" w:rsidP="0076026C">
      <w:pPr>
        <w:pStyle w:val="OutlineNumbered1"/>
        <w:numPr>
          <w:ilvl w:val="0"/>
          <w:numId w:val="0"/>
        </w:numPr>
        <w:ind w:firstLine="425"/>
        <w:rPr>
          <w:b/>
        </w:rPr>
      </w:pPr>
      <w:r w:rsidRPr="0066283E">
        <w:rPr>
          <w:b/>
        </w:rPr>
        <w:t>Chapter V: Employment and Industrial Relations</w:t>
      </w:r>
    </w:p>
    <w:p w14:paraId="6140A7F0" w14:textId="77777777" w:rsidR="004D1D85" w:rsidRPr="00C4007B" w:rsidRDefault="004D1D85" w:rsidP="004D1D85">
      <w:pPr>
        <w:pStyle w:val="OutlineNumbered1"/>
        <w:numPr>
          <w:ilvl w:val="0"/>
          <w:numId w:val="0"/>
        </w:numPr>
        <w:ind w:left="425"/>
      </w:pPr>
      <w:r w:rsidRPr="00C4007B">
        <w:t>Enterprises should, within the framework of applicable law, regulations and prevailing labour relations and employment practices and applicable international labour standards:</w:t>
      </w:r>
    </w:p>
    <w:p w14:paraId="087779EF" w14:textId="77777777" w:rsidR="002656B7" w:rsidRPr="00C4007B" w:rsidRDefault="002656B7" w:rsidP="004D1D85">
      <w:pPr>
        <w:pStyle w:val="OutlineNumbered1"/>
        <w:numPr>
          <w:ilvl w:val="0"/>
          <w:numId w:val="0"/>
        </w:numPr>
        <w:ind w:left="425"/>
      </w:pPr>
      <w:r w:rsidRPr="00C4007B">
        <w:t xml:space="preserve">1. a) </w:t>
      </w:r>
      <w:r w:rsidR="004D1D85" w:rsidRPr="00C4007B">
        <w:t xml:space="preserve">Respect the right of workers employed by the multinational enterprise to establish or join trade unions and representative organisations of their own choosing. </w:t>
      </w:r>
    </w:p>
    <w:p w14:paraId="6A8D6DD5" w14:textId="77777777" w:rsidR="002656B7" w:rsidRPr="00C4007B" w:rsidRDefault="002656B7" w:rsidP="004D1D85">
      <w:pPr>
        <w:pStyle w:val="OutlineNumbered1"/>
        <w:numPr>
          <w:ilvl w:val="0"/>
          <w:numId w:val="0"/>
        </w:numPr>
        <w:ind w:left="425"/>
      </w:pPr>
      <w:r w:rsidRPr="00C4007B">
        <w:t xml:space="preserve">1. </w:t>
      </w:r>
      <w:r w:rsidR="004D1D85" w:rsidRPr="00C4007B">
        <w:t xml:space="preserve">b) Respect the right of workers employed by the multinational enterprise to have trade unions and representative organisations of their own choosing recognised for the purpose of collective bargaining, and engage in constructive negotiations, either individually or through employers' associations, with such representatives with a view to reaching agreements on terms and conditions of employment. </w:t>
      </w:r>
    </w:p>
    <w:p w14:paraId="4EBB846E" w14:textId="77777777" w:rsidR="0076026C" w:rsidRPr="00C4007B" w:rsidRDefault="004D1D85" w:rsidP="004D1D85">
      <w:pPr>
        <w:pStyle w:val="OutlineNumbered1"/>
        <w:numPr>
          <w:ilvl w:val="0"/>
          <w:numId w:val="0"/>
        </w:numPr>
        <w:ind w:left="425"/>
      </w:pPr>
      <w:r w:rsidRPr="00C4007B">
        <w:t>8. Enable authorised representatives of the workers in their employment to negotiate on collective bargaining or labour-management relations issues and allow the parties to consult on matters of mutual concern with representatives of management who are authorised to take decisions on these matters.</w:t>
      </w:r>
    </w:p>
    <w:p w14:paraId="0AD45A10" w14:textId="77777777" w:rsidR="00614E11" w:rsidRPr="0066283E" w:rsidRDefault="00614E11" w:rsidP="00614E11">
      <w:pPr>
        <w:pStyle w:val="OutlineNumbered1"/>
        <w:numPr>
          <w:ilvl w:val="0"/>
          <w:numId w:val="0"/>
        </w:numPr>
        <w:ind w:firstLine="425"/>
        <w:rPr>
          <w:b/>
        </w:rPr>
      </w:pPr>
      <w:r w:rsidRPr="0066283E">
        <w:rPr>
          <w:b/>
        </w:rPr>
        <w:t>Chapter IV: Human Rights</w:t>
      </w:r>
    </w:p>
    <w:p w14:paraId="0F8FD316" w14:textId="77777777" w:rsidR="00614E11" w:rsidRPr="00C4007B" w:rsidRDefault="00614E11" w:rsidP="004D1D85">
      <w:pPr>
        <w:pStyle w:val="OutlineNumbered1"/>
        <w:numPr>
          <w:ilvl w:val="0"/>
          <w:numId w:val="0"/>
        </w:numPr>
        <w:ind w:left="425"/>
      </w:pPr>
      <w:r w:rsidRPr="00C4007B">
        <w:t xml:space="preserve">States have the duty to protect human rights. Enterprises should, within the framework of internationally recognised human rights, the international human rights obligations of the countries in which they operate as well as relevant domestic laws and regulations: </w:t>
      </w:r>
    </w:p>
    <w:p w14:paraId="1BA19A1B" w14:textId="77777777" w:rsidR="00614E11" w:rsidRPr="00C4007B" w:rsidRDefault="00614E11" w:rsidP="004D1D85">
      <w:pPr>
        <w:pStyle w:val="OutlineNumbered1"/>
        <w:numPr>
          <w:ilvl w:val="0"/>
          <w:numId w:val="0"/>
        </w:numPr>
        <w:ind w:left="425"/>
      </w:pPr>
      <w:r w:rsidRPr="00C4007B">
        <w:t xml:space="preserve">1. Respect human rights, which means they should avoid infringing on the human rights of others and should address adverse human rights impacts with which they are involved. </w:t>
      </w:r>
    </w:p>
    <w:p w14:paraId="21A1D09B" w14:textId="77777777" w:rsidR="00D86C0A" w:rsidRPr="00C4007B" w:rsidRDefault="00614E11" w:rsidP="00D86C0A">
      <w:pPr>
        <w:pStyle w:val="OutlineNumbered1"/>
        <w:numPr>
          <w:ilvl w:val="0"/>
          <w:numId w:val="0"/>
        </w:numPr>
        <w:ind w:left="425"/>
      </w:pPr>
      <w:r w:rsidRPr="00C4007B">
        <w:t>2. Within the context of their own activities, avoid causing or contributing to adverse human rights impacts and address such impacts when they occur.</w:t>
      </w:r>
    </w:p>
    <w:p w14:paraId="57CC9922" w14:textId="77777777" w:rsidR="00D86C0A" w:rsidRPr="00C4007B" w:rsidRDefault="00D86C0A">
      <w:pPr>
        <w:spacing w:after="200" w:line="276" w:lineRule="auto"/>
        <w:jc w:val="left"/>
        <w:rPr>
          <w:rFonts w:ascii="Calibri" w:hAnsi="Calibri" w:cs="Arial"/>
          <w:b/>
          <w:caps/>
          <w:noProof w:val="0"/>
          <w:color w:val="3A87C8"/>
          <w:kern w:val="32"/>
          <w:sz w:val="44"/>
          <w:szCs w:val="36"/>
        </w:rPr>
      </w:pPr>
    </w:p>
    <w:p w14:paraId="5F1B8A7C" w14:textId="147CD4D9" w:rsidR="004D24CE" w:rsidRPr="00C4007B" w:rsidRDefault="00CE7C52" w:rsidP="00605AB0">
      <w:pPr>
        <w:pStyle w:val="Heading1"/>
      </w:pPr>
      <w:bookmarkStart w:id="13" w:name="_Toc27053470"/>
      <w:r w:rsidRPr="00C4007B">
        <w:t>Initial A</w:t>
      </w:r>
      <w:r w:rsidR="004D24CE" w:rsidRPr="00C4007B">
        <w:t>ssessment</w:t>
      </w:r>
      <w:bookmarkEnd w:id="9"/>
      <w:bookmarkEnd w:id="10"/>
      <w:bookmarkEnd w:id="13"/>
      <w:r w:rsidR="004D24CE" w:rsidRPr="00C4007B">
        <w:t xml:space="preserve"> </w:t>
      </w:r>
    </w:p>
    <w:p w14:paraId="3E9CAEC8" w14:textId="68224CB0" w:rsidR="00D1759D" w:rsidRPr="00C4007B" w:rsidRDefault="00BA63CF" w:rsidP="00CE7C52">
      <w:pPr>
        <w:pStyle w:val="OutlineNumbered1"/>
      </w:pPr>
      <w:r w:rsidRPr="00C4007B">
        <w:t>Consistent with the OECD</w:t>
      </w:r>
      <w:r w:rsidR="009F2549">
        <w:t>’s procedural guidance</w:t>
      </w:r>
      <w:r w:rsidRPr="00C4007B">
        <w:t xml:space="preserve"> for handling complaints to NCPs</w:t>
      </w:r>
      <w:r w:rsidR="00122272">
        <w:t xml:space="preserve"> and the AusNCP complaint procedures</w:t>
      </w:r>
      <w:r w:rsidR="0066283E">
        <w:t>, the AusNCP commenced an i</w:t>
      </w:r>
      <w:r w:rsidRPr="00C4007B">
        <w:t xml:space="preserve">nitial </w:t>
      </w:r>
      <w:r w:rsidR="0066283E">
        <w:t>a</w:t>
      </w:r>
      <w:r w:rsidRPr="00C4007B">
        <w:t>ssessment as to whether the matters raised warranted further consideration under the OECD Guidelines.</w:t>
      </w:r>
      <w:r w:rsidR="00CE7C52" w:rsidRPr="002D7810">
        <w:t xml:space="preserve"> </w:t>
      </w:r>
      <w:r w:rsidR="00AD5B8D">
        <w:t>The</w:t>
      </w:r>
      <w:r w:rsidR="00C30B0C" w:rsidRPr="00C4007B">
        <w:t xml:space="preserve"> AusNCP forwarded the complaint to CCA on</w:t>
      </w:r>
      <w:r w:rsidR="00345A28" w:rsidRPr="00C4007B">
        <w:t xml:space="preserve"> 10 July </w:t>
      </w:r>
      <w:r w:rsidR="00CE7C52" w:rsidRPr="00C4007B">
        <w:t>with an invitation to provide a response</w:t>
      </w:r>
      <w:r w:rsidR="00B436F3" w:rsidRPr="00C4007B">
        <w:t xml:space="preserve">. </w:t>
      </w:r>
      <w:r w:rsidR="00345A28" w:rsidRPr="00C4007B">
        <w:t>CCA</w:t>
      </w:r>
      <w:r w:rsidR="00B436F3" w:rsidRPr="00C4007B">
        <w:t xml:space="preserve"> provided the AusNCP with a </w:t>
      </w:r>
      <w:r w:rsidR="00B32E14" w:rsidRPr="00C4007B">
        <w:t>response</w:t>
      </w:r>
      <w:r w:rsidR="00B436F3" w:rsidRPr="00C4007B">
        <w:t xml:space="preserve"> on </w:t>
      </w:r>
      <w:r w:rsidR="00345A28" w:rsidRPr="00C4007B">
        <w:t>5 August</w:t>
      </w:r>
      <w:r w:rsidR="00F35258">
        <w:t>.</w:t>
      </w:r>
    </w:p>
    <w:p w14:paraId="1BEA128A" w14:textId="7EF0192F" w:rsidR="00F83954" w:rsidRPr="001E568F" w:rsidRDefault="00345A28" w:rsidP="003065AE">
      <w:pPr>
        <w:pStyle w:val="OutlineNumbered1"/>
      </w:pPr>
      <w:r w:rsidRPr="002D7810">
        <w:t xml:space="preserve">The AusNCP spoke by telephone </w:t>
      </w:r>
      <w:r w:rsidRPr="001E568F">
        <w:t>with</w:t>
      </w:r>
      <w:r w:rsidR="006140AD" w:rsidRPr="001E568F">
        <w:t xml:space="preserve"> the</w:t>
      </w:r>
      <w:r w:rsidRPr="001E568F">
        <w:t xml:space="preserve"> </w:t>
      </w:r>
      <w:r w:rsidR="00265D33" w:rsidRPr="001E568F">
        <w:t>IUF</w:t>
      </w:r>
      <w:r w:rsidRPr="001E568F">
        <w:t xml:space="preserve"> on 15 </w:t>
      </w:r>
      <w:r w:rsidR="00BA63CF" w:rsidRPr="001E568F">
        <w:t xml:space="preserve">August </w:t>
      </w:r>
      <w:r w:rsidRPr="001E568F">
        <w:t xml:space="preserve">and invited </w:t>
      </w:r>
      <w:r w:rsidR="006140AD" w:rsidRPr="001E568F">
        <w:t xml:space="preserve">the </w:t>
      </w:r>
      <w:r w:rsidR="00265D33" w:rsidRPr="001E568F">
        <w:t>IUF</w:t>
      </w:r>
      <w:r w:rsidRPr="001E568F">
        <w:t xml:space="preserve"> to make a further submission</w:t>
      </w:r>
      <w:r w:rsidR="00545389" w:rsidRPr="001E568F">
        <w:t xml:space="preserve">. The AusNCP </w:t>
      </w:r>
      <w:r w:rsidR="006A3FCD" w:rsidRPr="001E568F">
        <w:t>encouraged</w:t>
      </w:r>
      <w:r w:rsidR="006140AD" w:rsidRPr="001E568F">
        <w:t xml:space="preserve"> the</w:t>
      </w:r>
      <w:r w:rsidR="006A3FCD" w:rsidRPr="001E568F">
        <w:t xml:space="preserve"> </w:t>
      </w:r>
      <w:r w:rsidR="00265D33" w:rsidRPr="001E568F">
        <w:t>IUF</w:t>
      </w:r>
      <w:r w:rsidR="00B54D1A" w:rsidRPr="001E568F">
        <w:t xml:space="preserve"> in its additional submission</w:t>
      </w:r>
      <w:r w:rsidR="006A3FCD" w:rsidRPr="001E568F">
        <w:t xml:space="preserve"> to reflect on any developments</w:t>
      </w:r>
      <w:r w:rsidR="00607991" w:rsidRPr="001E568F">
        <w:t xml:space="preserve"> or objectives</w:t>
      </w:r>
      <w:r w:rsidR="006A3FCD" w:rsidRPr="001E568F">
        <w:t xml:space="preserve"> that might be materially different to the matters already considered by the US</w:t>
      </w:r>
      <w:r w:rsidR="00B54D1A" w:rsidRPr="001E568F">
        <w:t xml:space="preserve"> </w:t>
      </w:r>
      <w:r w:rsidR="006A3FCD" w:rsidRPr="001E568F">
        <w:t>NCP.</w:t>
      </w:r>
      <w:r w:rsidR="00F35258" w:rsidRPr="001E568F">
        <w:rPr>
          <w:rStyle w:val="FootnoteReference"/>
        </w:rPr>
        <w:footnoteReference w:id="8"/>
      </w:r>
      <w:r w:rsidRPr="001E568F">
        <w:t xml:space="preserve"> </w:t>
      </w:r>
    </w:p>
    <w:p w14:paraId="137768F1" w14:textId="41E3263C" w:rsidR="00345A28" w:rsidRPr="001E568F" w:rsidRDefault="00F83954" w:rsidP="00B74E64">
      <w:pPr>
        <w:pStyle w:val="OutlineNumbered1"/>
      </w:pPr>
      <w:r w:rsidRPr="001E568F">
        <w:t>The AusNCP spoke by telephone with CCA on 16 August</w:t>
      </w:r>
      <w:r w:rsidR="00CE7C52" w:rsidRPr="001E568F">
        <w:t xml:space="preserve"> to outline the extended initial assessment process</w:t>
      </w:r>
      <w:r w:rsidR="00BA63CF" w:rsidRPr="001E568F">
        <w:t xml:space="preserve">. </w:t>
      </w:r>
      <w:r w:rsidR="00545389" w:rsidRPr="001E568F">
        <w:t xml:space="preserve">The AusNCP </w:t>
      </w:r>
      <w:r w:rsidR="00345A28" w:rsidRPr="001E568F">
        <w:t>received</w:t>
      </w:r>
      <w:r w:rsidR="00545389" w:rsidRPr="001E568F">
        <w:t xml:space="preserve"> </w:t>
      </w:r>
      <w:r w:rsidR="006140AD" w:rsidRPr="001E568F">
        <w:t xml:space="preserve">the </w:t>
      </w:r>
      <w:r w:rsidR="00265D33" w:rsidRPr="001E568F">
        <w:t>IUF</w:t>
      </w:r>
      <w:r w:rsidR="00545389" w:rsidRPr="001E568F">
        <w:t>’s further submission</w:t>
      </w:r>
      <w:r w:rsidR="00345A28" w:rsidRPr="001E568F">
        <w:t xml:space="preserve"> on 29 August</w:t>
      </w:r>
      <w:r w:rsidR="00BA63CF" w:rsidRPr="001E568F">
        <w:t xml:space="preserve"> and shared this with permission with CCA. </w:t>
      </w:r>
      <w:r w:rsidR="00345A28" w:rsidRPr="001E568F">
        <w:t xml:space="preserve">CCA </w:t>
      </w:r>
      <w:r w:rsidR="00BA63CF" w:rsidRPr="001E568F">
        <w:t>provided a response</w:t>
      </w:r>
      <w:r w:rsidR="00345A28" w:rsidRPr="001E568F">
        <w:t xml:space="preserve"> </w:t>
      </w:r>
      <w:r w:rsidR="00BA63CF" w:rsidRPr="001E568F">
        <w:t xml:space="preserve">to </w:t>
      </w:r>
      <w:r w:rsidR="006140AD" w:rsidRPr="001E568F">
        <w:t xml:space="preserve">the </w:t>
      </w:r>
      <w:r w:rsidR="00265D33" w:rsidRPr="001E568F">
        <w:t>IUF</w:t>
      </w:r>
      <w:r w:rsidR="00BA63CF" w:rsidRPr="001E568F">
        <w:t xml:space="preserve">’s further submission </w:t>
      </w:r>
      <w:r w:rsidR="00345A28" w:rsidRPr="001E568F">
        <w:t>on 5 September</w:t>
      </w:r>
      <w:r w:rsidR="00E20DB7" w:rsidRPr="001E568F">
        <w:t xml:space="preserve">, which was shared </w:t>
      </w:r>
      <w:r w:rsidR="002C3DCC" w:rsidRPr="001E568F">
        <w:t xml:space="preserve">by </w:t>
      </w:r>
      <w:r w:rsidR="00E20DB7" w:rsidRPr="001E568F">
        <w:t>permission with</w:t>
      </w:r>
      <w:r w:rsidR="006140AD" w:rsidRPr="001E568F">
        <w:t xml:space="preserve"> the</w:t>
      </w:r>
      <w:r w:rsidR="00E20DB7" w:rsidRPr="001E568F">
        <w:t xml:space="preserve"> </w:t>
      </w:r>
      <w:r w:rsidR="00265D33" w:rsidRPr="001E568F">
        <w:t>IUF</w:t>
      </w:r>
      <w:r w:rsidR="00345A28" w:rsidRPr="001E568F">
        <w:t>.</w:t>
      </w:r>
      <w:r w:rsidR="006A3FCD" w:rsidRPr="001E568F">
        <w:t xml:space="preserve"> </w:t>
      </w:r>
    </w:p>
    <w:p w14:paraId="171064AA" w14:textId="77777777" w:rsidR="006F15AA" w:rsidRDefault="00CE7C52">
      <w:pPr>
        <w:pStyle w:val="OutlineNumbered1"/>
      </w:pPr>
      <w:r w:rsidRPr="00C4007B">
        <w:t>T</w:t>
      </w:r>
      <w:r w:rsidR="00D8244B" w:rsidRPr="00C4007B">
        <w:t>he AusNCP considered the complaint and material provided by</w:t>
      </w:r>
      <w:r w:rsidR="00E20DB7" w:rsidRPr="00C4007B">
        <w:t xml:space="preserve"> </w:t>
      </w:r>
      <w:r w:rsidR="00D8244B" w:rsidRPr="00C4007B">
        <w:t>the parties</w:t>
      </w:r>
      <w:r w:rsidRPr="00C4007B">
        <w:t xml:space="preserve"> in accordance with the AusNCP procedures and the principles set out in the OECD Procedural Guidance and Commentary, to</w:t>
      </w:r>
      <w:r w:rsidR="00DF0DE5" w:rsidRPr="00C4007B">
        <w:t xml:space="preserve"> determin</w:t>
      </w:r>
      <w:r w:rsidRPr="00C4007B">
        <w:t>e</w:t>
      </w:r>
      <w:r w:rsidR="00D8244B" w:rsidRPr="00C4007B">
        <w:t xml:space="preserve"> whether the complaint was raised in good faith and relevant to the implementation of the Guidelines.</w:t>
      </w:r>
    </w:p>
    <w:p w14:paraId="67019953" w14:textId="59631579" w:rsidR="00D8244B" w:rsidRPr="00C4007B" w:rsidRDefault="00861103">
      <w:pPr>
        <w:pStyle w:val="OutlineNumbered1"/>
      </w:pPr>
      <w:r>
        <w:t xml:space="preserve">The </w:t>
      </w:r>
      <w:r w:rsidRPr="00C4007B">
        <w:t>OECD</w:t>
      </w:r>
      <w:r>
        <w:t>’s procedural guidance</w:t>
      </w:r>
      <w:r w:rsidRPr="00C4007B">
        <w:t xml:space="preserve"> </w:t>
      </w:r>
      <w:r>
        <w:t>instructs</w:t>
      </w:r>
      <w:r w:rsidR="006F15AA">
        <w:t xml:space="preserve"> NCPs </w:t>
      </w:r>
      <w:r>
        <w:t>conducting Initial Assessments to</w:t>
      </w:r>
      <w:r w:rsidR="006F15AA">
        <w:t xml:space="preserve"> take into account: </w:t>
      </w:r>
      <w:r w:rsidR="00D8244B" w:rsidRPr="00C4007B">
        <w:t xml:space="preserve"> </w:t>
      </w:r>
    </w:p>
    <w:p w14:paraId="6C6285EE" w14:textId="77777777" w:rsidR="00D8244B" w:rsidRPr="00C4007B" w:rsidRDefault="00D8244B" w:rsidP="00A76573">
      <w:pPr>
        <w:pStyle w:val="OutlineNumbered1"/>
        <w:numPr>
          <w:ilvl w:val="0"/>
          <w:numId w:val="18"/>
        </w:numPr>
        <w:rPr>
          <w:noProof w:val="0"/>
        </w:rPr>
      </w:pPr>
      <w:r w:rsidRPr="00C4007B">
        <w:rPr>
          <w:noProof w:val="0"/>
        </w:rPr>
        <w:t>the identity of the party concerned and its interest in the matter</w:t>
      </w:r>
      <w:r w:rsidR="00C16110" w:rsidRPr="00C4007B">
        <w:rPr>
          <w:noProof w:val="0"/>
        </w:rPr>
        <w:t>;</w:t>
      </w:r>
    </w:p>
    <w:p w14:paraId="1AB8F18D" w14:textId="77777777" w:rsidR="00D8244B" w:rsidRPr="00C4007B" w:rsidRDefault="00D8244B" w:rsidP="00A76573">
      <w:pPr>
        <w:pStyle w:val="OutlineNumbered1"/>
        <w:numPr>
          <w:ilvl w:val="0"/>
          <w:numId w:val="18"/>
        </w:numPr>
        <w:rPr>
          <w:noProof w:val="0"/>
        </w:rPr>
      </w:pPr>
      <w:r w:rsidRPr="00C4007B">
        <w:rPr>
          <w:noProof w:val="0"/>
        </w:rPr>
        <w:t>whether the issue was material and substantiated</w:t>
      </w:r>
      <w:r w:rsidR="00C16110" w:rsidRPr="00C4007B">
        <w:rPr>
          <w:noProof w:val="0"/>
        </w:rPr>
        <w:t>;</w:t>
      </w:r>
    </w:p>
    <w:p w14:paraId="44176BE4" w14:textId="77777777" w:rsidR="00D8244B" w:rsidRPr="00C4007B" w:rsidRDefault="00D8244B" w:rsidP="00A76573">
      <w:pPr>
        <w:pStyle w:val="OutlineNumbered1"/>
        <w:numPr>
          <w:ilvl w:val="0"/>
          <w:numId w:val="18"/>
        </w:numPr>
        <w:rPr>
          <w:noProof w:val="0"/>
        </w:rPr>
      </w:pPr>
      <w:r w:rsidRPr="00C4007B">
        <w:rPr>
          <w:noProof w:val="0"/>
        </w:rPr>
        <w:t>whether there seemed to be a link between the enterprise’s activities and the issue raised in the complaint</w:t>
      </w:r>
      <w:r w:rsidR="00C16110" w:rsidRPr="00C4007B">
        <w:rPr>
          <w:noProof w:val="0"/>
        </w:rPr>
        <w:t>;</w:t>
      </w:r>
    </w:p>
    <w:p w14:paraId="5192D01C" w14:textId="77777777" w:rsidR="00D8244B" w:rsidRPr="00C4007B" w:rsidRDefault="00D8244B" w:rsidP="00A76573">
      <w:pPr>
        <w:pStyle w:val="OutlineNumbered1"/>
        <w:numPr>
          <w:ilvl w:val="0"/>
          <w:numId w:val="18"/>
        </w:numPr>
        <w:rPr>
          <w:noProof w:val="0"/>
        </w:rPr>
      </w:pPr>
      <w:r w:rsidRPr="00C4007B">
        <w:rPr>
          <w:noProof w:val="0"/>
        </w:rPr>
        <w:t>the relevance of applicable laws and procedures, including court rulings</w:t>
      </w:r>
      <w:r w:rsidR="00C16110" w:rsidRPr="00C4007B">
        <w:rPr>
          <w:noProof w:val="0"/>
        </w:rPr>
        <w:t>;</w:t>
      </w:r>
    </w:p>
    <w:p w14:paraId="0846AA8D" w14:textId="77777777" w:rsidR="00D8244B" w:rsidRPr="00C4007B" w:rsidRDefault="00D8244B" w:rsidP="00A76573">
      <w:pPr>
        <w:pStyle w:val="OutlineNumbered1"/>
        <w:numPr>
          <w:ilvl w:val="0"/>
          <w:numId w:val="18"/>
        </w:numPr>
        <w:rPr>
          <w:noProof w:val="0"/>
        </w:rPr>
      </w:pPr>
      <w:r w:rsidRPr="00C4007B">
        <w:rPr>
          <w:noProof w:val="0"/>
        </w:rPr>
        <w:t>how similar issues have been, or are being, treated in other domestic or international proceedings</w:t>
      </w:r>
      <w:r w:rsidR="00C16110" w:rsidRPr="00C4007B">
        <w:rPr>
          <w:noProof w:val="0"/>
        </w:rPr>
        <w:t>; and</w:t>
      </w:r>
    </w:p>
    <w:p w14:paraId="37233AF8" w14:textId="3637D1BE" w:rsidR="00A10741" w:rsidRPr="00C4007B" w:rsidRDefault="00D8244B" w:rsidP="00607991">
      <w:pPr>
        <w:pStyle w:val="OutlineNumbered1"/>
        <w:numPr>
          <w:ilvl w:val="0"/>
          <w:numId w:val="18"/>
        </w:numPr>
        <w:rPr>
          <w:noProof w:val="0"/>
        </w:rPr>
      </w:pPr>
      <w:r w:rsidRPr="00C4007B">
        <w:rPr>
          <w:noProof w:val="0"/>
        </w:rPr>
        <w:lastRenderedPageBreak/>
        <w:t xml:space="preserve">whether </w:t>
      </w:r>
      <w:r w:rsidR="00C16110" w:rsidRPr="00C4007B">
        <w:rPr>
          <w:noProof w:val="0"/>
        </w:rPr>
        <w:t>consideration</w:t>
      </w:r>
      <w:r w:rsidRPr="00C4007B">
        <w:rPr>
          <w:noProof w:val="0"/>
        </w:rPr>
        <w:t xml:space="preserve"> of the complaint would contribute to the purposes and e</w:t>
      </w:r>
      <w:r w:rsidR="00BE7EF5">
        <w:rPr>
          <w:noProof w:val="0"/>
        </w:rPr>
        <w:t>ffectiveness of the Guidelines.</w:t>
      </w:r>
      <w:r w:rsidR="00E5045C" w:rsidRPr="00E5045C">
        <w:rPr>
          <w:rStyle w:val="FootnoteReference"/>
          <w:noProof w:val="0"/>
        </w:rPr>
        <w:t xml:space="preserve"> </w:t>
      </w:r>
      <w:r w:rsidR="00E5045C">
        <w:rPr>
          <w:rStyle w:val="FootnoteReference"/>
          <w:noProof w:val="0"/>
        </w:rPr>
        <w:footnoteReference w:id="9"/>
      </w:r>
    </w:p>
    <w:p w14:paraId="1C967F81" w14:textId="4D58D2D8" w:rsidR="00A10741" w:rsidRPr="001E568F" w:rsidRDefault="006F15AA">
      <w:pPr>
        <w:pStyle w:val="OutlineNumbered1"/>
        <w:rPr>
          <w:noProof w:val="0"/>
        </w:rPr>
      </w:pPr>
      <w:r w:rsidRPr="001E568F">
        <w:rPr>
          <w:noProof w:val="0"/>
        </w:rPr>
        <w:t xml:space="preserve">In light of the US NCP process, the final criterion was considered particularly relevant in the AusNCP’s decision on this case. </w:t>
      </w:r>
    </w:p>
    <w:p w14:paraId="1A8217E2" w14:textId="1A968C71" w:rsidR="003B2FE9" w:rsidRPr="00C4007B" w:rsidRDefault="003B2FE9">
      <w:pPr>
        <w:pStyle w:val="OutlineNumbered1"/>
      </w:pPr>
      <w:r w:rsidRPr="00C4007B">
        <w:t>T</w:t>
      </w:r>
      <w:r w:rsidR="00A21E2B" w:rsidRPr="00C4007B">
        <w:t>he</w:t>
      </w:r>
      <w:r w:rsidR="00F426D4" w:rsidRPr="00C4007B">
        <w:t xml:space="preserve"> AusNCP’s</w:t>
      </w:r>
      <w:r w:rsidR="00A21E2B" w:rsidRPr="00C4007B">
        <w:t xml:space="preserve"> </w:t>
      </w:r>
      <w:hyperlink r:id="rId37" w:history="1">
        <w:r w:rsidR="00A21E2B" w:rsidRPr="00E5045C">
          <w:rPr>
            <w:rStyle w:val="Hyperlink"/>
            <w:b w:val="0"/>
          </w:rPr>
          <w:t>previous</w:t>
        </w:r>
        <w:r w:rsidR="00F426D4" w:rsidRPr="00E5045C">
          <w:rPr>
            <w:rStyle w:val="Hyperlink"/>
            <w:b w:val="0"/>
          </w:rPr>
          <w:t xml:space="preserve"> complaint</w:t>
        </w:r>
        <w:r w:rsidR="00A21E2B" w:rsidRPr="00E5045C">
          <w:rPr>
            <w:rStyle w:val="Hyperlink"/>
            <w:b w:val="0"/>
          </w:rPr>
          <w:t xml:space="preserve"> procedures</w:t>
        </w:r>
      </w:hyperlink>
      <w:r w:rsidR="00F426D4" w:rsidRPr="00C4007B">
        <w:t xml:space="preserve">, under which </w:t>
      </w:r>
      <w:r w:rsidR="000A0135" w:rsidRPr="00C4007B">
        <w:t xml:space="preserve">management of </w:t>
      </w:r>
      <w:r w:rsidR="00F426D4" w:rsidRPr="00C4007B">
        <w:t xml:space="preserve">this case </w:t>
      </w:r>
      <w:r w:rsidR="000A0135" w:rsidRPr="00C4007B">
        <w:t>commenced</w:t>
      </w:r>
      <w:r w:rsidR="00F426D4" w:rsidRPr="00C4007B">
        <w:t>,</w:t>
      </w:r>
      <w:r w:rsidR="00A21E2B" w:rsidRPr="00C4007B">
        <w:t xml:space="preserve"> </w:t>
      </w:r>
      <w:r w:rsidRPr="00C4007B">
        <w:t>note</w:t>
      </w:r>
      <w:r w:rsidR="000A0135" w:rsidRPr="00C4007B">
        <w:t>d</w:t>
      </w:r>
      <w:r w:rsidRPr="00C4007B">
        <w:t xml:space="preserve"> at Paragraph 3.3</w:t>
      </w:r>
      <w:r w:rsidR="0084325F" w:rsidRPr="00C4007B">
        <w:t>:</w:t>
      </w:r>
      <w:r w:rsidRPr="00C4007B">
        <w:t xml:space="preserve"> </w:t>
      </w:r>
    </w:p>
    <w:p w14:paraId="0BDB0B60" w14:textId="77777777" w:rsidR="000A0135" w:rsidRPr="002D7810" w:rsidRDefault="003B2FE9" w:rsidP="000A0135">
      <w:pPr>
        <w:pStyle w:val="OutlineNumbered1"/>
        <w:numPr>
          <w:ilvl w:val="0"/>
          <w:numId w:val="0"/>
        </w:numPr>
        <w:ind w:left="425"/>
      </w:pPr>
      <w:r w:rsidRPr="00C4007B">
        <w:rPr>
          <w:rFonts w:eastAsiaTheme="minorHAnsi"/>
          <w:i/>
          <w:lang w:eastAsia="en-US"/>
        </w:rPr>
        <w:t>Submissions that concern a matter which the AusNCP or another National Contact Point (NCP) has already handled to completion may not be considered valid if the substance of the submission is not markedly different.</w:t>
      </w:r>
      <w:r w:rsidRPr="002D7810">
        <w:rPr>
          <w:rFonts w:eastAsiaTheme="minorHAnsi"/>
          <w:i/>
          <w:lang w:eastAsia="en-US"/>
        </w:rPr>
        <w:t xml:space="preserve"> </w:t>
      </w:r>
      <w:r w:rsidR="000A0135" w:rsidRPr="002D7810">
        <w:t xml:space="preserve"> </w:t>
      </w:r>
    </w:p>
    <w:p w14:paraId="6D502648" w14:textId="77777777" w:rsidR="000D4E81" w:rsidRPr="002D7810" w:rsidRDefault="00F426D4" w:rsidP="000D4E81">
      <w:pPr>
        <w:pStyle w:val="OutlineNumbered1"/>
      </w:pPr>
      <w:r w:rsidRPr="002D7810">
        <w:t>As the</w:t>
      </w:r>
      <w:r w:rsidR="000D4E81" w:rsidRPr="002D7810">
        <w:t xml:space="preserve"> AusNCP’s</w:t>
      </w:r>
      <w:r w:rsidRPr="002D7810">
        <w:t xml:space="preserve"> </w:t>
      </w:r>
      <w:hyperlink r:id="rId38" w:history="1">
        <w:r w:rsidR="000D4E81" w:rsidRPr="00E5045C">
          <w:t>current</w:t>
        </w:r>
        <w:r w:rsidRPr="00E5045C">
          <w:t xml:space="preserve"> procedures</w:t>
        </w:r>
      </w:hyperlink>
      <w:r w:rsidRPr="002D7810">
        <w:t xml:space="preserve"> entered into force during </w:t>
      </w:r>
      <w:r w:rsidR="000A0135" w:rsidRPr="002D7810">
        <w:t>the AusNCP’s</w:t>
      </w:r>
      <w:r w:rsidRPr="002D7810">
        <w:t xml:space="preserve"> consideration</w:t>
      </w:r>
      <w:r w:rsidR="000A0135" w:rsidRPr="002D7810">
        <w:t xml:space="preserve"> of this case</w:t>
      </w:r>
      <w:r w:rsidRPr="002D7810">
        <w:t xml:space="preserve">, </w:t>
      </w:r>
      <w:r w:rsidR="000A0135" w:rsidRPr="002D7810">
        <w:t xml:space="preserve">the </w:t>
      </w:r>
      <w:r w:rsidR="00B32E14" w:rsidRPr="002D7810">
        <w:t>initial assessment</w:t>
      </w:r>
      <w:r w:rsidR="00E20DB7" w:rsidRPr="002D7810">
        <w:t xml:space="preserve"> also</w:t>
      </w:r>
      <w:r w:rsidR="000A0135" w:rsidRPr="002D7810">
        <w:t xml:space="preserve"> </w:t>
      </w:r>
      <w:r w:rsidR="00B32E14" w:rsidRPr="00C4007B">
        <w:t>gave consideration to</w:t>
      </w:r>
      <w:r w:rsidRPr="00C4007B">
        <w:t xml:space="preserve"> the relevant part of </w:t>
      </w:r>
      <w:r w:rsidR="000A0135" w:rsidRPr="00C4007B">
        <w:t>the</w:t>
      </w:r>
      <w:r w:rsidR="000D4E81" w:rsidRPr="00C4007B">
        <w:t xml:space="preserve"> revised</w:t>
      </w:r>
      <w:r w:rsidR="000A0135" w:rsidRPr="00C4007B">
        <w:t xml:space="preserve"> </w:t>
      </w:r>
      <w:r w:rsidRPr="00C4007B">
        <w:t>procedures</w:t>
      </w:r>
      <w:r w:rsidR="000D4E81" w:rsidRPr="00C4007B">
        <w:t>, specifically:</w:t>
      </w:r>
    </w:p>
    <w:p w14:paraId="36D99224" w14:textId="77777777" w:rsidR="000D4E81" w:rsidRPr="00C4007B" w:rsidRDefault="000D4E81" w:rsidP="000D4E81">
      <w:pPr>
        <w:pStyle w:val="OutlineNumbered1"/>
        <w:numPr>
          <w:ilvl w:val="0"/>
          <w:numId w:val="0"/>
        </w:numPr>
        <w:ind w:left="425"/>
        <w:rPr>
          <w:rFonts w:eastAsiaTheme="minorHAnsi"/>
          <w:i/>
          <w:lang w:eastAsia="en-US"/>
        </w:rPr>
      </w:pPr>
      <w:r w:rsidRPr="00C4007B">
        <w:rPr>
          <w:rFonts w:eastAsiaTheme="minorHAnsi"/>
          <w:i/>
          <w:lang w:eastAsia="en-US"/>
        </w:rPr>
        <w:t xml:space="preserve">4.5. Complaints concerning a matter that the AusNCP or another NCP is currently handling, or has already handled to completion, will undergo a process of evaluation in the initial assessment stage. </w:t>
      </w:r>
    </w:p>
    <w:p w14:paraId="6C0192B4" w14:textId="25E33932" w:rsidR="00DB5A56" w:rsidRPr="00BF62E1" w:rsidRDefault="000D4E81" w:rsidP="009C1861">
      <w:pPr>
        <w:pStyle w:val="OutlineNumbered1"/>
        <w:numPr>
          <w:ilvl w:val="0"/>
          <w:numId w:val="0"/>
        </w:numPr>
        <w:ind w:left="425"/>
        <w:rPr>
          <w:rFonts w:eastAsiaTheme="minorHAnsi"/>
          <w:i/>
          <w:lang w:eastAsia="en-US"/>
        </w:rPr>
      </w:pPr>
      <w:r w:rsidRPr="00C4007B">
        <w:rPr>
          <w:rFonts w:eastAsiaTheme="minorHAnsi"/>
          <w:i/>
          <w:lang w:eastAsia="en-US"/>
        </w:rPr>
        <w:t xml:space="preserve">4.5.1. This process will determine whether an offer of further good offices by the AusNCP is likely to contribute positively to resolving the issues raised. Such complaints may not be considered valid if the substance of the complaint is not </w:t>
      </w:r>
      <w:r w:rsidRPr="00BF62E1">
        <w:rPr>
          <w:rFonts w:eastAsiaTheme="minorHAnsi"/>
          <w:i/>
          <w:lang w:eastAsia="en-US"/>
        </w:rPr>
        <w:t>markedly different.</w:t>
      </w:r>
      <w:r w:rsidR="00F133B1" w:rsidRPr="00BF62E1">
        <w:rPr>
          <w:rStyle w:val="FootnoteReference"/>
          <w:rFonts w:eastAsiaTheme="minorHAnsi"/>
          <w:i/>
          <w:lang w:eastAsia="en-US"/>
        </w:rPr>
        <w:footnoteReference w:id="10"/>
      </w:r>
      <w:r w:rsidRPr="00BF62E1">
        <w:rPr>
          <w:rFonts w:eastAsiaTheme="minorHAnsi"/>
          <w:i/>
          <w:lang w:eastAsia="en-US"/>
        </w:rPr>
        <w:t xml:space="preserve"> </w:t>
      </w:r>
    </w:p>
    <w:p w14:paraId="046F1AF3" w14:textId="639D793D" w:rsidR="00A03333" w:rsidRPr="00BF62E1" w:rsidRDefault="004B1112" w:rsidP="00A03333">
      <w:pPr>
        <w:pStyle w:val="OutlineNumbered1"/>
      </w:pPr>
      <w:r w:rsidRPr="00BF62E1">
        <w:t>After the final statement had been drafted and shared with the parties, a</w:t>
      </w:r>
      <w:r w:rsidR="00A03333" w:rsidRPr="00BF62E1">
        <w:t xml:space="preserve">t </w:t>
      </w:r>
      <w:r w:rsidR="006140AD">
        <w:t xml:space="preserve">the </w:t>
      </w:r>
      <w:r w:rsidR="00265D33">
        <w:t>IUF</w:t>
      </w:r>
      <w:r w:rsidR="00A03333" w:rsidRPr="00BF62E1">
        <w:t xml:space="preserve">’s request, the AusNCP consulted </w:t>
      </w:r>
      <w:r w:rsidR="00A3155F" w:rsidRPr="00BF62E1">
        <w:t xml:space="preserve">again with </w:t>
      </w:r>
      <w:r w:rsidR="00A03333" w:rsidRPr="00BF62E1">
        <w:t xml:space="preserve">the US NCP </w:t>
      </w:r>
      <w:r w:rsidR="00403642" w:rsidRPr="00BF62E1">
        <w:t>in relation to</w:t>
      </w:r>
      <w:r w:rsidR="00A03333" w:rsidRPr="00BF62E1">
        <w:t xml:space="preserve"> the </w:t>
      </w:r>
      <w:r w:rsidR="00EE0735" w:rsidRPr="00BF62E1">
        <w:t>case. T</w:t>
      </w:r>
      <w:r w:rsidR="00A03333" w:rsidRPr="00BF62E1">
        <w:t xml:space="preserve">he NCPs </w:t>
      </w:r>
      <w:r w:rsidR="00EE0735" w:rsidRPr="00BF62E1">
        <w:t>agreed that</w:t>
      </w:r>
      <w:r w:rsidR="00A03333" w:rsidRPr="00BF62E1">
        <w:t xml:space="preserve"> the parties, issues and objectives of the complaint to the AusNCP were substantially similar to what had already been canvassed in the US NCP case</w:t>
      </w:r>
      <w:r w:rsidR="00AA65D3" w:rsidRPr="00BF62E1">
        <w:t>, negating the utility of accepting or transferring the case</w:t>
      </w:r>
      <w:r w:rsidR="00A03333" w:rsidRPr="00BF62E1">
        <w:t>.</w:t>
      </w:r>
      <w:r w:rsidRPr="00BF62E1">
        <w:t xml:space="preserve"> </w:t>
      </w:r>
    </w:p>
    <w:p w14:paraId="094FAE4C" w14:textId="77C0EFE5" w:rsidR="0003487D" w:rsidRPr="009C1861" w:rsidRDefault="00DB5A56">
      <w:pPr>
        <w:pStyle w:val="OutlineNumbered1"/>
      </w:pPr>
      <w:r w:rsidRPr="009C1861">
        <w:t>The decision maker for this case remained the Treasury, as the Independent Examiner had not commenced at the time the complaint was received. However, the Independent Examiner and the AusNCP Governance and Advisory Board were consulted in the formulation of this assessment.</w:t>
      </w:r>
    </w:p>
    <w:p w14:paraId="3B9020EA" w14:textId="459406A5" w:rsidR="00DB5A56" w:rsidRPr="009C1861" w:rsidRDefault="00DB5A56" w:rsidP="009C1861">
      <w:pPr>
        <w:rPr>
          <w:rFonts w:eastAsiaTheme="minorHAnsi"/>
          <w:lang w:eastAsia="en-US"/>
        </w:rPr>
      </w:pPr>
    </w:p>
    <w:p w14:paraId="23ED4195" w14:textId="77777777" w:rsidR="00CF239E" w:rsidRDefault="00CF239E">
      <w:pPr>
        <w:spacing w:after="200" w:line="276" w:lineRule="auto"/>
        <w:jc w:val="left"/>
        <w:rPr>
          <w:rFonts w:ascii="Calibri" w:hAnsi="Calibri" w:cs="Arial"/>
          <w:b/>
          <w:noProof w:val="0"/>
          <w:color w:val="3A87C8"/>
          <w:kern w:val="32"/>
          <w:sz w:val="32"/>
          <w:szCs w:val="26"/>
        </w:rPr>
      </w:pPr>
      <w:r>
        <w:br w:type="page"/>
      </w:r>
    </w:p>
    <w:p w14:paraId="398B1491" w14:textId="1137C780" w:rsidR="00925DEA" w:rsidRPr="002D7810" w:rsidRDefault="00F426D4" w:rsidP="000F37B7">
      <w:pPr>
        <w:pStyle w:val="Heading3"/>
      </w:pPr>
      <w:r w:rsidRPr="00C4007B">
        <w:lastRenderedPageBreak/>
        <w:t>R</w:t>
      </w:r>
      <w:r w:rsidR="000726F1" w:rsidRPr="00C4007B">
        <w:t xml:space="preserve">elated </w:t>
      </w:r>
      <w:r w:rsidR="00925DEA" w:rsidRPr="00C4007B">
        <w:t>proceedings</w:t>
      </w:r>
      <w:r w:rsidR="000F37B7" w:rsidRPr="002D7810">
        <w:t xml:space="preserve"> </w:t>
      </w:r>
    </w:p>
    <w:p w14:paraId="740D347E" w14:textId="77777777" w:rsidR="00C412A3" w:rsidRDefault="0009035A">
      <w:pPr>
        <w:pStyle w:val="OutlineNumbered1"/>
      </w:pPr>
      <w:r w:rsidRPr="00C4007B">
        <w:t>The</w:t>
      </w:r>
      <w:r w:rsidR="00BF3AD3" w:rsidRPr="00C4007B">
        <w:t xml:space="preserve"> US NCP led a complaint process involving</w:t>
      </w:r>
      <w:r w:rsidRPr="00C4007B">
        <w:t xml:space="preserve"> </w:t>
      </w:r>
      <w:r w:rsidR="00BF3AD3" w:rsidRPr="00C4007B">
        <w:t xml:space="preserve">the </w:t>
      </w:r>
      <w:r w:rsidRPr="00C4007B">
        <w:t>IUF and CCA</w:t>
      </w:r>
      <w:r w:rsidR="00BF3AD3" w:rsidRPr="00C4007B">
        <w:t xml:space="preserve"> (</w:t>
      </w:r>
      <w:r w:rsidRPr="00C4007B">
        <w:t>as part of TCCC’s mediation team</w:t>
      </w:r>
      <w:r w:rsidR="00BF3AD3" w:rsidRPr="00C4007B">
        <w:t xml:space="preserve">) from </w:t>
      </w:r>
      <w:r w:rsidRPr="00C4007B">
        <w:t>March 2017 to May 2018.</w:t>
      </w:r>
      <w:r w:rsidR="00BF3AD3" w:rsidRPr="00C4007B">
        <w:t xml:space="preserve"> The</w:t>
      </w:r>
      <w:r w:rsidRPr="00C4007B">
        <w:t xml:space="preserve"> </w:t>
      </w:r>
      <w:r w:rsidR="00BF3AD3" w:rsidRPr="00C4007B">
        <w:t>IUF, TCCC, and CCA participated in t</w:t>
      </w:r>
      <w:r w:rsidRPr="00C4007B">
        <w:t xml:space="preserve">hree days of mediation </w:t>
      </w:r>
      <w:r w:rsidR="00BF3AD3" w:rsidRPr="00C4007B">
        <w:t xml:space="preserve">over the period 27 February to 1 March </w:t>
      </w:r>
      <w:r w:rsidRPr="00C4007B">
        <w:t xml:space="preserve">2018 in </w:t>
      </w:r>
      <w:r w:rsidR="00BF3AD3" w:rsidRPr="00C4007B">
        <w:t>Washington, DC, under the auspices of the US NCP and its professional mediation team from Consensus Building Institute.</w:t>
      </w:r>
      <w:r w:rsidRPr="00C4007B">
        <w:t> The mediation pr</w:t>
      </w:r>
      <w:r w:rsidR="00BF3AD3" w:rsidRPr="00C4007B">
        <w:t xml:space="preserve">ocess concluded without agreement between the parties, and </w:t>
      </w:r>
      <w:r w:rsidRPr="00C4007B">
        <w:t xml:space="preserve">the US NCP </w:t>
      </w:r>
      <w:r w:rsidR="00BF3AD3" w:rsidRPr="00C4007B">
        <w:t xml:space="preserve">closed the case and </w:t>
      </w:r>
      <w:r w:rsidRPr="00C4007B">
        <w:t xml:space="preserve">published its </w:t>
      </w:r>
      <w:hyperlink r:id="rId39" w:history="1">
        <w:r w:rsidRPr="00092F09">
          <w:t>final statement</w:t>
        </w:r>
      </w:hyperlink>
      <w:r w:rsidRPr="00C4007B">
        <w:t xml:space="preserve"> </w:t>
      </w:r>
      <w:r w:rsidR="00BF3AD3" w:rsidRPr="00C4007B">
        <w:t>in May 2018</w:t>
      </w:r>
      <w:r w:rsidRPr="00C4007B">
        <w:t>.</w:t>
      </w:r>
      <w:r w:rsidR="00A95281">
        <w:t xml:space="preserve"> </w:t>
      </w:r>
    </w:p>
    <w:p w14:paraId="504DAD1D" w14:textId="76BD4DBF" w:rsidR="000A4699" w:rsidRDefault="00D92DEB" w:rsidP="00642AEE">
      <w:pPr>
        <w:pStyle w:val="OutlineNumbered1"/>
        <w:spacing w:after="200" w:line="276" w:lineRule="auto"/>
        <w:jc w:val="left"/>
      </w:pPr>
      <w:r w:rsidRPr="009C1861">
        <w:t>The AusNCP’s consultation with the US NCP</w:t>
      </w:r>
      <w:r w:rsidR="00C412A3" w:rsidRPr="009C1861">
        <w:t xml:space="preserve"> and with both parties during the course of the initial assessment</w:t>
      </w:r>
      <w:r w:rsidRPr="009C1861">
        <w:t xml:space="preserve"> confirmed all parties</w:t>
      </w:r>
      <w:r w:rsidR="00A95281" w:rsidRPr="009C1861">
        <w:t xml:space="preserve"> took the opportunity to contribute meaningfully to the issues raised over the course of that complaint process.  </w:t>
      </w:r>
    </w:p>
    <w:p w14:paraId="6211E0F1" w14:textId="0AB3AEA0" w:rsidR="001C0590" w:rsidRPr="00C4007B" w:rsidRDefault="00C85E9F" w:rsidP="001C0590">
      <w:pPr>
        <w:pStyle w:val="OutlineNumbered1"/>
      </w:pPr>
      <w:r w:rsidRPr="00C4007B">
        <w:t xml:space="preserve">In correspondence from 29 August 2019, </w:t>
      </w:r>
      <w:r w:rsidR="006140AD">
        <w:t xml:space="preserve">the </w:t>
      </w:r>
      <w:r w:rsidR="00265D33">
        <w:t>IUF</w:t>
      </w:r>
      <w:r w:rsidRPr="00C4007B">
        <w:t xml:space="preserve"> informed the AusNCP that the Indonesia National Human Rights Commission (Komnas-HAM) met with the </w:t>
      </w:r>
      <w:r w:rsidR="00A461BB" w:rsidRPr="00C4007B">
        <w:br/>
      </w:r>
      <w:r w:rsidRPr="00C4007B">
        <w:t xml:space="preserve">IUF-affiliated Union Federation of Food Workers and the Coca-Cola Union in Semarang to investigate the complaint filed by the union. </w:t>
      </w:r>
      <w:r w:rsidR="006140AD">
        <w:t xml:space="preserve">The </w:t>
      </w:r>
      <w:r w:rsidR="00265D33">
        <w:t>IUF</w:t>
      </w:r>
      <w:r w:rsidRPr="00C4007B">
        <w:t xml:space="preserve"> </w:t>
      </w:r>
      <w:r w:rsidR="00AD5B8D">
        <w:t>outlined</w:t>
      </w:r>
      <w:r w:rsidRPr="00C4007B">
        <w:t xml:space="preserve"> the scope of the </w:t>
      </w:r>
      <w:r w:rsidR="00C412A3">
        <w:t>K</w:t>
      </w:r>
      <w:r w:rsidR="00C412A3" w:rsidRPr="00C4007B">
        <w:t>omnas</w:t>
      </w:r>
      <w:r w:rsidRPr="00C4007B">
        <w:t>-HAM investigation</w:t>
      </w:r>
      <w:r w:rsidR="00AD5B8D">
        <w:t>, which</w:t>
      </w:r>
      <w:r w:rsidRPr="00C4007B">
        <w:t xml:space="preserve"> </w:t>
      </w:r>
      <w:r w:rsidR="00492E99" w:rsidRPr="00C4007B">
        <w:t>would include</w:t>
      </w:r>
      <w:r w:rsidR="00A461BB" w:rsidRPr="00C4007B">
        <w:t xml:space="preserve"> </w:t>
      </w:r>
      <w:r w:rsidR="00C412A3">
        <w:t xml:space="preserve">alleged </w:t>
      </w:r>
      <w:r w:rsidR="00A461BB" w:rsidRPr="00C4007B">
        <w:t xml:space="preserve">forced work on public holidays and the alleged unfair dismissals of </w:t>
      </w:r>
      <w:r w:rsidR="00074578" w:rsidRPr="00C4007B">
        <w:t xml:space="preserve">the </w:t>
      </w:r>
      <w:r w:rsidR="00A461BB" w:rsidRPr="00C4007B">
        <w:t>two union leaders</w:t>
      </w:r>
      <w:r w:rsidR="00074578" w:rsidRPr="00C4007B">
        <w:t xml:space="preserve"> raised in the complaint to the US and Australian NCPs</w:t>
      </w:r>
      <w:r w:rsidR="00A461BB" w:rsidRPr="00C4007B">
        <w:t xml:space="preserve">. </w:t>
      </w:r>
    </w:p>
    <w:p w14:paraId="13B90057" w14:textId="6777A934" w:rsidR="00472F12" w:rsidRPr="00C4007B" w:rsidRDefault="00472F12">
      <w:pPr>
        <w:spacing w:after="200" w:line="276" w:lineRule="auto"/>
        <w:jc w:val="left"/>
        <w:rPr>
          <w:rFonts w:ascii="Calibri" w:hAnsi="Calibri" w:cs="Arial"/>
          <w:b/>
          <w:caps/>
          <w:noProof w:val="0"/>
          <w:color w:val="3A87C8"/>
          <w:kern w:val="32"/>
          <w:sz w:val="44"/>
          <w:szCs w:val="36"/>
        </w:rPr>
      </w:pPr>
    </w:p>
    <w:p w14:paraId="3B4EB511" w14:textId="77777777" w:rsidR="004D24CE" w:rsidRPr="00C4007B" w:rsidRDefault="00463413" w:rsidP="00605AB0">
      <w:pPr>
        <w:pStyle w:val="Heading1"/>
      </w:pPr>
      <w:bookmarkStart w:id="14" w:name="_Toc27053471"/>
      <w:r w:rsidRPr="00C4007B">
        <w:t>Conclusion</w:t>
      </w:r>
      <w:bookmarkEnd w:id="14"/>
      <w:r w:rsidR="001C0590" w:rsidRPr="00C4007B">
        <w:t xml:space="preserve"> </w:t>
      </w:r>
    </w:p>
    <w:p w14:paraId="55850E23" w14:textId="5B3B99F0" w:rsidR="00913E55" w:rsidRPr="001E568F" w:rsidRDefault="00667171" w:rsidP="000B17BE">
      <w:pPr>
        <w:pStyle w:val="OutlineNumbered1"/>
        <w:rPr>
          <w:noProof w:val="0"/>
        </w:rPr>
      </w:pPr>
      <w:r w:rsidRPr="00C4007B">
        <w:rPr>
          <w:noProof w:val="0"/>
        </w:rPr>
        <w:t>As part of</w:t>
      </w:r>
      <w:r w:rsidR="00C16110" w:rsidRPr="00C4007B">
        <w:rPr>
          <w:noProof w:val="0"/>
        </w:rPr>
        <w:t xml:space="preserve"> the </w:t>
      </w:r>
      <w:r w:rsidR="00E20DB7" w:rsidRPr="00C4007B">
        <w:rPr>
          <w:noProof w:val="0"/>
        </w:rPr>
        <w:t>i</w:t>
      </w:r>
      <w:r w:rsidR="00C16110" w:rsidRPr="00C4007B">
        <w:rPr>
          <w:noProof w:val="0"/>
        </w:rPr>
        <w:t xml:space="preserve">nitial </w:t>
      </w:r>
      <w:r w:rsidR="00E20DB7" w:rsidRPr="00C4007B">
        <w:rPr>
          <w:noProof w:val="0"/>
        </w:rPr>
        <w:t>a</w:t>
      </w:r>
      <w:r w:rsidR="00C16110" w:rsidRPr="00C4007B">
        <w:rPr>
          <w:noProof w:val="0"/>
        </w:rPr>
        <w:t>ssessment process set out above, the AusNCP</w:t>
      </w:r>
      <w:r w:rsidRPr="00C4007B">
        <w:rPr>
          <w:noProof w:val="0"/>
        </w:rPr>
        <w:t xml:space="preserve"> invited</w:t>
      </w:r>
      <w:r w:rsidR="00C16110" w:rsidRPr="00C4007B">
        <w:rPr>
          <w:noProof w:val="0"/>
        </w:rPr>
        <w:t xml:space="preserve"> </w:t>
      </w:r>
      <w:r w:rsidR="006140AD">
        <w:rPr>
          <w:noProof w:val="0"/>
        </w:rPr>
        <w:t xml:space="preserve">the </w:t>
      </w:r>
      <w:r w:rsidR="00265D33">
        <w:rPr>
          <w:noProof w:val="0"/>
        </w:rPr>
        <w:t>IUF</w:t>
      </w:r>
      <w:r w:rsidRPr="00C4007B">
        <w:rPr>
          <w:noProof w:val="0"/>
        </w:rPr>
        <w:t xml:space="preserve"> to </w:t>
      </w:r>
      <w:r w:rsidR="00522033" w:rsidRPr="00C4007B">
        <w:rPr>
          <w:noProof w:val="0"/>
        </w:rPr>
        <w:t xml:space="preserve">identify </w:t>
      </w:r>
      <w:r w:rsidRPr="001E568F">
        <w:rPr>
          <w:noProof w:val="0"/>
        </w:rPr>
        <w:t>issues</w:t>
      </w:r>
      <w:r w:rsidR="00D347ED" w:rsidRPr="001E568F">
        <w:rPr>
          <w:noProof w:val="0"/>
        </w:rPr>
        <w:t xml:space="preserve"> or objectives</w:t>
      </w:r>
      <w:r w:rsidR="00522033" w:rsidRPr="001E568F">
        <w:rPr>
          <w:noProof w:val="0"/>
        </w:rPr>
        <w:t xml:space="preserve"> materially different to the matters already</w:t>
      </w:r>
      <w:r w:rsidR="00E63DD8" w:rsidRPr="001E568F">
        <w:rPr>
          <w:noProof w:val="0"/>
        </w:rPr>
        <w:t xml:space="preserve"> aired between the parties and</w:t>
      </w:r>
      <w:r w:rsidR="00522033" w:rsidRPr="001E568F">
        <w:rPr>
          <w:noProof w:val="0"/>
        </w:rPr>
        <w:t xml:space="preserve"> considered in the</w:t>
      </w:r>
      <w:r w:rsidRPr="001E568F">
        <w:rPr>
          <w:noProof w:val="0"/>
        </w:rPr>
        <w:t xml:space="preserve"> </w:t>
      </w:r>
      <w:r w:rsidR="00522033" w:rsidRPr="001E568F">
        <w:rPr>
          <w:noProof w:val="0"/>
        </w:rPr>
        <w:t>US NCP</w:t>
      </w:r>
      <w:r w:rsidR="00353976" w:rsidRPr="001E568F">
        <w:rPr>
          <w:noProof w:val="0"/>
        </w:rPr>
        <w:t xml:space="preserve"> complaint</w:t>
      </w:r>
      <w:r w:rsidR="00522033" w:rsidRPr="001E568F">
        <w:rPr>
          <w:noProof w:val="0"/>
        </w:rPr>
        <w:t xml:space="preserve"> process</w:t>
      </w:r>
      <w:r w:rsidR="00631FEF" w:rsidRPr="001E568F">
        <w:rPr>
          <w:noProof w:val="0"/>
        </w:rPr>
        <w:t>.</w:t>
      </w:r>
      <w:r w:rsidR="006140AD" w:rsidRPr="001E568F">
        <w:rPr>
          <w:noProof w:val="0"/>
        </w:rPr>
        <w:t xml:space="preserve"> The</w:t>
      </w:r>
      <w:r w:rsidR="00631FEF" w:rsidRPr="001E568F">
        <w:rPr>
          <w:noProof w:val="0"/>
        </w:rPr>
        <w:t xml:space="preserve"> </w:t>
      </w:r>
      <w:r w:rsidR="00265D33" w:rsidRPr="001E568F">
        <w:rPr>
          <w:noProof w:val="0"/>
        </w:rPr>
        <w:t>IUF</w:t>
      </w:r>
      <w:r w:rsidRPr="001E568F">
        <w:rPr>
          <w:noProof w:val="0"/>
        </w:rPr>
        <w:t xml:space="preserve"> </w:t>
      </w:r>
      <w:r w:rsidR="0084325F" w:rsidRPr="001E568F">
        <w:rPr>
          <w:noProof w:val="0"/>
        </w:rPr>
        <w:t>did</w:t>
      </w:r>
      <w:r w:rsidRPr="001E568F">
        <w:rPr>
          <w:noProof w:val="0"/>
        </w:rPr>
        <w:t xml:space="preserve"> not</w:t>
      </w:r>
      <w:r w:rsidR="00631FEF" w:rsidRPr="001E568F">
        <w:rPr>
          <w:noProof w:val="0"/>
        </w:rPr>
        <w:t xml:space="preserve"> provide </w:t>
      </w:r>
      <w:r w:rsidR="00952051" w:rsidRPr="001E568F">
        <w:rPr>
          <w:noProof w:val="0"/>
        </w:rPr>
        <w:t>materially different</w:t>
      </w:r>
      <w:r w:rsidR="00D347ED" w:rsidRPr="001E568F">
        <w:rPr>
          <w:noProof w:val="0"/>
        </w:rPr>
        <w:t xml:space="preserve"> objectives or</w:t>
      </w:r>
      <w:r w:rsidR="00952051" w:rsidRPr="001E568F">
        <w:rPr>
          <w:noProof w:val="0"/>
        </w:rPr>
        <w:t xml:space="preserve"> </w:t>
      </w:r>
      <w:r w:rsidR="00631FEF" w:rsidRPr="001E568F">
        <w:rPr>
          <w:noProof w:val="0"/>
        </w:rPr>
        <w:t xml:space="preserve">information </w:t>
      </w:r>
      <w:r w:rsidRPr="001E568F">
        <w:rPr>
          <w:noProof w:val="0"/>
        </w:rPr>
        <w:t>in</w:t>
      </w:r>
      <w:r w:rsidR="00E63DD8" w:rsidRPr="001E568F">
        <w:rPr>
          <w:noProof w:val="0"/>
        </w:rPr>
        <w:t xml:space="preserve"> its</w:t>
      </w:r>
      <w:r w:rsidRPr="001E568F">
        <w:rPr>
          <w:noProof w:val="0"/>
        </w:rPr>
        <w:t xml:space="preserve"> </w:t>
      </w:r>
      <w:r w:rsidR="00E63DD8" w:rsidRPr="001E568F">
        <w:rPr>
          <w:noProof w:val="0"/>
        </w:rPr>
        <w:t>subsequent</w:t>
      </w:r>
      <w:r w:rsidRPr="001E568F">
        <w:rPr>
          <w:noProof w:val="0"/>
        </w:rPr>
        <w:t xml:space="preserve"> submission</w:t>
      </w:r>
      <w:r w:rsidR="00522033" w:rsidRPr="001E568F">
        <w:rPr>
          <w:noProof w:val="0"/>
        </w:rPr>
        <w:t>.</w:t>
      </w:r>
      <w:r w:rsidR="0000378E" w:rsidRPr="001E568F">
        <w:rPr>
          <w:noProof w:val="0"/>
        </w:rPr>
        <w:t xml:space="preserve"> </w:t>
      </w:r>
    </w:p>
    <w:p w14:paraId="6C7C410F" w14:textId="77777777" w:rsidR="002D7810" w:rsidRPr="001E568F" w:rsidRDefault="002D7810" w:rsidP="002D7810">
      <w:pPr>
        <w:pStyle w:val="OutlineNumbered1"/>
        <w:rPr>
          <w:b/>
          <w:noProof w:val="0"/>
        </w:rPr>
      </w:pPr>
      <w:r w:rsidRPr="001E568F">
        <w:t xml:space="preserve">Consistent with the </w:t>
      </w:r>
      <w:hyperlink r:id="rId40" w:history="1">
        <w:r w:rsidRPr="001E568F">
          <w:t>AusNCP</w:t>
        </w:r>
      </w:hyperlink>
      <w:r w:rsidRPr="001E568F">
        <w:t xml:space="preserve"> </w:t>
      </w:r>
      <w:hyperlink r:id="rId41" w:history="1">
        <w:r w:rsidRPr="001E568F">
          <w:t>procedures</w:t>
        </w:r>
      </w:hyperlink>
      <w:r w:rsidRPr="001E568F">
        <w:t xml:space="preserve"> and the principles set out in the </w:t>
      </w:r>
      <w:hyperlink r:id="rId42" w:history="1">
        <w:r w:rsidRPr="001E568F">
          <w:t>OECD Procedural Guidance and Commentary</w:t>
        </w:r>
      </w:hyperlink>
      <w:r w:rsidRPr="001E568F">
        <w:t xml:space="preserve">, the AusNCP considered the complaint and reviewed the additional material provided by the parties. </w:t>
      </w:r>
    </w:p>
    <w:p w14:paraId="75D8CF50" w14:textId="188D7AB6" w:rsidR="002D7810" w:rsidRPr="00FA7375" w:rsidRDefault="002D7810">
      <w:pPr>
        <w:pStyle w:val="OutlineNumbered1"/>
        <w:rPr>
          <w:b/>
          <w:noProof w:val="0"/>
        </w:rPr>
      </w:pPr>
      <w:r w:rsidRPr="001E568F">
        <w:t>The AusNCP notes the US NCP’s</w:t>
      </w:r>
      <w:r w:rsidRPr="00C4007B">
        <w:t xml:space="preserve"> standing offer at the conclusion of its complaint process to consider further requests for mediation by the parties. </w:t>
      </w:r>
      <w:r w:rsidR="00FA7375" w:rsidRPr="009C1861">
        <w:t xml:space="preserve">Given </w:t>
      </w:r>
      <w:r w:rsidR="006140AD">
        <w:t xml:space="preserve">the </w:t>
      </w:r>
      <w:r w:rsidR="00265D33">
        <w:t>IUF</w:t>
      </w:r>
      <w:r w:rsidR="00FA7375" w:rsidRPr="009C1861">
        <w:t xml:space="preserve"> did not raise materially different issues or identify objectives different </w:t>
      </w:r>
      <w:r w:rsidR="00193E74" w:rsidRPr="009C1861">
        <w:t>to</w:t>
      </w:r>
      <w:r w:rsidR="00FA7375" w:rsidRPr="009C1861">
        <w:t xml:space="preserve"> those sought from the US NCP process, the AusNCP determined</w:t>
      </w:r>
      <w:r w:rsidR="009C1861" w:rsidRPr="009C1861">
        <w:t xml:space="preserve"> that</w:t>
      </w:r>
      <w:r w:rsidR="00FA7375" w:rsidRPr="009C1861">
        <w:t xml:space="preserve"> </w:t>
      </w:r>
      <w:r w:rsidR="00193E74" w:rsidRPr="009C1861">
        <w:t>establishing a separate process to bring the parties together to re-examine</w:t>
      </w:r>
      <w:r w:rsidR="00FA7375" w:rsidRPr="009C1861">
        <w:t xml:space="preserve"> the issues raised would not contribute to the purposes and effectiveness of the OECD Guidelines.</w:t>
      </w:r>
      <w:r w:rsidR="00FA7375" w:rsidRPr="009C1861">
        <w:rPr>
          <w:color w:val="FF0000"/>
        </w:rPr>
        <w:t xml:space="preserve"> </w:t>
      </w:r>
      <w:r w:rsidR="00FA7375" w:rsidRPr="00193E74">
        <w:t xml:space="preserve">The AusNCP therefore did not accept this complaint. </w:t>
      </w:r>
    </w:p>
    <w:p w14:paraId="0453BBC4" w14:textId="77777777" w:rsidR="00CF239E" w:rsidRDefault="00CF239E">
      <w:pPr>
        <w:spacing w:after="200" w:line="276" w:lineRule="auto"/>
        <w:jc w:val="left"/>
        <w:rPr>
          <w:noProof w:val="0"/>
        </w:rPr>
      </w:pPr>
      <w:r>
        <w:rPr>
          <w:noProof w:val="0"/>
        </w:rPr>
        <w:lastRenderedPageBreak/>
        <w:br w:type="page"/>
      </w:r>
    </w:p>
    <w:p w14:paraId="19961B70" w14:textId="06A94886" w:rsidR="00661BB4" w:rsidRPr="00C4007B" w:rsidRDefault="0000378E" w:rsidP="00E25E54">
      <w:pPr>
        <w:pStyle w:val="OutlineNumbered1"/>
      </w:pPr>
      <w:r w:rsidRPr="00C4007B">
        <w:rPr>
          <w:noProof w:val="0"/>
        </w:rPr>
        <w:lastRenderedPageBreak/>
        <w:t>The AusNCP acknowledges</w:t>
      </w:r>
      <w:r w:rsidR="006140AD">
        <w:rPr>
          <w:noProof w:val="0"/>
        </w:rPr>
        <w:t xml:space="preserve"> the</w:t>
      </w:r>
      <w:r w:rsidR="00BC3ACE" w:rsidRPr="00C4007B">
        <w:rPr>
          <w:noProof w:val="0"/>
        </w:rPr>
        <w:t xml:space="preserve"> </w:t>
      </w:r>
      <w:r w:rsidR="00265D33">
        <w:rPr>
          <w:noProof w:val="0"/>
        </w:rPr>
        <w:t>IUF</w:t>
      </w:r>
      <w:r w:rsidR="00BC3ACE" w:rsidRPr="00C4007B">
        <w:rPr>
          <w:noProof w:val="0"/>
        </w:rPr>
        <w:t>’s view that</w:t>
      </w:r>
      <w:r w:rsidR="003A30AE" w:rsidRPr="00C4007B">
        <w:rPr>
          <w:noProof w:val="0"/>
        </w:rPr>
        <w:t xml:space="preserve"> </w:t>
      </w:r>
      <w:r w:rsidRPr="00C4007B">
        <w:rPr>
          <w:noProof w:val="0"/>
        </w:rPr>
        <w:t xml:space="preserve">CCA was not named as a direct party </w:t>
      </w:r>
      <w:r w:rsidR="002F3E13" w:rsidRPr="00C4007B">
        <w:rPr>
          <w:noProof w:val="0"/>
        </w:rPr>
        <w:t>in</w:t>
      </w:r>
      <w:r w:rsidRPr="00C4007B">
        <w:rPr>
          <w:noProof w:val="0"/>
        </w:rPr>
        <w:t xml:space="preserve"> </w:t>
      </w:r>
      <w:r w:rsidR="00631FEF" w:rsidRPr="00C4007B">
        <w:rPr>
          <w:noProof w:val="0"/>
        </w:rPr>
        <w:t xml:space="preserve">its </w:t>
      </w:r>
      <w:r w:rsidR="002F3E13" w:rsidRPr="00C4007B">
        <w:rPr>
          <w:noProof w:val="0"/>
        </w:rPr>
        <w:t xml:space="preserve">complaint to the </w:t>
      </w:r>
      <w:r w:rsidRPr="00C4007B">
        <w:rPr>
          <w:noProof w:val="0"/>
        </w:rPr>
        <w:t>US NCP</w:t>
      </w:r>
      <w:r w:rsidR="001B4B66" w:rsidRPr="00C4007B">
        <w:rPr>
          <w:noProof w:val="0"/>
        </w:rPr>
        <w:t xml:space="preserve"> and therefore </w:t>
      </w:r>
      <w:r w:rsidR="00352644" w:rsidRPr="00C4007B">
        <w:rPr>
          <w:noProof w:val="0"/>
        </w:rPr>
        <w:t>may have</w:t>
      </w:r>
      <w:r w:rsidR="001B4B66" w:rsidRPr="00C4007B">
        <w:rPr>
          <w:noProof w:val="0"/>
        </w:rPr>
        <w:t xml:space="preserve"> participate</w:t>
      </w:r>
      <w:r w:rsidR="00352644" w:rsidRPr="00C4007B">
        <w:rPr>
          <w:noProof w:val="0"/>
        </w:rPr>
        <w:t>d</w:t>
      </w:r>
      <w:r w:rsidR="001B4B66" w:rsidRPr="00C4007B">
        <w:rPr>
          <w:noProof w:val="0"/>
        </w:rPr>
        <w:t xml:space="preserve"> </w:t>
      </w:r>
      <w:r w:rsidR="00C4007B">
        <w:rPr>
          <w:noProof w:val="0"/>
        </w:rPr>
        <w:t>to</w:t>
      </w:r>
      <w:r w:rsidR="00352644" w:rsidRPr="00C4007B">
        <w:rPr>
          <w:noProof w:val="0"/>
        </w:rPr>
        <w:t xml:space="preserve"> a different </w:t>
      </w:r>
      <w:r w:rsidR="001B4B66" w:rsidRPr="00C4007B">
        <w:rPr>
          <w:noProof w:val="0"/>
        </w:rPr>
        <w:t xml:space="preserve">extent </w:t>
      </w:r>
      <w:r w:rsidR="00352644" w:rsidRPr="00C4007B">
        <w:rPr>
          <w:noProof w:val="0"/>
        </w:rPr>
        <w:t xml:space="preserve">to what </w:t>
      </w:r>
      <w:r w:rsidR="001B4B66" w:rsidRPr="00C4007B">
        <w:rPr>
          <w:noProof w:val="0"/>
        </w:rPr>
        <w:t>might achieved through an AusNCP-led process with CCA as a direct party</w:t>
      </w:r>
      <w:r w:rsidRPr="00C4007B">
        <w:rPr>
          <w:noProof w:val="0"/>
        </w:rPr>
        <w:t>. However, the</w:t>
      </w:r>
      <w:r w:rsidR="00E25E54" w:rsidRPr="00C4007B">
        <w:rPr>
          <w:noProof w:val="0"/>
        </w:rPr>
        <w:t xml:space="preserve"> material provided to the </w:t>
      </w:r>
      <w:r w:rsidRPr="00C4007B">
        <w:rPr>
          <w:noProof w:val="0"/>
        </w:rPr>
        <w:t xml:space="preserve">AusNCP </w:t>
      </w:r>
      <w:r w:rsidR="00E25E54" w:rsidRPr="00C4007B">
        <w:rPr>
          <w:noProof w:val="0"/>
        </w:rPr>
        <w:t xml:space="preserve">demonstrated </w:t>
      </w:r>
      <w:r w:rsidRPr="00C4007B">
        <w:rPr>
          <w:noProof w:val="0"/>
        </w:rPr>
        <w:t xml:space="preserve">CCA </w:t>
      </w:r>
      <w:r w:rsidR="003A30AE" w:rsidRPr="00C4007B">
        <w:rPr>
          <w:noProof w:val="0"/>
        </w:rPr>
        <w:t>effectively</w:t>
      </w:r>
      <w:r w:rsidR="001B4B66" w:rsidRPr="00C4007B">
        <w:rPr>
          <w:noProof w:val="0"/>
        </w:rPr>
        <w:t xml:space="preserve"> participated</w:t>
      </w:r>
      <w:r w:rsidR="003A30AE" w:rsidRPr="00C4007B">
        <w:rPr>
          <w:noProof w:val="0"/>
        </w:rPr>
        <w:t xml:space="preserve"> as a direct party in the US NCP </w:t>
      </w:r>
      <w:r w:rsidR="001B4B66" w:rsidRPr="00C4007B">
        <w:rPr>
          <w:noProof w:val="0"/>
        </w:rPr>
        <w:t xml:space="preserve">mediation </w:t>
      </w:r>
      <w:r w:rsidR="003A30AE" w:rsidRPr="00C4007B">
        <w:rPr>
          <w:noProof w:val="0"/>
        </w:rPr>
        <w:t>process</w:t>
      </w:r>
      <w:r w:rsidR="00921F76" w:rsidRPr="00C4007B">
        <w:rPr>
          <w:noProof w:val="0"/>
        </w:rPr>
        <w:t>.</w:t>
      </w:r>
      <w:r w:rsidR="00E25E54" w:rsidRPr="00C4007B">
        <w:rPr>
          <w:noProof w:val="0"/>
        </w:rPr>
        <w:t xml:space="preserve"> </w:t>
      </w:r>
      <w:r w:rsidR="00921F76" w:rsidRPr="00C4007B">
        <w:rPr>
          <w:noProof w:val="0"/>
        </w:rPr>
        <w:t>I</w:t>
      </w:r>
      <w:r w:rsidR="00E25E54" w:rsidRPr="00C4007B">
        <w:rPr>
          <w:noProof w:val="0"/>
        </w:rPr>
        <w:t>ts involvement was</w:t>
      </w:r>
      <w:r w:rsidR="00921F76" w:rsidRPr="00C4007B">
        <w:rPr>
          <w:noProof w:val="0"/>
        </w:rPr>
        <w:t xml:space="preserve"> also</w:t>
      </w:r>
      <w:r w:rsidR="00E25E54" w:rsidRPr="00C4007B">
        <w:rPr>
          <w:noProof w:val="0"/>
        </w:rPr>
        <w:t xml:space="preserve"> a reflection of</w:t>
      </w:r>
      <w:r w:rsidR="00BC3ACE" w:rsidRPr="00C4007B">
        <w:rPr>
          <w:noProof w:val="0"/>
        </w:rPr>
        <w:t xml:space="preserve"> </w:t>
      </w:r>
      <w:r w:rsidR="00E25E54" w:rsidRPr="00C4007B">
        <w:rPr>
          <w:noProof w:val="0"/>
        </w:rPr>
        <w:t>the</w:t>
      </w:r>
      <w:r w:rsidR="00352644" w:rsidRPr="00C4007B">
        <w:rPr>
          <w:noProof w:val="0"/>
        </w:rPr>
        <w:t xml:space="preserve"> due consideration</w:t>
      </w:r>
      <w:r w:rsidR="00921F76" w:rsidRPr="00C4007B">
        <w:rPr>
          <w:noProof w:val="0"/>
        </w:rPr>
        <w:t xml:space="preserve"> given by the US NCP </w:t>
      </w:r>
      <w:r w:rsidR="00352644" w:rsidRPr="00C4007B">
        <w:rPr>
          <w:noProof w:val="0"/>
        </w:rPr>
        <w:t xml:space="preserve">to </w:t>
      </w:r>
      <w:r w:rsidR="00BC3ACE" w:rsidRPr="00C4007B">
        <w:rPr>
          <w:noProof w:val="0"/>
        </w:rPr>
        <w:t xml:space="preserve">CCA’s role as owner of the facilities named in the complaint </w:t>
      </w:r>
      <w:r w:rsidR="00BC3ACE" w:rsidRPr="00C4007B">
        <w:t>and</w:t>
      </w:r>
      <w:r w:rsidR="000B17BE" w:rsidRPr="00C4007B">
        <w:t xml:space="preserve"> its</w:t>
      </w:r>
      <w:r w:rsidR="00BC3ACE" w:rsidRPr="00C4007B">
        <w:t xml:space="preserve"> related obligations under the OECD Guidelines</w:t>
      </w:r>
      <w:r w:rsidR="00952051" w:rsidRPr="00C4007B">
        <w:t>.</w:t>
      </w:r>
    </w:p>
    <w:p w14:paraId="2EA75667" w14:textId="1D32AFAA" w:rsidR="00E63DD8" w:rsidRDefault="00E63DD8" w:rsidP="00921F76">
      <w:pPr>
        <w:pStyle w:val="OutlineNumbered1"/>
        <w:rPr>
          <w:noProof w:val="0"/>
        </w:rPr>
      </w:pPr>
      <w:r w:rsidRPr="002D7810">
        <w:rPr>
          <w:noProof w:val="0"/>
        </w:rPr>
        <w:t xml:space="preserve">The AusNCP notes both parties </w:t>
      </w:r>
      <w:r w:rsidR="00265D33">
        <w:rPr>
          <w:noProof w:val="0"/>
        </w:rPr>
        <w:t>last</w:t>
      </w:r>
      <w:r w:rsidRPr="002D7810">
        <w:rPr>
          <w:noProof w:val="0"/>
        </w:rPr>
        <w:t xml:space="preserve"> engaged in direct dialogue regarding the matters raised in the complaint</w:t>
      </w:r>
      <w:r w:rsidR="00265D33">
        <w:rPr>
          <w:noProof w:val="0"/>
        </w:rPr>
        <w:t xml:space="preserve"> in April 2019</w:t>
      </w:r>
      <w:r w:rsidRPr="002D7810">
        <w:rPr>
          <w:noProof w:val="0"/>
        </w:rPr>
        <w:t xml:space="preserve">. The AusNCP encourages the parties to </w:t>
      </w:r>
      <w:r w:rsidR="00265D33">
        <w:rPr>
          <w:noProof w:val="0"/>
        </w:rPr>
        <w:t>maintain open and constructive communication channels</w:t>
      </w:r>
      <w:r w:rsidRPr="002D7810">
        <w:rPr>
          <w:noProof w:val="0"/>
        </w:rPr>
        <w:t>.</w:t>
      </w:r>
    </w:p>
    <w:p w14:paraId="2B246B0B" w14:textId="77777777" w:rsidR="009C1861" w:rsidRDefault="009C1861">
      <w:pPr>
        <w:spacing w:after="200" w:line="276" w:lineRule="auto"/>
        <w:jc w:val="left"/>
        <w:rPr>
          <w:rFonts w:ascii="Calibri" w:hAnsi="Calibri" w:cs="Arial"/>
          <w:b/>
          <w:iCs/>
          <w:noProof w:val="0"/>
          <w:color w:val="5B5E60"/>
          <w:kern w:val="32"/>
          <w:sz w:val="36"/>
          <w:szCs w:val="28"/>
        </w:rPr>
      </w:pPr>
      <w:r>
        <w:br w:type="page"/>
      </w:r>
    </w:p>
    <w:p w14:paraId="7D449E72" w14:textId="0CC63679" w:rsidR="000149C8" w:rsidRPr="00C4007B" w:rsidRDefault="000149C8" w:rsidP="00E37976">
      <w:pPr>
        <w:pStyle w:val="Heading2"/>
      </w:pPr>
      <w:bookmarkStart w:id="15" w:name="_Toc27053472"/>
      <w:r w:rsidRPr="00C4007B">
        <w:lastRenderedPageBreak/>
        <w:t>Publications</w:t>
      </w:r>
      <w:bookmarkEnd w:id="15"/>
      <w:r w:rsidR="001C0590" w:rsidRPr="00C4007B">
        <w:t xml:space="preserve"> </w:t>
      </w:r>
    </w:p>
    <w:p w14:paraId="4C7F81D6" w14:textId="77777777" w:rsidR="000149C8" w:rsidRPr="00A47E66" w:rsidRDefault="00B74E64" w:rsidP="00350A19">
      <w:pPr>
        <w:rPr>
          <w:rStyle w:val="Hyperlink"/>
          <w:b w:val="0"/>
          <w:noProof w:val="0"/>
        </w:rPr>
      </w:pPr>
      <w:hyperlink r:id="rId43" w:history="1">
        <w:r w:rsidR="000149C8" w:rsidRPr="00A47E66">
          <w:rPr>
            <w:rStyle w:val="Hyperlink"/>
            <w:b w:val="0"/>
            <w:noProof w:val="0"/>
          </w:rPr>
          <w:t>http://mneguidelines.oecd.org/database/</w:t>
        </w:r>
      </w:hyperlink>
      <w:r w:rsidR="000149C8" w:rsidRPr="00A47E66">
        <w:rPr>
          <w:rStyle w:val="Hyperlink"/>
          <w:b w:val="0"/>
          <w:noProof w:val="0"/>
        </w:rPr>
        <w:t xml:space="preserve"> </w:t>
      </w:r>
    </w:p>
    <w:p w14:paraId="52A4C37C" w14:textId="77777777" w:rsidR="000149C8" w:rsidRPr="00A47E66" w:rsidRDefault="000149C8" w:rsidP="00350A19">
      <w:pPr>
        <w:rPr>
          <w:rStyle w:val="Hyperlink"/>
          <w:b w:val="0"/>
          <w:noProof w:val="0"/>
        </w:rPr>
      </w:pPr>
      <w:r w:rsidRPr="00A47E66">
        <w:rPr>
          <w:rStyle w:val="Hyperlink"/>
          <w:b w:val="0"/>
          <w:noProof w:val="0"/>
        </w:rPr>
        <w:t>http://www.oecd.org/daf/inv/mne/responsible-supply-chains-textile-garment-sector.htm</w:t>
      </w:r>
    </w:p>
    <w:p w14:paraId="15EC5699" w14:textId="77777777" w:rsidR="000149C8" w:rsidRPr="00A47E66" w:rsidRDefault="00B74E64" w:rsidP="00350A19">
      <w:pPr>
        <w:rPr>
          <w:rStyle w:val="Hyperlink"/>
          <w:b w:val="0"/>
          <w:noProof w:val="0"/>
        </w:rPr>
      </w:pPr>
      <w:hyperlink r:id="rId44" w:history="1">
        <w:r w:rsidR="000149C8" w:rsidRPr="00A47E66">
          <w:rPr>
            <w:rStyle w:val="Hyperlink"/>
            <w:b w:val="0"/>
            <w:noProof w:val="0"/>
          </w:rPr>
          <w:t>http://www.ausncp.gov.au/content/Content.aspx?doc=publications.htm</w:t>
        </w:r>
      </w:hyperlink>
    </w:p>
    <w:p w14:paraId="26C2EA4D" w14:textId="498C97C9" w:rsidR="000A4699" w:rsidRDefault="000A4699">
      <w:pPr>
        <w:spacing w:after="200" w:line="276" w:lineRule="auto"/>
        <w:jc w:val="left"/>
        <w:rPr>
          <w:rFonts w:ascii="Calibri" w:hAnsi="Calibri" w:cs="Arial"/>
          <w:b/>
          <w:caps/>
          <w:noProof w:val="0"/>
          <w:color w:val="3A87C8"/>
          <w:kern w:val="32"/>
          <w:sz w:val="44"/>
          <w:szCs w:val="36"/>
        </w:rPr>
      </w:pPr>
      <w:r>
        <w:br w:type="page"/>
      </w:r>
    </w:p>
    <w:p w14:paraId="77F6CE3F" w14:textId="77777777" w:rsidR="00925DEA" w:rsidRPr="00C4007B" w:rsidRDefault="00925DEA" w:rsidP="00605AB0">
      <w:pPr>
        <w:pStyle w:val="Heading1"/>
      </w:pPr>
      <w:bookmarkStart w:id="16" w:name="_Toc27053473"/>
      <w:r w:rsidRPr="00C4007B">
        <w:lastRenderedPageBreak/>
        <w:t>Schedule of events</w:t>
      </w:r>
      <w:bookmarkEnd w:id="16"/>
      <w:r w:rsidR="001C0590" w:rsidRPr="00C4007B">
        <w:t xml:space="preserve"> </w:t>
      </w:r>
    </w:p>
    <w:tbl>
      <w:tblPr>
        <w:tblW w:w="9322" w:type="dxa"/>
        <w:tblLayout w:type="fixed"/>
        <w:tblLook w:val="04A0" w:firstRow="1" w:lastRow="0" w:firstColumn="1" w:lastColumn="0" w:noHBand="0" w:noVBand="1"/>
      </w:tblPr>
      <w:tblGrid>
        <w:gridCol w:w="7054"/>
        <w:gridCol w:w="2268"/>
      </w:tblGrid>
      <w:tr w:rsidR="00925DEA" w:rsidRPr="00C4007B" w14:paraId="32B66D9A" w14:textId="77777777" w:rsidTr="00DF55A2">
        <w:trPr>
          <w:trHeight w:val="275"/>
        </w:trPr>
        <w:tc>
          <w:tcPr>
            <w:tcW w:w="7054" w:type="dxa"/>
            <w:shd w:val="clear" w:color="auto" w:fill="3A87C8"/>
          </w:tcPr>
          <w:p w14:paraId="52534D4F" w14:textId="77777777" w:rsidR="00925DEA" w:rsidRPr="00C4007B" w:rsidRDefault="00586354" w:rsidP="00E37976">
            <w:pPr>
              <w:pStyle w:val="TableColumnHeadingLeft-White"/>
              <w:rPr>
                <w:noProof w:val="0"/>
              </w:rPr>
            </w:pPr>
            <w:r w:rsidRPr="00C4007B">
              <w:rPr>
                <w:noProof w:val="0"/>
              </w:rPr>
              <w:t>Complaint</w:t>
            </w:r>
          </w:p>
        </w:tc>
        <w:tc>
          <w:tcPr>
            <w:tcW w:w="2268" w:type="dxa"/>
            <w:shd w:val="clear" w:color="auto" w:fill="3A87C8"/>
          </w:tcPr>
          <w:p w14:paraId="60C9A471" w14:textId="77777777" w:rsidR="00925DEA" w:rsidRPr="00C4007B" w:rsidRDefault="00DF55A2" w:rsidP="00DF55A2">
            <w:pPr>
              <w:pStyle w:val="TableColumnHeadingCentred"/>
              <w:rPr>
                <w:noProof w:val="0"/>
              </w:rPr>
            </w:pPr>
            <w:r w:rsidRPr="00C4007B">
              <w:rPr>
                <w:noProof w:val="0"/>
              </w:rPr>
              <w:t>Date</w:t>
            </w:r>
          </w:p>
        </w:tc>
      </w:tr>
      <w:tr w:rsidR="00A4117C" w:rsidRPr="00C4007B" w14:paraId="6BB50945" w14:textId="77777777" w:rsidTr="00DF55A2">
        <w:tc>
          <w:tcPr>
            <w:tcW w:w="7054" w:type="dxa"/>
          </w:tcPr>
          <w:p w14:paraId="1B976BAA" w14:textId="77777777" w:rsidR="00A4117C" w:rsidRPr="00C4007B" w:rsidRDefault="00A4117C" w:rsidP="00A4117C">
            <w:pPr>
              <w:pStyle w:val="TableTextLeft-Bullet"/>
              <w:rPr>
                <w:noProof w:val="0"/>
              </w:rPr>
            </w:pPr>
            <w:r w:rsidRPr="00C4007B">
              <w:rPr>
                <w:noProof w:val="0"/>
              </w:rPr>
              <w:t>Complaint submitted to the AusNCP.</w:t>
            </w:r>
          </w:p>
        </w:tc>
        <w:tc>
          <w:tcPr>
            <w:tcW w:w="2268" w:type="dxa"/>
          </w:tcPr>
          <w:p w14:paraId="1B0A0D83" w14:textId="77777777" w:rsidR="00A4117C" w:rsidRPr="00C4007B" w:rsidRDefault="00A4117C" w:rsidP="00A4117C">
            <w:pPr>
              <w:pStyle w:val="TableTextCentered"/>
              <w:rPr>
                <w:noProof w:val="0"/>
              </w:rPr>
            </w:pPr>
            <w:r w:rsidRPr="00C4007B">
              <w:rPr>
                <w:noProof w:val="0"/>
              </w:rPr>
              <w:t>20 June 2019</w:t>
            </w:r>
          </w:p>
        </w:tc>
      </w:tr>
      <w:tr w:rsidR="00925DEA" w:rsidRPr="00C4007B" w14:paraId="74A87CB2" w14:textId="77777777" w:rsidTr="00A4117C">
        <w:tc>
          <w:tcPr>
            <w:tcW w:w="7054" w:type="dxa"/>
            <w:shd w:val="clear" w:color="auto" w:fill="F2F2F2" w:themeFill="background1" w:themeFillShade="F2"/>
          </w:tcPr>
          <w:p w14:paraId="1B317C21" w14:textId="77777777" w:rsidR="00A4117C" w:rsidRPr="00C4007B" w:rsidRDefault="00A4117C" w:rsidP="00A4117C">
            <w:pPr>
              <w:pStyle w:val="TableTextLeft-Bullet"/>
              <w:rPr>
                <w:noProof w:val="0"/>
              </w:rPr>
            </w:pPr>
            <w:r w:rsidRPr="00C4007B">
              <w:rPr>
                <w:noProof w:val="0"/>
              </w:rPr>
              <w:t>Complaint acknowledged by the AusNCP.</w:t>
            </w:r>
          </w:p>
        </w:tc>
        <w:tc>
          <w:tcPr>
            <w:tcW w:w="2268" w:type="dxa"/>
            <w:shd w:val="clear" w:color="auto" w:fill="F2F2F2" w:themeFill="background1" w:themeFillShade="F2"/>
          </w:tcPr>
          <w:p w14:paraId="5473AC5E" w14:textId="77777777" w:rsidR="00A4117C" w:rsidRPr="00C4007B" w:rsidRDefault="00A4117C" w:rsidP="00A4117C">
            <w:pPr>
              <w:pStyle w:val="TableTextCentered"/>
              <w:rPr>
                <w:noProof w:val="0"/>
              </w:rPr>
            </w:pPr>
            <w:r w:rsidRPr="00C4007B">
              <w:rPr>
                <w:noProof w:val="0"/>
              </w:rPr>
              <w:t>24 June 2019</w:t>
            </w:r>
          </w:p>
        </w:tc>
      </w:tr>
      <w:tr w:rsidR="00925DEA" w:rsidRPr="00C4007B" w14:paraId="6ED8BCB4" w14:textId="77777777" w:rsidTr="00A4117C">
        <w:trPr>
          <w:trHeight w:val="275"/>
        </w:trPr>
        <w:tc>
          <w:tcPr>
            <w:tcW w:w="7054" w:type="dxa"/>
            <w:shd w:val="clear" w:color="auto" w:fill="FFFFFF" w:themeFill="background1"/>
          </w:tcPr>
          <w:p w14:paraId="7EC49DBD" w14:textId="77777777" w:rsidR="00925DEA" w:rsidRPr="00C4007B" w:rsidRDefault="00A4117C" w:rsidP="00FB3B21">
            <w:pPr>
              <w:pStyle w:val="TableTextLeft-Bullet"/>
              <w:rPr>
                <w:noProof w:val="0"/>
              </w:rPr>
            </w:pPr>
            <w:r w:rsidRPr="00C4007B">
              <w:rPr>
                <w:noProof w:val="0"/>
              </w:rPr>
              <w:t>AusNCP</w:t>
            </w:r>
            <w:r w:rsidR="00925DEA" w:rsidRPr="00C4007B">
              <w:rPr>
                <w:noProof w:val="0"/>
              </w:rPr>
              <w:t xml:space="preserve"> </w:t>
            </w:r>
            <w:r w:rsidR="00FB3B21">
              <w:rPr>
                <w:noProof w:val="0"/>
              </w:rPr>
              <w:t>notified</w:t>
            </w:r>
            <w:r w:rsidR="00925DEA" w:rsidRPr="00C4007B">
              <w:rPr>
                <w:noProof w:val="0"/>
              </w:rPr>
              <w:t xml:space="preserve"> </w:t>
            </w:r>
            <w:r w:rsidRPr="00C4007B">
              <w:rPr>
                <w:noProof w:val="0"/>
              </w:rPr>
              <w:t>CCA</w:t>
            </w:r>
            <w:r w:rsidR="00FB3B21">
              <w:rPr>
                <w:noProof w:val="0"/>
              </w:rPr>
              <w:t xml:space="preserve"> of complaint</w:t>
            </w:r>
            <w:r w:rsidR="00925DEA" w:rsidRPr="00C4007B">
              <w:rPr>
                <w:noProof w:val="0"/>
              </w:rPr>
              <w:t xml:space="preserve"> </w:t>
            </w:r>
            <w:r w:rsidRPr="00C4007B">
              <w:rPr>
                <w:noProof w:val="0"/>
              </w:rPr>
              <w:t>and invit</w:t>
            </w:r>
            <w:r w:rsidR="00C30B0C" w:rsidRPr="00C4007B">
              <w:rPr>
                <w:noProof w:val="0"/>
              </w:rPr>
              <w:t>ed</w:t>
            </w:r>
            <w:r w:rsidR="00345A28" w:rsidRPr="00C4007B">
              <w:rPr>
                <w:noProof w:val="0"/>
              </w:rPr>
              <w:t xml:space="preserve"> a response. </w:t>
            </w:r>
          </w:p>
        </w:tc>
        <w:tc>
          <w:tcPr>
            <w:tcW w:w="2268" w:type="dxa"/>
            <w:shd w:val="clear" w:color="auto" w:fill="FFFFFF" w:themeFill="background1"/>
          </w:tcPr>
          <w:p w14:paraId="57E45D36" w14:textId="77777777" w:rsidR="00925DEA" w:rsidRPr="00C4007B" w:rsidRDefault="00A4117C" w:rsidP="00A4117C">
            <w:pPr>
              <w:pStyle w:val="TableTextCentered"/>
              <w:rPr>
                <w:noProof w:val="0"/>
              </w:rPr>
            </w:pPr>
            <w:r w:rsidRPr="00C4007B">
              <w:rPr>
                <w:noProof w:val="0"/>
              </w:rPr>
              <w:t>10 July 2019</w:t>
            </w:r>
          </w:p>
        </w:tc>
      </w:tr>
      <w:tr w:rsidR="00A4117C" w:rsidRPr="00C4007B" w14:paraId="5F74ADF7" w14:textId="77777777" w:rsidTr="00DF55A2">
        <w:trPr>
          <w:trHeight w:val="275"/>
        </w:trPr>
        <w:tc>
          <w:tcPr>
            <w:tcW w:w="7054" w:type="dxa"/>
            <w:shd w:val="clear" w:color="auto" w:fill="F2F2F2" w:themeFill="background1" w:themeFillShade="F2"/>
          </w:tcPr>
          <w:p w14:paraId="0BCC284D" w14:textId="77777777" w:rsidR="00A4117C" w:rsidRPr="00C4007B" w:rsidRDefault="00A4117C" w:rsidP="00A4117C">
            <w:pPr>
              <w:pStyle w:val="TableTextLeft-Bullet"/>
              <w:rPr>
                <w:noProof w:val="0"/>
              </w:rPr>
            </w:pPr>
            <w:r w:rsidRPr="00C4007B">
              <w:rPr>
                <w:noProof w:val="0"/>
              </w:rPr>
              <w:t>AusNCP</w:t>
            </w:r>
            <w:r w:rsidR="00FB3B21">
              <w:rPr>
                <w:noProof w:val="0"/>
              </w:rPr>
              <w:t xml:space="preserve"> received CCA response</w:t>
            </w:r>
            <w:r w:rsidRPr="00C4007B">
              <w:rPr>
                <w:noProof w:val="0"/>
              </w:rPr>
              <w:t>.</w:t>
            </w:r>
          </w:p>
        </w:tc>
        <w:tc>
          <w:tcPr>
            <w:tcW w:w="2268" w:type="dxa"/>
            <w:shd w:val="clear" w:color="auto" w:fill="F2F2F2" w:themeFill="background1" w:themeFillShade="F2"/>
          </w:tcPr>
          <w:p w14:paraId="3232BC75" w14:textId="77777777" w:rsidR="00A4117C" w:rsidRPr="00C4007B" w:rsidRDefault="00D228F1" w:rsidP="00D228F1">
            <w:pPr>
              <w:pStyle w:val="TableTextCentered"/>
              <w:rPr>
                <w:noProof w:val="0"/>
              </w:rPr>
            </w:pPr>
            <w:r w:rsidRPr="00C4007B">
              <w:rPr>
                <w:noProof w:val="0"/>
              </w:rPr>
              <w:t>5 August 2019</w:t>
            </w:r>
          </w:p>
        </w:tc>
      </w:tr>
      <w:tr w:rsidR="00A4117C" w:rsidRPr="00C4007B" w14:paraId="1DB3D24F" w14:textId="77777777" w:rsidTr="00D228F1">
        <w:trPr>
          <w:trHeight w:val="275"/>
        </w:trPr>
        <w:tc>
          <w:tcPr>
            <w:tcW w:w="7054" w:type="dxa"/>
            <w:shd w:val="clear" w:color="auto" w:fill="FFFFFF" w:themeFill="background1"/>
          </w:tcPr>
          <w:p w14:paraId="1A42D84A" w14:textId="77777777" w:rsidR="00A4117C" w:rsidRPr="00C4007B" w:rsidRDefault="00FB3B21" w:rsidP="00FB3B21">
            <w:pPr>
              <w:pStyle w:val="TableTextLeft-Bullet"/>
              <w:rPr>
                <w:noProof w:val="0"/>
              </w:rPr>
            </w:pPr>
            <w:r>
              <w:rPr>
                <w:noProof w:val="0"/>
              </w:rPr>
              <w:t xml:space="preserve">AusNCP shared </w:t>
            </w:r>
            <w:r w:rsidR="00D228F1" w:rsidRPr="00C4007B">
              <w:rPr>
                <w:noProof w:val="0"/>
              </w:rPr>
              <w:t xml:space="preserve">CCA response with </w:t>
            </w:r>
            <w:r w:rsidR="0000378E" w:rsidRPr="00C4007B">
              <w:rPr>
                <w:noProof w:val="0"/>
              </w:rPr>
              <w:t>notifier</w:t>
            </w:r>
            <w:r w:rsidR="00D228F1" w:rsidRPr="00C4007B">
              <w:rPr>
                <w:noProof w:val="0"/>
              </w:rPr>
              <w:t>.</w:t>
            </w:r>
          </w:p>
        </w:tc>
        <w:tc>
          <w:tcPr>
            <w:tcW w:w="2268" w:type="dxa"/>
            <w:shd w:val="clear" w:color="auto" w:fill="FFFFFF" w:themeFill="background1"/>
          </w:tcPr>
          <w:p w14:paraId="11705684" w14:textId="77777777" w:rsidR="00A4117C" w:rsidRPr="00C4007B" w:rsidRDefault="00D228F1" w:rsidP="00A4117C">
            <w:pPr>
              <w:pStyle w:val="TableTextCentered"/>
              <w:rPr>
                <w:noProof w:val="0"/>
              </w:rPr>
            </w:pPr>
            <w:r w:rsidRPr="00C4007B">
              <w:rPr>
                <w:noProof w:val="0"/>
              </w:rPr>
              <w:t>7 August 2019</w:t>
            </w:r>
          </w:p>
        </w:tc>
      </w:tr>
      <w:tr w:rsidR="00925DEA" w:rsidRPr="00C4007B" w14:paraId="182FCE12" w14:textId="77777777" w:rsidTr="00DF55A2">
        <w:trPr>
          <w:trHeight w:val="275"/>
        </w:trPr>
        <w:tc>
          <w:tcPr>
            <w:tcW w:w="7054" w:type="dxa"/>
            <w:shd w:val="clear" w:color="auto" w:fill="3A87C8"/>
          </w:tcPr>
          <w:p w14:paraId="1697D7B3" w14:textId="77777777" w:rsidR="00925DEA" w:rsidRPr="00C4007B" w:rsidRDefault="00925DEA" w:rsidP="00DF55A2">
            <w:pPr>
              <w:pStyle w:val="TableColumnHeadingLeft-White"/>
              <w:rPr>
                <w:noProof w:val="0"/>
              </w:rPr>
            </w:pPr>
            <w:r w:rsidRPr="00C4007B">
              <w:rPr>
                <w:noProof w:val="0"/>
              </w:rPr>
              <w:t>Initial Assessment</w:t>
            </w:r>
          </w:p>
        </w:tc>
        <w:tc>
          <w:tcPr>
            <w:tcW w:w="2268" w:type="dxa"/>
            <w:shd w:val="clear" w:color="auto" w:fill="3A87C8"/>
          </w:tcPr>
          <w:p w14:paraId="5A3AADF1" w14:textId="77777777" w:rsidR="00925DEA" w:rsidRPr="00C4007B" w:rsidRDefault="00DF55A2" w:rsidP="00DF55A2">
            <w:pPr>
              <w:pStyle w:val="TableColumnHeadingCentred"/>
              <w:rPr>
                <w:noProof w:val="0"/>
              </w:rPr>
            </w:pPr>
            <w:r w:rsidRPr="00C4007B">
              <w:rPr>
                <w:noProof w:val="0"/>
              </w:rPr>
              <w:t>Date</w:t>
            </w:r>
          </w:p>
        </w:tc>
      </w:tr>
      <w:tr w:rsidR="008B442E" w:rsidRPr="00C4007B" w14:paraId="3618B76B" w14:textId="77777777" w:rsidTr="00DF55A2">
        <w:tc>
          <w:tcPr>
            <w:tcW w:w="7054" w:type="dxa"/>
          </w:tcPr>
          <w:p w14:paraId="7D014201" w14:textId="77777777" w:rsidR="008B442E" w:rsidRPr="00C4007B" w:rsidRDefault="008B442E" w:rsidP="00071095">
            <w:pPr>
              <w:pStyle w:val="TableTextLeft-Bullet"/>
              <w:rPr>
                <w:rFonts w:cs="Arial"/>
                <w:noProof w:val="0"/>
                <w:szCs w:val="20"/>
              </w:rPr>
            </w:pPr>
            <w:r w:rsidRPr="00C4007B">
              <w:rPr>
                <w:rFonts w:cs="Arial"/>
                <w:noProof w:val="0"/>
                <w:szCs w:val="20"/>
              </w:rPr>
              <w:t xml:space="preserve">AusNCP </w:t>
            </w:r>
            <w:r w:rsidR="00FB3B21">
              <w:rPr>
                <w:rFonts w:cs="Arial"/>
                <w:noProof w:val="0"/>
                <w:szCs w:val="20"/>
              </w:rPr>
              <w:t>phone call</w:t>
            </w:r>
            <w:r w:rsidRPr="00C4007B">
              <w:rPr>
                <w:rFonts w:cs="Arial"/>
                <w:noProof w:val="0"/>
                <w:szCs w:val="20"/>
              </w:rPr>
              <w:t xml:space="preserve"> with US NCP. </w:t>
            </w:r>
          </w:p>
        </w:tc>
        <w:tc>
          <w:tcPr>
            <w:tcW w:w="2268" w:type="dxa"/>
          </w:tcPr>
          <w:p w14:paraId="344E2CC8" w14:textId="77777777" w:rsidR="008B442E" w:rsidRPr="00C4007B" w:rsidRDefault="008B442E" w:rsidP="00DF55A2">
            <w:pPr>
              <w:pStyle w:val="TableTextCentered"/>
              <w:rPr>
                <w:rFonts w:cs="Arial"/>
                <w:noProof w:val="0"/>
                <w:szCs w:val="20"/>
              </w:rPr>
            </w:pPr>
            <w:r w:rsidRPr="00C4007B">
              <w:rPr>
                <w:rFonts w:cs="Arial"/>
                <w:noProof w:val="0"/>
                <w:szCs w:val="20"/>
              </w:rPr>
              <w:t>4 July 2019</w:t>
            </w:r>
          </w:p>
        </w:tc>
      </w:tr>
      <w:tr w:rsidR="008B442E" w:rsidRPr="00C4007B" w14:paraId="74D8FDB3" w14:textId="77777777" w:rsidTr="00B62815">
        <w:tc>
          <w:tcPr>
            <w:tcW w:w="7054" w:type="dxa"/>
            <w:shd w:val="clear" w:color="auto" w:fill="F2F2F2" w:themeFill="background1" w:themeFillShade="F2"/>
          </w:tcPr>
          <w:p w14:paraId="6D4157A3" w14:textId="77777777" w:rsidR="008B442E" w:rsidRPr="00C4007B" w:rsidRDefault="008B442E" w:rsidP="00FB3B21">
            <w:pPr>
              <w:pStyle w:val="TableTextLeft-Bullet"/>
              <w:rPr>
                <w:rFonts w:cs="Arial"/>
                <w:noProof w:val="0"/>
                <w:szCs w:val="20"/>
              </w:rPr>
            </w:pPr>
            <w:r w:rsidRPr="00C4007B">
              <w:rPr>
                <w:rFonts w:cs="Arial"/>
                <w:noProof w:val="0"/>
                <w:szCs w:val="20"/>
              </w:rPr>
              <w:t xml:space="preserve">AusNCP </w:t>
            </w:r>
            <w:r w:rsidR="00FB3B21">
              <w:rPr>
                <w:rFonts w:cs="Arial"/>
                <w:noProof w:val="0"/>
                <w:szCs w:val="20"/>
              </w:rPr>
              <w:t>phone call</w:t>
            </w:r>
            <w:r w:rsidRPr="00C4007B">
              <w:rPr>
                <w:rFonts w:cs="Arial"/>
                <w:noProof w:val="0"/>
                <w:szCs w:val="20"/>
              </w:rPr>
              <w:t xml:space="preserve"> with OECD</w:t>
            </w:r>
            <w:r w:rsidR="00960BC6" w:rsidRPr="00C4007B">
              <w:rPr>
                <w:rFonts w:cs="Arial"/>
                <w:noProof w:val="0"/>
                <w:szCs w:val="20"/>
              </w:rPr>
              <w:t>.</w:t>
            </w:r>
          </w:p>
        </w:tc>
        <w:tc>
          <w:tcPr>
            <w:tcW w:w="2268" w:type="dxa"/>
            <w:shd w:val="clear" w:color="auto" w:fill="F2F2F2" w:themeFill="background1" w:themeFillShade="F2"/>
          </w:tcPr>
          <w:p w14:paraId="7ECC0B43" w14:textId="77777777" w:rsidR="008B442E" w:rsidRPr="00C4007B" w:rsidRDefault="008B442E" w:rsidP="00DF55A2">
            <w:pPr>
              <w:pStyle w:val="TableTextCentered"/>
              <w:rPr>
                <w:rFonts w:cs="Arial"/>
                <w:noProof w:val="0"/>
                <w:szCs w:val="20"/>
              </w:rPr>
            </w:pPr>
            <w:r w:rsidRPr="00C4007B">
              <w:rPr>
                <w:rFonts w:cs="Arial"/>
                <w:noProof w:val="0"/>
                <w:szCs w:val="20"/>
              </w:rPr>
              <w:t>17 July 2019</w:t>
            </w:r>
          </w:p>
        </w:tc>
      </w:tr>
      <w:tr w:rsidR="00925DEA" w:rsidRPr="00C4007B" w14:paraId="749FCD09" w14:textId="77777777" w:rsidTr="00B62815">
        <w:tc>
          <w:tcPr>
            <w:tcW w:w="7054" w:type="dxa"/>
            <w:shd w:val="clear" w:color="auto" w:fill="FFFFFF" w:themeFill="background1"/>
          </w:tcPr>
          <w:p w14:paraId="4389BFAD" w14:textId="77777777" w:rsidR="00925DEA" w:rsidRPr="00C4007B" w:rsidRDefault="00515EFE" w:rsidP="00FB3B21">
            <w:pPr>
              <w:pStyle w:val="TableTextLeft-Bullet"/>
              <w:rPr>
                <w:rFonts w:cs="Arial"/>
                <w:noProof w:val="0"/>
                <w:szCs w:val="20"/>
              </w:rPr>
            </w:pPr>
            <w:r w:rsidRPr="00C4007B">
              <w:rPr>
                <w:rFonts w:cs="Arial"/>
                <w:noProof w:val="0"/>
                <w:szCs w:val="20"/>
              </w:rPr>
              <w:t xml:space="preserve">AusNCP </w:t>
            </w:r>
            <w:r w:rsidR="00FB3B21">
              <w:rPr>
                <w:rFonts w:cs="Arial"/>
                <w:noProof w:val="0"/>
                <w:szCs w:val="20"/>
              </w:rPr>
              <w:t>phone call</w:t>
            </w:r>
            <w:r w:rsidR="00925DEA" w:rsidRPr="00C4007B">
              <w:rPr>
                <w:rFonts w:cs="Arial"/>
                <w:noProof w:val="0"/>
                <w:szCs w:val="20"/>
              </w:rPr>
              <w:t xml:space="preserve"> </w:t>
            </w:r>
            <w:r w:rsidRPr="00C4007B">
              <w:rPr>
                <w:rFonts w:cs="Arial"/>
                <w:noProof w:val="0"/>
                <w:szCs w:val="20"/>
              </w:rPr>
              <w:t xml:space="preserve">with </w:t>
            </w:r>
            <w:r w:rsidR="0000378E" w:rsidRPr="00C4007B">
              <w:rPr>
                <w:rFonts w:cs="Arial"/>
                <w:noProof w:val="0"/>
                <w:szCs w:val="20"/>
              </w:rPr>
              <w:t>notifier</w:t>
            </w:r>
            <w:r w:rsidR="00925DEA" w:rsidRPr="00C4007B">
              <w:rPr>
                <w:rFonts w:cs="Arial"/>
                <w:noProof w:val="0"/>
                <w:szCs w:val="20"/>
              </w:rPr>
              <w:t>.</w:t>
            </w:r>
          </w:p>
        </w:tc>
        <w:tc>
          <w:tcPr>
            <w:tcW w:w="2268" w:type="dxa"/>
            <w:shd w:val="clear" w:color="auto" w:fill="FFFFFF" w:themeFill="background1"/>
          </w:tcPr>
          <w:p w14:paraId="168B2F3C" w14:textId="77777777" w:rsidR="00925DEA" w:rsidRPr="00C4007B" w:rsidRDefault="00515EFE" w:rsidP="00DF55A2">
            <w:pPr>
              <w:pStyle w:val="TableTextCentered"/>
              <w:rPr>
                <w:rFonts w:cs="Arial"/>
                <w:noProof w:val="0"/>
                <w:szCs w:val="20"/>
              </w:rPr>
            </w:pPr>
            <w:r w:rsidRPr="00C4007B">
              <w:rPr>
                <w:rFonts w:cs="Arial"/>
                <w:noProof w:val="0"/>
                <w:szCs w:val="20"/>
              </w:rPr>
              <w:t>15 August 2019</w:t>
            </w:r>
          </w:p>
        </w:tc>
      </w:tr>
      <w:tr w:rsidR="00925DEA" w:rsidRPr="00C4007B" w14:paraId="7E38488F" w14:textId="77777777" w:rsidTr="00B62815">
        <w:tc>
          <w:tcPr>
            <w:tcW w:w="7054" w:type="dxa"/>
            <w:shd w:val="clear" w:color="auto" w:fill="F2F2F2" w:themeFill="background1" w:themeFillShade="F2"/>
          </w:tcPr>
          <w:p w14:paraId="3189D3F9" w14:textId="77777777" w:rsidR="00925DEA" w:rsidRPr="00C4007B" w:rsidRDefault="00515EFE" w:rsidP="00FB3B21">
            <w:pPr>
              <w:pStyle w:val="TableTextLeft-Bullet"/>
              <w:rPr>
                <w:rFonts w:cs="Arial"/>
                <w:noProof w:val="0"/>
                <w:szCs w:val="20"/>
              </w:rPr>
            </w:pPr>
            <w:r w:rsidRPr="00C4007B">
              <w:rPr>
                <w:rFonts w:cs="Arial"/>
                <w:noProof w:val="0"/>
                <w:szCs w:val="20"/>
              </w:rPr>
              <w:t xml:space="preserve">AusNCP </w:t>
            </w:r>
            <w:r w:rsidR="00FB3B21">
              <w:rPr>
                <w:rFonts w:cs="Arial"/>
                <w:noProof w:val="0"/>
                <w:szCs w:val="20"/>
              </w:rPr>
              <w:t>phone call with CCA</w:t>
            </w:r>
            <w:r w:rsidRPr="00C4007B">
              <w:rPr>
                <w:rFonts w:cs="Arial"/>
                <w:noProof w:val="0"/>
                <w:szCs w:val="20"/>
              </w:rPr>
              <w:t>.</w:t>
            </w:r>
          </w:p>
        </w:tc>
        <w:tc>
          <w:tcPr>
            <w:tcW w:w="2268" w:type="dxa"/>
            <w:shd w:val="clear" w:color="auto" w:fill="F2F2F2" w:themeFill="background1" w:themeFillShade="F2"/>
          </w:tcPr>
          <w:p w14:paraId="0F95BB1F" w14:textId="77777777" w:rsidR="00925DEA" w:rsidRPr="00C4007B" w:rsidRDefault="00515EFE" w:rsidP="00515EFE">
            <w:pPr>
              <w:pStyle w:val="TableTextCentered"/>
              <w:rPr>
                <w:rFonts w:cs="Arial"/>
                <w:noProof w:val="0"/>
                <w:szCs w:val="20"/>
              </w:rPr>
            </w:pPr>
            <w:r w:rsidRPr="00C4007B">
              <w:rPr>
                <w:rFonts w:cs="Arial"/>
                <w:noProof w:val="0"/>
                <w:szCs w:val="20"/>
              </w:rPr>
              <w:t>16 August 2019</w:t>
            </w:r>
          </w:p>
        </w:tc>
      </w:tr>
      <w:tr w:rsidR="002E0346" w:rsidRPr="00C4007B" w14:paraId="66639C64" w14:textId="77777777" w:rsidTr="00B62815">
        <w:tc>
          <w:tcPr>
            <w:tcW w:w="7054" w:type="dxa"/>
            <w:shd w:val="clear" w:color="auto" w:fill="FFFFFF" w:themeFill="background1"/>
          </w:tcPr>
          <w:p w14:paraId="50448DE9" w14:textId="77777777" w:rsidR="002E0346" w:rsidRPr="00C4007B" w:rsidRDefault="00FB3B21" w:rsidP="00993A85">
            <w:pPr>
              <w:pStyle w:val="TableTextLeft-Bullet"/>
              <w:rPr>
                <w:rFonts w:cs="Arial"/>
                <w:noProof w:val="0"/>
                <w:szCs w:val="20"/>
              </w:rPr>
            </w:pPr>
            <w:r>
              <w:rPr>
                <w:rFonts w:cs="Arial"/>
                <w:noProof w:val="0"/>
                <w:szCs w:val="20"/>
              </w:rPr>
              <w:t>AusNCP received</w:t>
            </w:r>
            <w:r w:rsidR="002E0346" w:rsidRPr="00C4007B">
              <w:rPr>
                <w:rFonts w:cs="Arial"/>
                <w:noProof w:val="0"/>
                <w:szCs w:val="20"/>
              </w:rPr>
              <w:t xml:space="preserve"> additional </w:t>
            </w:r>
            <w:r w:rsidR="00993A85" w:rsidRPr="00C4007B">
              <w:rPr>
                <w:rFonts w:cs="Arial"/>
                <w:noProof w:val="0"/>
                <w:szCs w:val="20"/>
              </w:rPr>
              <w:t>written submission</w:t>
            </w:r>
            <w:r>
              <w:rPr>
                <w:rFonts w:cs="Arial"/>
                <w:noProof w:val="0"/>
                <w:szCs w:val="20"/>
              </w:rPr>
              <w:t xml:space="preserve"> from notifier</w:t>
            </w:r>
            <w:r w:rsidR="002E0346" w:rsidRPr="00C4007B">
              <w:rPr>
                <w:rFonts w:cs="Arial"/>
                <w:noProof w:val="0"/>
                <w:szCs w:val="20"/>
              </w:rPr>
              <w:t>.</w:t>
            </w:r>
          </w:p>
        </w:tc>
        <w:tc>
          <w:tcPr>
            <w:tcW w:w="2268" w:type="dxa"/>
            <w:shd w:val="clear" w:color="auto" w:fill="FFFFFF" w:themeFill="background1"/>
          </w:tcPr>
          <w:p w14:paraId="7104F623" w14:textId="77777777" w:rsidR="002E0346" w:rsidRPr="00C4007B" w:rsidRDefault="00A80638" w:rsidP="00515EFE">
            <w:pPr>
              <w:pStyle w:val="TableTextCentered"/>
              <w:rPr>
                <w:rFonts w:cs="Arial"/>
                <w:noProof w:val="0"/>
                <w:szCs w:val="20"/>
              </w:rPr>
            </w:pPr>
            <w:r w:rsidRPr="00C4007B">
              <w:rPr>
                <w:rFonts w:cs="Arial"/>
                <w:noProof w:val="0"/>
                <w:szCs w:val="20"/>
              </w:rPr>
              <w:t>29 August 2019</w:t>
            </w:r>
          </w:p>
        </w:tc>
      </w:tr>
      <w:tr w:rsidR="002E0346" w:rsidRPr="00C4007B" w14:paraId="6B51B2C5" w14:textId="77777777" w:rsidTr="00B62815">
        <w:tc>
          <w:tcPr>
            <w:tcW w:w="7054" w:type="dxa"/>
            <w:shd w:val="clear" w:color="auto" w:fill="F2F2F2" w:themeFill="background1" w:themeFillShade="F2"/>
          </w:tcPr>
          <w:p w14:paraId="167395F3" w14:textId="77777777" w:rsidR="002E0346" w:rsidRPr="00C4007B" w:rsidRDefault="00FB3B21" w:rsidP="00FB3B21">
            <w:pPr>
              <w:pStyle w:val="TableTextLeft-Bullet"/>
              <w:rPr>
                <w:rFonts w:cs="Arial"/>
                <w:noProof w:val="0"/>
                <w:szCs w:val="20"/>
              </w:rPr>
            </w:pPr>
            <w:r>
              <w:rPr>
                <w:rFonts w:cs="Arial"/>
                <w:noProof w:val="0"/>
                <w:szCs w:val="20"/>
              </w:rPr>
              <w:t>AusNCP shared n</w:t>
            </w:r>
            <w:r w:rsidR="00993A85" w:rsidRPr="00C4007B">
              <w:rPr>
                <w:rFonts w:cs="Arial"/>
                <w:noProof w:val="0"/>
                <w:szCs w:val="20"/>
              </w:rPr>
              <w:t>otifier’s</w:t>
            </w:r>
            <w:r w:rsidR="002E0346" w:rsidRPr="00C4007B">
              <w:rPr>
                <w:rFonts w:cs="Arial"/>
                <w:noProof w:val="0"/>
                <w:szCs w:val="20"/>
              </w:rPr>
              <w:t xml:space="preserve"> additional </w:t>
            </w:r>
            <w:r w:rsidR="00993A85" w:rsidRPr="00C4007B">
              <w:rPr>
                <w:rFonts w:cs="Arial"/>
                <w:noProof w:val="0"/>
                <w:szCs w:val="20"/>
              </w:rPr>
              <w:t>submission</w:t>
            </w:r>
            <w:r w:rsidR="002E0346" w:rsidRPr="00C4007B">
              <w:rPr>
                <w:rFonts w:cs="Arial"/>
                <w:noProof w:val="0"/>
                <w:szCs w:val="20"/>
              </w:rPr>
              <w:t xml:space="preserve"> with CCA, CCA invited to respond. </w:t>
            </w:r>
          </w:p>
        </w:tc>
        <w:tc>
          <w:tcPr>
            <w:tcW w:w="2268" w:type="dxa"/>
            <w:shd w:val="clear" w:color="auto" w:fill="F2F2F2" w:themeFill="background1" w:themeFillShade="F2"/>
          </w:tcPr>
          <w:p w14:paraId="6B4C5B26" w14:textId="77777777" w:rsidR="002E0346" w:rsidRPr="00C4007B" w:rsidRDefault="00A80638" w:rsidP="00515EFE">
            <w:pPr>
              <w:pStyle w:val="TableTextCentered"/>
              <w:rPr>
                <w:rFonts w:cs="Arial"/>
                <w:noProof w:val="0"/>
                <w:szCs w:val="20"/>
              </w:rPr>
            </w:pPr>
            <w:r w:rsidRPr="00C4007B">
              <w:rPr>
                <w:rFonts w:cs="Arial"/>
                <w:noProof w:val="0"/>
                <w:szCs w:val="20"/>
              </w:rPr>
              <w:t>2 September 2019</w:t>
            </w:r>
          </w:p>
        </w:tc>
      </w:tr>
      <w:tr w:rsidR="00B62815" w:rsidRPr="00C4007B" w14:paraId="75DB53DF" w14:textId="77777777" w:rsidTr="001B15F7">
        <w:tc>
          <w:tcPr>
            <w:tcW w:w="7054" w:type="dxa"/>
            <w:shd w:val="clear" w:color="auto" w:fill="FFFFFF" w:themeFill="background1"/>
          </w:tcPr>
          <w:p w14:paraId="3844140C" w14:textId="77777777" w:rsidR="00B62815" w:rsidRPr="00C4007B" w:rsidRDefault="00B62815" w:rsidP="00993A85">
            <w:pPr>
              <w:pStyle w:val="TableTextLeft-Bullet"/>
              <w:rPr>
                <w:rFonts w:cs="Arial"/>
                <w:noProof w:val="0"/>
                <w:szCs w:val="20"/>
              </w:rPr>
            </w:pPr>
            <w:r w:rsidRPr="00C4007B">
              <w:rPr>
                <w:rFonts w:cs="Arial"/>
                <w:noProof w:val="0"/>
                <w:szCs w:val="20"/>
              </w:rPr>
              <w:t xml:space="preserve">CCA </w:t>
            </w:r>
            <w:r w:rsidR="00993A85" w:rsidRPr="00C4007B">
              <w:rPr>
                <w:rFonts w:cs="Arial"/>
                <w:noProof w:val="0"/>
                <w:szCs w:val="20"/>
              </w:rPr>
              <w:t>additional submission</w:t>
            </w:r>
            <w:r w:rsidRPr="00C4007B">
              <w:rPr>
                <w:rFonts w:cs="Arial"/>
                <w:noProof w:val="0"/>
                <w:szCs w:val="20"/>
              </w:rPr>
              <w:t xml:space="preserve"> received, shared with permission with </w:t>
            </w:r>
            <w:r w:rsidR="00993A85" w:rsidRPr="00C4007B">
              <w:rPr>
                <w:rFonts w:cs="Arial"/>
                <w:noProof w:val="0"/>
                <w:szCs w:val="20"/>
              </w:rPr>
              <w:t>notifier</w:t>
            </w:r>
            <w:r w:rsidRPr="00C4007B">
              <w:rPr>
                <w:rFonts w:cs="Arial"/>
                <w:noProof w:val="0"/>
                <w:szCs w:val="20"/>
              </w:rPr>
              <w:t>.</w:t>
            </w:r>
          </w:p>
        </w:tc>
        <w:tc>
          <w:tcPr>
            <w:tcW w:w="2268" w:type="dxa"/>
            <w:shd w:val="clear" w:color="auto" w:fill="FFFFFF" w:themeFill="background1"/>
          </w:tcPr>
          <w:p w14:paraId="26C1DA2A" w14:textId="77777777" w:rsidR="00B62815" w:rsidRPr="00C4007B" w:rsidRDefault="00B62815" w:rsidP="00515EFE">
            <w:pPr>
              <w:pStyle w:val="TableTextCentered"/>
              <w:rPr>
                <w:rFonts w:cs="Arial"/>
                <w:noProof w:val="0"/>
                <w:szCs w:val="20"/>
              </w:rPr>
            </w:pPr>
            <w:r w:rsidRPr="00C4007B">
              <w:rPr>
                <w:rFonts w:cs="Arial"/>
                <w:noProof w:val="0"/>
                <w:szCs w:val="20"/>
              </w:rPr>
              <w:t>5 September 2019</w:t>
            </w:r>
          </w:p>
        </w:tc>
      </w:tr>
      <w:tr w:rsidR="00515EFE" w:rsidRPr="00C4007B" w14:paraId="674DDE50" w14:textId="77777777" w:rsidTr="00DF55A2">
        <w:trPr>
          <w:trHeight w:val="275"/>
        </w:trPr>
        <w:tc>
          <w:tcPr>
            <w:tcW w:w="7054" w:type="dxa"/>
            <w:shd w:val="clear" w:color="auto" w:fill="3A87C8"/>
          </w:tcPr>
          <w:p w14:paraId="7A2D9150" w14:textId="77777777" w:rsidR="00515EFE" w:rsidRPr="00C4007B" w:rsidRDefault="00515EFE" w:rsidP="00515EFE">
            <w:pPr>
              <w:pStyle w:val="TableColumnHeadingLeft-White"/>
              <w:rPr>
                <w:noProof w:val="0"/>
              </w:rPr>
            </w:pPr>
            <w:r w:rsidRPr="00C4007B">
              <w:rPr>
                <w:noProof w:val="0"/>
              </w:rPr>
              <w:t>Final Statement</w:t>
            </w:r>
          </w:p>
        </w:tc>
        <w:tc>
          <w:tcPr>
            <w:tcW w:w="2268" w:type="dxa"/>
            <w:shd w:val="clear" w:color="auto" w:fill="3A87C8"/>
          </w:tcPr>
          <w:p w14:paraId="412C9B48" w14:textId="77777777" w:rsidR="00515EFE" w:rsidRPr="00C4007B" w:rsidRDefault="00515EFE" w:rsidP="00515EFE">
            <w:pPr>
              <w:pStyle w:val="TableColumnHeadingCentred"/>
              <w:rPr>
                <w:noProof w:val="0"/>
              </w:rPr>
            </w:pPr>
            <w:r w:rsidRPr="00C4007B">
              <w:rPr>
                <w:noProof w:val="0"/>
              </w:rPr>
              <w:t>Date</w:t>
            </w:r>
          </w:p>
        </w:tc>
      </w:tr>
      <w:tr w:rsidR="002A13EA" w:rsidRPr="00C4007B" w14:paraId="6E70BA9D" w14:textId="77777777" w:rsidTr="002A13EA">
        <w:trPr>
          <w:trHeight w:val="275"/>
        </w:trPr>
        <w:tc>
          <w:tcPr>
            <w:tcW w:w="7054" w:type="dxa"/>
            <w:shd w:val="clear" w:color="auto" w:fill="F2F2F2" w:themeFill="background1" w:themeFillShade="F2"/>
          </w:tcPr>
          <w:p w14:paraId="31569601" w14:textId="0F6C23C3" w:rsidR="002A13EA" w:rsidRPr="00C4007B" w:rsidRDefault="002A13EA" w:rsidP="001E568F">
            <w:pPr>
              <w:pStyle w:val="TableTextLeft-Bullet"/>
              <w:rPr>
                <w:rFonts w:cs="Arial"/>
                <w:noProof w:val="0"/>
                <w:szCs w:val="20"/>
              </w:rPr>
            </w:pPr>
            <w:r w:rsidRPr="00C4007B">
              <w:rPr>
                <w:rFonts w:cs="Arial"/>
                <w:noProof w:val="0"/>
                <w:szCs w:val="20"/>
              </w:rPr>
              <w:t xml:space="preserve">Draft </w:t>
            </w:r>
            <w:r w:rsidR="006F15AA">
              <w:rPr>
                <w:rFonts w:cs="Arial"/>
                <w:noProof w:val="0"/>
                <w:szCs w:val="20"/>
              </w:rPr>
              <w:t>I</w:t>
            </w:r>
            <w:r w:rsidRPr="00C4007B">
              <w:rPr>
                <w:rFonts w:cs="Arial"/>
                <w:noProof w:val="0"/>
                <w:szCs w:val="20"/>
              </w:rPr>
              <w:t xml:space="preserve">nitial </w:t>
            </w:r>
            <w:r w:rsidR="006F15AA">
              <w:rPr>
                <w:rFonts w:cs="Arial"/>
                <w:noProof w:val="0"/>
                <w:szCs w:val="20"/>
              </w:rPr>
              <w:t>A</w:t>
            </w:r>
            <w:r>
              <w:rPr>
                <w:rFonts w:cs="Arial"/>
                <w:noProof w:val="0"/>
                <w:szCs w:val="20"/>
              </w:rPr>
              <w:t>ssessment</w:t>
            </w:r>
            <w:r w:rsidRPr="00C4007B">
              <w:rPr>
                <w:rFonts w:cs="Arial"/>
                <w:noProof w:val="0"/>
                <w:szCs w:val="20"/>
              </w:rPr>
              <w:t xml:space="preserve"> shared with US NCP and AusNCP Independent Examiner for consultation.</w:t>
            </w:r>
          </w:p>
        </w:tc>
        <w:tc>
          <w:tcPr>
            <w:tcW w:w="2268" w:type="dxa"/>
            <w:shd w:val="clear" w:color="auto" w:fill="F2F2F2" w:themeFill="background1" w:themeFillShade="F2"/>
          </w:tcPr>
          <w:p w14:paraId="61C57044" w14:textId="77777777" w:rsidR="002A13EA" w:rsidRPr="00C4007B" w:rsidRDefault="002A13EA" w:rsidP="002A13EA">
            <w:pPr>
              <w:pStyle w:val="TableTextCentered"/>
              <w:rPr>
                <w:rFonts w:cs="Arial"/>
                <w:noProof w:val="0"/>
                <w:szCs w:val="20"/>
              </w:rPr>
            </w:pPr>
            <w:r w:rsidRPr="00C4007B">
              <w:rPr>
                <w:rFonts w:cs="Arial"/>
                <w:noProof w:val="0"/>
                <w:szCs w:val="20"/>
              </w:rPr>
              <w:t>20 September 2019</w:t>
            </w:r>
          </w:p>
        </w:tc>
      </w:tr>
      <w:tr w:rsidR="002A13EA" w:rsidRPr="00C4007B" w14:paraId="57FDA876" w14:textId="77777777" w:rsidTr="002A13EA">
        <w:trPr>
          <w:trHeight w:val="275"/>
        </w:trPr>
        <w:tc>
          <w:tcPr>
            <w:tcW w:w="7054" w:type="dxa"/>
            <w:shd w:val="clear" w:color="auto" w:fill="auto"/>
          </w:tcPr>
          <w:p w14:paraId="75B41809" w14:textId="3F42C14F" w:rsidR="002A13EA" w:rsidRPr="002A13EA" w:rsidRDefault="002A13EA" w:rsidP="001E568F">
            <w:pPr>
              <w:pStyle w:val="TableTextLeft-Bullet"/>
              <w:rPr>
                <w:rFonts w:cs="Arial"/>
                <w:noProof w:val="0"/>
                <w:szCs w:val="20"/>
              </w:rPr>
            </w:pPr>
            <w:r w:rsidRPr="002A13EA">
              <w:rPr>
                <w:rFonts w:cs="Arial"/>
                <w:szCs w:val="20"/>
              </w:rPr>
              <w:t xml:space="preserve">Draft </w:t>
            </w:r>
            <w:r w:rsidR="006F15AA">
              <w:rPr>
                <w:rFonts w:cs="Arial"/>
                <w:szCs w:val="20"/>
              </w:rPr>
              <w:t>F</w:t>
            </w:r>
            <w:r w:rsidRPr="002A13EA">
              <w:rPr>
                <w:rFonts w:cs="Arial"/>
                <w:szCs w:val="20"/>
              </w:rPr>
              <w:t xml:space="preserve">inal </w:t>
            </w:r>
            <w:r w:rsidR="006F15AA">
              <w:rPr>
                <w:rFonts w:cs="Arial"/>
                <w:szCs w:val="20"/>
              </w:rPr>
              <w:t>S</w:t>
            </w:r>
            <w:r w:rsidRPr="002A13EA">
              <w:rPr>
                <w:rFonts w:cs="Arial"/>
                <w:szCs w:val="20"/>
              </w:rPr>
              <w:t xml:space="preserve">tatement </w:t>
            </w:r>
            <w:r w:rsidR="00071095">
              <w:rPr>
                <w:rFonts w:cs="Arial"/>
                <w:szCs w:val="20"/>
              </w:rPr>
              <w:t xml:space="preserve">shared with </w:t>
            </w:r>
            <w:r w:rsidRPr="002A13EA">
              <w:rPr>
                <w:rFonts w:cs="Arial"/>
                <w:szCs w:val="20"/>
              </w:rPr>
              <w:t>Governance and Advisory Board</w:t>
            </w:r>
            <w:r w:rsidR="00071095">
              <w:rPr>
                <w:rFonts w:cs="Arial"/>
                <w:szCs w:val="20"/>
              </w:rPr>
              <w:t xml:space="preserve"> for consultation</w:t>
            </w:r>
            <w:r w:rsidRPr="002A13EA">
              <w:rPr>
                <w:rFonts w:cs="Arial"/>
                <w:szCs w:val="20"/>
              </w:rPr>
              <w:t>.</w:t>
            </w:r>
          </w:p>
        </w:tc>
        <w:tc>
          <w:tcPr>
            <w:tcW w:w="2268" w:type="dxa"/>
            <w:shd w:val="clear" w:color="auto" w:fill="auto"/>
          </w:tcPr>
          <w:p w14:paraId="190B0CFB" w14:textId="77777777" w:rsidR="002A13EA" w:rsidRPr="002A13EA" w:rsidRDefault="002A13EA" w:rsidP="002A13EA">
            <w:pPr>
              <w:pStyle w:val="TableTextCentered"/>
              <w:jc w:val="left"/>
              <w:rPr>
                <w:rFonts w:cs="Arial"/>
                <w:noProof w:val="0"/>
                <w:szCs w:val="20"/>
              </w:rPr>
            </w:pPr>
            <w:r w:rsidRPr="002A13EA">
              <w:rPr>
                <w:rFonts w:cs="Arial"/>
                <w:noProof w:val="0"/>
                <w:szCs w:val="20"/>
              </w:rPr>
              <w:t xml:space="preserve">27 September 2019 </w:t>
            </w:r>
          </w:p>
        </w:tc>
      </w:tr>
      <w:tr w:rsidR="002A13EA" w:rsidRPr="00C4007B" w14:paraId="3F9F178C" w14:textId="77777777" w:rsidTr="002A13EA">
        <w:trPr>
          <w:trHeight w:val="275"/>
        </w:trPr>
        <w:tc>
          <w:tcPr>
            <w:tcW w:w="7054" w:type="dxa"/>
            <w:shd w:val="clear" w:color="auto" w:fill="F2F2F2" w:themeFill="background1" w:themeFillShade="F2"/>
          </w:tcPr>
          <w:p w14:paraId="3934A84F" w14:textId="0DDB52EF" w:rsidR="002A13EA" w:rsidRPr="00C4007B" w:rsidRDefault="002A13EA" w:rsidP="001E568F">
            <w:pPr>
              <w:pStyle w:val="TableTextLeft-Bullet"/>
              <w:rPr>
                <w:rFonts w:cs="Arial"/>
                <w:noProof w:val="0"/>
                <w:szCs w:val="20"/>
              </w:rPr>
            </w:pPr>
            <w:r w:rsidRPr="007622FB">
              <w:rPr>
                <w:rFonts w:cs="Arial"/>
                <w:szCs w:val="20"/>
              </w:rPr>
              <w:t xml:space="preserve">Draft </w:t>
            </w:r>
            <w:r w:rsidR="006F15AA">
              <w:rPr>
                <w:rFonts w:cs="Arial"/>
                <w:szCs w:val="20"/>
              </w:rPr>
              <w:t>F</w:t>
            </w:r>
            <w:r w:rsidRPr="007622FB">
              <w:rPr>
                <w:rFonts w:cs="Arial"/>
                <w:szCs w:val="20"/>
              </w:rPr>
              <w:t xml:space="preserve">inal </w:t>
            </w:r>
            <w:r w:rsidR="006F15AA">
              <w:rPr>
                <w:rFonts w:cs="Arial"/>
                <w:szCs w:val="20"/>
              </w:rPr>
              <w:t>S</w:t>
            </w:r>
            <w:r w:rsidRPr="007622FB">
              <w:rPr>
                <w:rFonts w:cs="Arial"/>
                <w:szCs w:val="20"/>
              </w:rPr>
              <w:t>tatement provided to the parties for comment.</w:t>
            </w:r>
          </w:p>
        </w:tc>
        <w:tc>
          <w:tcPr>
            <w:tcW w:w="2268" w:type="dxa"/>
            <w:shd w:val="clear" w:color="auto" w:fill="F2F2F2" w:themeFill="background1" w:themeFillShade="F2"/>
          </w:tcPr>
          <w:p w14:paraId="3429B8B0" w14:textId="052816E9" w:rsidR="002A13EA" w:rsidRPr="00C4007B" w:rsidRDefault="00193E74" w:rsidP="002A13EA">
            <w:pPr>
              <w:pStyle w:val="TableTextCentered"/>
              <w:rPr>
                <w:rFonts w:cs="Arial"/>
                <w:noProof w:val="0"/>
                <w:szCs w:val="20"/>
              </w:rPr>
            </w:pPr>
            <w:r>
              <w:rPr>
                <w:rFonts w:cs="Arial"/>
                <w:noProof w:val="0"/>
                <w:szCs w:val="20"/>
              </w:rPr>
              <w:t>24</w:t>
            </w:r>
            <w:r w:rsidR="002A13EA">
              <w:rPr>
                <w:rFonts w:cs="Arial"/>
                <w:noProof w:val="0"/>
                <w:szCs w:val="20"/>
              </w:rPr>
              <w:t xml:space="preserve"> October 2019</w:t>
            </w:r>
          </w:p>
        </w:tc>
      </w:tr>
      <w:tr w:rsidR="002A13EA" w:rsidRPr="00C4007B" w14:paraId="53252C19" w14:textId="77777777" w:rsidTr="002A13EA">
        <w:trPr>
          <w:trHeight w:val="275"/>
        </w:trPr>
        <w:tc>
          <w:tcPr>
            <w:tcW w:w="7054" w:type="dxa"/>
            <w:shd w:val="clear" w:color="auto" w:fill="auto"/>
          </w:tcPr>
          <w:p w14:paraId="55572701" w14:textId="7E62B1D2" w:rsidR="002A13EA" w:rsidRPr="00C4007B" w:rsidRDefault="002A13EA" w:rsidP="001E568F">
            <w:pPr>
              <w:pStyle w:val="TableTextLeft-Bullet"/>
              <w:rPr>
                <w:rFonts w:cs="Arial"/>
                <w:noProof w:val="0"/>
                <w:szCs w:val="20"/>
              </w:rPr>
            </w:pPr>
            <w:r w:rsidRPr="00C4007B">
              <w:rPr>
                <w:rFonts w:cs="Arial"/>
                <w:noProof w:val="0"/>
                <w:szCs w:val="20"/>
              </w:rPr>
              <w:t xml:space="preserve">AusNCP finalised </w:t>
            </w:r>
            <w:r w:rsidR="006F15AA">
              <w:rPr>
                <w:rFonts w:cs="Arial"/>
                <w:noProof w:val="0"/>
                <w:szCs w:val="20"/>
              </w:rPr>
              <w:t>F</w:t>
            </w:r>
            <w:r w:rsidRPr="00C4007B">
              <w:rPr>
                <w:rFonts w:cs="Arial"/>
                <w:noProof w:val="0"/>
                <w:szCs w:val="20"/>
              </w:rPr>
              <w:t xml:space="preserve">inal </w:t>
            </w:r>
            <w:r w:rsidR="006F15AA">
              <w:rPr>
                <w:rFonts w:cs="Arial"/>
                <w:noProof w:val="0"/>
                <w:szCs w:val="20"/>
              </w:rPr>
              <w:t>S</w:t>
            </w:r>
            <w:r w:rsidRPr="00C4007B">
              <w:rPr>
                <w:rFonts w:cs="Arial"/>
                <w:noProof w:val="0"/>
                <w:szCs w:val="20"/>
              </w:rPr>
              <w:t>tatement</w:t>
            </w:r>
            <w:r w:rsidR="000A136C">
              <w:rPr>
                <w:rFonts w:cs="Arial"/>
                <w:noProof w:val="0"/>
                <w:szCs w:val="20"/>
              </w:rPr>
              <w:t xml:space="preserve"> and provided an</w:t>
            </w:r>
            <w:r w:rsidR="006F15AA">
              <w:rPr>
                <w:rFonts w:cs="Arial"/>
                <w:noProof w:val="0"/>
                <w:szCs w:val="20"/>
              </w:rPr>
              <w:t xml:space="preserve"> advance</w:t>
            </w:r>
            <w:r w:rsidR="000A136C">
              <w:rPr>
                <w:rFonts w:cs="Arial"/>
                <w:noProof w:val="0"/>
                <w:szCs w:val="20"/>
              </w:rPr>
              <w:t xml:space="preserve"> copy to the parties and Governance and Advisory Board.</w:t>
            </w:r>
          </w:p>
        </w:tc>
        <w:tc>
          <w:tcPr>
            <w:tcW w:w="2268" w:type="dxa"/>
            <w:shd w:val="clear" w:color="auto" w:fill="auto"/>
          </w:tcPr>
          <w:p w14:paraId="0B8046B4" w14:textId="3C079B86" w:rsidR="002A13EA" w:rsidRPr="00C4007B" w:rsidRDefault="000A136C" w:rsidP="001E568F">
            <w:pPr>
              <w:pStyle w:val="TableTextCentered"/>
              <w:rPr>
                <w:rFonts w:cs="Arial"/>
                <w:noProof w:val="0"/>
                <w:szCs w:val="20"/>
              </w:rPr>
            </w:pPr>
            <w:r>
              <w:rPr>
                <w:rFonts w:cs="Arial"/>
                <w:noProof w:val="0"/>
                <w:szCs w:val="20"/>
              </w:rPr>
              <w:t>12 December 2019</w:t>
            </w:r>
          </w:p>
        </w:tc>
      </w:tr>
      <w:tr w:rsidR="002A13EA" w:rsidRPr="00C4007B" w14:paraId="766E4092" w14:textId="77777777" w:rsidTr="002D7810">
        <w:trPr>
          <w:trHeight w:val="275"/>
        </w:trPr>
        <w:tc>
          <w:tcPr>
            <w:tcW w:w="7054" w:type="dxa"/>
            <w:tcBorders>
              <w:bottom w:val="single" w:sz="4" w:space="0" w:color="3A87C8"/>
            </w:tcBorders>
            <w:shd w:val="clear" w:color="auto" w:fill="F2F2F2" w:themeFill="background1" w:themeFillShade="F2"/>
          </w:tcPr>
          <w:p w14:paraId="5419AA93" w14:textId="3B63250D" w:rsidR="002A13EA" w:rsidRPr="00C4007B" w:rsidRDefault="002A13EA" w:rsidP="001E568F">
            <w:pPr>
              <w:pStyle w:val="TableTextLeft-Bullet"/>
              <w:rPr>
                <w:rFonts w:cs="Arial"/>
                <w:noProof w:val="0"/>
                <w:szCs w:val="20"/>
              </w:rPr>
            </w:pPr>
            <w:r w:rsidRPr="00C4007B">
              <w:rPr>
                <w:rFonts w:cs="Arial"/>
                <w:noProof w:val="0"/>
                <w:szCs w:val="20"/>
              </w:rPr>
              <w:t xml:space="preserve">AusNCP published </w:t>
            </w:r>
            <w:r w:rsidR="006F15AA">
              <w:rPr>
                <w:rFonts w:cs="Arial"/>
                <w:noProof w:val="0"/>
                <w:szCs w:val="20"/>
              </w:rPr>
              <w:t>F</w:t>
            </w:r>
            <w:r w:rsidRPr="00C4007B">
              <w:rPr>
                <w:rFonts w:cs="Arial"/>
                <w:noProof w:val="0"/>
                <w:szCs w:val="20"/>
              </w:rPr>
              <w:t xml:space="preserve">inal </w:t>
            </w:r>
            <w:r w:rsidR="006F15AA">
              <w:rPr>
                <w:rFonts w:cs="Arial"/>
                <w:noProof w:val="0"/>
                <w:szCs w:val="20"/>
              </w:rPr>
              <w:t>S</w:t>
            </w:r>
            <w:r w:rsidRPr="00C4007B">
              <w:rPr>
                <w:rFonts w:cs="Arial"/>
                <w:noProof w:val="0"/>
                <w:szCs w:val="20"/>
              </w:rPr>
              <w:t>tatement on its website and reported to the OECD NCP Secretariat.</w:t>
            </w:r>
          </w:p>
        </w:tc>
        <w:tc>
          <w:tcPr>
            <w:tcW w:w="2268" w:type="dxa"/>
            <w:tcBorders>
              <w:bottom w:val="single" w:sz="4" w:space="0" w:color="3A87C8"/>
            </w:tcBorders>
            <w:shd w:val="clear" w:color="auto" w:fill="F2F2F2" w:themeFill="background1" w:themeFillShade="F2"/>
          </w:tcPr>
          <w:p w14:paraId="77B1AE07" w14:textId="75D67C34" w:rsidR="002A13EA" w:rsidRPr="00C4007B" w:rsidRDefault="000A136C" w:rsidP="001E568F">
            <w:pPr>
              <w:pStyle w:val="TableTextCentered"/>
              <w:rPr>
                <w:rFonts w:cs="Arial"/>
                <w:noProof w:val="0"/>
                <w:szCs w:val="20"/>
              </w:rPr>
            </w:pPr>
            <w:r>
              <w:rPr>
                <w:rFonts w:cs="Arial"/>
                <w:noProof w:val="0"/>
                <w:szCs w:val="20"/>
              </w:rPr>
              <w:t>13 December 2019</w:t>
            </w:r>
          </w:p>
        </w:tc>
      </w:tr>
    </w:tbl>
    <w:p w14:paraId="7EB00EF5" w14:textId="77777777" w:rsidR="00DF55A2" w:rsidRPr="00C4007B" w:rsidRDefault="00DF55A2" w:rsidP="00DF55A2">
      <w:pPr>
        <w:rPr>
          <w:noProof w:val="0"/>
        </w:rPr>
      </w:pPr>
    </w:p>
    <w:p w14:paraId="433AB8D3" w14:textId="77777777" w:rsidR="00DF55A2" w:rsidRPr="00C4007B" w:rsidRDefault="00DF55A2" w:rsidP="00DF55A2">
      <w:pPr>
        <w:rPr>
          <w:noProof w:val="0"/>
        </w:rPr>
      </w:pPr>
    </w:p>
    <w:p w14:paraId="3ED15F2D" w14:textId="77777777" w:rsidR="00DF55A2" w:rsidRPr="00C4007B" w:rsidRDefault="00DF55A2" w:rsidP="00DF55A2">
      <w:pPr>
        <w:rPr>
          <w:noProof w:val="0"/>
        </w:rPr>
      </w:pPr>
    </w:p>
    <w:p w14:paraId="013D2A1A" w14:textId="77777777" w:rsidR="00FB3B21" w:rsidRDefault="00FB3B21">
      <w:pPr>
        <w:spacing w:after="200" w:line="276" w:lineRule="auto"/>
        <w:jc w:val="left"/>
        <w:rPr>
          <w:rFonts w:ascii="Calibri" w:hAnsi="Calibri" w:cs="Arial"/>
          <w:b/>
          <w:caps/>
          <w:noProof w:val="0"/>
          <w:color w:val="3A87C8"/>
          <w:kern w:val="32"/>
          <w:sz w:val="44"/>
          <w:szCs w:val="36"/>
        </w:rPr>
      </w:pPr>
      <w:r>
        <w:br w:type="page"/>
      </w:r>
    </w:p>
    <w:p w14:paraId="2284D860" w14:textId="77777777" w:rsidR="002A046F" w:rsidRPr="00C4007B" w:rsidRDefault="002A046F" w:rsidP="00DF55A2">
      <w:pPr>
        <w:pStyle w:val="Heading1"/>
      </w:pPr>
      <w:bookmarkStart w:id="17" w:name="_Toc27053474"/>
      <w:r w:rsidRPr="00C4007B">
        <w:lastRenderedPageBreak/>
        <w:t>Institutional arrangements</w:t>
      </w:r>
      <w:bookmarkEnd w:id="17"/>
      <w:r w:rsidR="001C0590" w:rsidRPr="00C4007B">
        <w:t xml:space="preserve"> </w:t>
      </w:r>
    </w:p>
    <w:p w14:paraId="5D6DA5CE" w14:textId="77777777" w:rsidR="00341213" w:rsidRPr="00C4007B" w:rsidRDefault="00341213" w:rsidP="00BD4B5B">
      <w:pPr>
        <w:pStyle w:val="OutlineNumbered1"/>
        <w:spacing w:after="200" w:line="276" w:lineRule="auto"/>
        <w:rPr>
          <w:noProof w:val="0"/>
        </w:rPr>
      </w:pPr>
      <w:r w:rsidRPr="00C4007B">
        <w:rPr>
          <w:noProof w:val="0"/>
        </w:rPr>
        <w:t>The Australian Government is committed to promoting the use of the OECD Guidelines and implementing them effectively and consistently. Through business cooperation and support, the OECD Guidelines can positively influence business conduct and ultimately economic, environmental and social progress.</w:t>
      </w:r>
    </w:p>
    <w:p w14:paraId="527EA764" w14:textId="77777777" w:rsidR="00341213" w:rsidRPr="00C4007B" w:rsidRDefault="00341213" w:rsidP="00BD4B5B">
      <w:pPr>
        <w:pStyle w:val="OutlineNumbered1"/>
        <w:spacing w:after="200" w:line="276" w:lineRule="auto"/>
        <w:rPr>
          <w:noProof w:val="0"/>
        </w:rPr>
      </w:pPr>
      <w:r w:rsidRPr="00C4007B">
        <w:rPr>
          <w:noProof w:val="0"/>
        </w:rPr>
        <w:t>The OECD Guidelines are recommendations on responsible business conduct addressed by governments, including Australia, to multinational enterprises. Importantly, while the OECD Guidelines have been endorsed within the OECD international forum, they are not a substitute for, nor do they override, Australian or international law. They represent standards of behaviour that supplement Australian law and therefore do not create conflicting requirements.</w:t>
      </w:r>
    </w:p>
    <w:p w14:paraId="5FE87780" w14:textId="77777777" w:rsidR="00341213" w:rsidRPr="00C4007B" w:rsidRDefault="00341213" w:rsidP="00BD4B5B">
      <w:pPr>
        <w:pStyle w:val="OutlineNumbered1"/>
        <w:spacing w:after="200" w:line="276" w:lineRule="auto"/>
        <w:rPr>
          <w:noProof w:val="0"/>
        </w:rPr>
      </w:pPr>
      <w:r w:rsidRPr="00C4007B">
        <w:rPr>
          <w:noProof w:val="0"/>
        </w:rPr>
        <w:t>Companies operating in Australia and Australian companies operating overseas are expected to act in accordance with the principles set out in the OECD Guidelines and to perform to — at minimum — the standards they recommend.</w:t>
      </w:r>
    </w:p>
    <w:p w14:paraId="743D50F9" w14:textId="77777777" w:rsidR="00341213" w:rsidRPr="00C4007B" w:rsidRDefault="00341213" w:rsidP="00BD4B5B">
      <w:pPr>
        <w:pStyle w:val="OutlineNumbered1"/>
        <w:spacing w:after="200" w:line="276" w:lineRule="auto"/>
        <w:rPr>
          <w:noProof w:val="0"/>
        </w:rPr>
      </w:pPr>
      <w:r w:rsidRPr="00C4007B">
        <w:rPr>
          <w:noProof w:val="0"/>
        </w:rPr>
        <w:t>The OECD Guidelines can be seen as:</w:t>
      </w:r>
    </w:p>
    <w:p w14:paraId="6F585ABD" w14:textId="77777777" w:rsidR="00341213" w:rsidRPr="00C4007B" w:rsidRDefault="00341213" w:rsidP="00341213">
      <w:pPr>
        <w:pStyle w:val="Bullet"/>
        <w:tabs>
          <w:tab w:val="num" w:pos="989"/>
        </w:tabs>
        <w:ind w:left="989" w:hanging="283"/>
        <w:rPr>
          <w:noProof w:val="0"/>
        </w:rPr>
      </w:pPr>
      <w:r w:rsidRPr="00C4007B">
        <w:rPr>
          <w:noProof w:val="0"/>
        </w:rPr>
        <w:t>a useful aid to business in developing their own code of conduct (they are not aimed at replacing or preventing companies from developing their own codes);</w:t>
      </w:r>
    </w:p>
    <w:p w14:paraId="2B9DEF49" w14:textId="77777777" w:rsidR="00341213" w:rsidRPr="00C4007B" w:rsidRDefault="00341213" w:rsidP="00341213">
      <w:pPr>
        <w:pStyle w:val="Bullet"/>
        <w:tabs>
          <w:tab w:val="num" w:pos="989"/>
        </w:tabs>
        <w:ind w:left="989" w:hanging="283"/>
        <w:rPr>
          <w:noProof w:val="0"/>
        </w:rPr>
      </w:pPr>
      <w:r w:rsidRPr="00C4007B">
        <w:rPr>
          <w:noProof w:val="0"/>
        </w:rPr>
        <w:t>complementary to other business, national and international initiatives on corporate responsibility, including domestic and international law in specific areas such as human rights and bribery; and</w:t>
      </w:r>
    </w:p>
    <w:p w14:paraId="64F18947" w14:textId="77777777" w:rsidR="00341213" w:rsidRPr="00C4007B" w:rsidRDefault="00341213" w:rsidP="00341213">
      <w:pPr>
        <w:pStyle w:val="Bullet"/>
        <w:tabs>
          <w:tab w:val="num" w:pos="989"/>
        </w:tabs>
        <w:ind w:left="989" w:hanging="283"/>
        <w:rPr>
          <w:noProof w:val="0"/>
        </w:rPr>
      </w:pPr>
      <w:r w:rsidRPr="00C4007B">
        <w:rPr>
          <w:noProof w:val="0"/>
        </w:rPr>
        <w:t>providing an informal structure for resolving issues that may arise in relation to implementation of the OECD Guidelines in specific instances.</w:t>
      </w:r>
    </w:p>
    <w:p w14:paraId="212C46C1" w14:textId="77777777" w:rsidR="00CE6E73" w:rsidRPr="00C4007B" w:rsidRDefault="00CE6E73" w:rsidP="003A04EB">
      <w:pPr>
        <w:rPr>
          <w:noProof w:val="0"/>
        </w:rPr>
      </w:pPr>
    </w:p>
    <w:p w14:paraId="3AA32B69" w14:textId="77777777" w:rsidR="00CE6E73" w:rsidRPr="00C4007B" w:rsidRDefault="00CE6E73" w:rsidP="003A04EB">
      <w:pPr>
        <w:rPr>
          <w:noProof w:val="0"/>
        </w:rPr>
      </w:pPr>
    </w:p>
    <w:p w14:paraId="20C5380F" w14:textId="77777777" w:rsidR="00CE6E73" w:rsidRPr="00C4007B" w:rsidRDefault="00CE6E73" w:rsidP="00350A19">
      <w:pPr>
        <w:rPr>
          <w:noProof w:val="0"/>
        </w:rPr>
      </w:pPr>
    </w:p>
    <w:p w14:paraId="490453EB" w14:textId="77777777" w:rsidR="00472F12" w:rsidRPr="00C4007B" w:rsidRDefault="00472F12">
      <w:pPr>
        <w:spacing w:after="200" w:line="276" w:lineRule="auto"/>
        <w:jc w:val="left"/>
        <w:rPr>
          <w:rFonts w:ascii="Calibri" w:hAnsi="Calibri" w:cs="Arial"/>
          <w:b/>
          <w:caps/>
          <w:noProof w:val="0"/>
          <w:color w:val="3A87C8"/>
          <w:kern w:val="32"/>
          <w:sz w:val="44"/>
          <w:szCs w:val="36"/>
        </w:rPr>
      </w:pPr>
      <w:r w:rsidRPr="00C4007B">
        <w:br w:type="page"/>
      </w:r>
    </w:p>
    <w:p w14:paraId="46142840" w14:textId="77777777" w:rsidR="002A046F" w:rsidRPr="00C4007B" w:rsidRDefault="002A046F" w:rsidP="00DF55A2">
      <w:pPr>
        <w:pStyle w:val="Heading1"/>
      </w:pPr>
      <w:bookmarkStart w:id="18" w:name="_Toc27053475"/>
      <w:r w:rsidRPr="00C4007B">
        <w:lastRenderedPageBreak/>
        <w:t>Governance</w:t>
      </w:r>
      <w:bookmarkEnd w:id="18"/>
      <w:r w:rsidR="00CE6E73" w:rsidRPr="00C4007B">
        <w:t xml:space="preserve"> </w:t>
      </w:r>
    </w:p>
    <w:p w14:paraId="0E58FCD7" w14:textId="77777777" w:rsidR="00341213" w:rsidRPr="00C4007B" w:rsidRDefault="00341213" w:rsidP="00BD4B5B">
      <w:pPr>
        <w:pStyle w:val="OutlineNumbered1"/>
        <w:spacing w:after="200" w:line="276" w:lineRule="auto"/>
        <w:rPr>
          <w:noProof w:val="0"/>
        </w:rPr>
      </w:pPr>
      <w:r w:rsidRPr="00C4007B">
        <w:rPr>
          <w:noProof w:val="0"/>
        </w:rPr>
        <w:t>Countries adhering to the OECD Guidelines have flexibility in organising their National Contact Points (NCPs) and in seeking the active support of social partners, including the business community, worker organisations, other non-governmental organisations, and other interested parties.</w:t>
      </w:r>
    </w:p>
    <w:p w14:paraId="06E87291" w14:textId="77777777" w:rsidR="00341213" w:rsidRPr="00C4007B" w:rsidRDefault="00341213" w:rsidP="00BD4B5B">
      <w:pPr>
        <w:pStyle w:val="OutlineNumbered1"/>
        <w:spacing w:after="200" w:line="276" w:lineRule="auto"/>
        <w:rPr>
          <w:noProof w:val="0"/>
        </w:rPr>
      </w:pPr>
      <w:r w:rsidRPr="00C4007B">
        <w:rPr>
          <w:noProof w:val="0"/>
        </w:rPr>
        <w:t>Accordingly, the OECD Guidelines stipulate that NCPs:</w:t>
      </w:r>
      <w:r w:rsidR="00AA4ACC" w:rsidRPr="00C4007B">
        <w:rPr>
          <w:noProof w:val="0"/>
        </w:rPr>
        <w:t xml:space="preserve"> </w:t>
      </w:r>
    </w:p>
    <w:p w14:paraId="1E7FC978" w14:textId="77777777" w:rsidR="00341213" w:rsidRPr="00C4007B" w:rsidRDefault="00341213" w:rsidP="00BD4B5B">
      <w:pPr>
        <w:pStyle w:val="AlphaParagraph"/>
        <w:numPr>
          <w:ilvl w:val="2"/>
          <w:numId w:val="13"/>
        </w:numPr>
        <w:rPr>
          <w:b/>
          <w:noProof w:val="0"/>
        </w:rPr>
      </w:pPr>
      <w:r w:rsidRPr="00C4007B">
        <w:rPr>
          <w:noProof w:val="0"/>
        </w:rPr>
        <w:t>will be composed and organised such that they provide an effective basis for dealing with the broad range of issues covered by the OECD Guidelines and enable the NCP to operate in an impartial manner while maintaining an adequate level of accountability to the adhering government;</w:t>
      </w:r>
    </w:p>
    <w:p w14:paraId="2760BB31" w14:textId="77777777" w:rsidR="00341213" w:rsidRPr="00C4007B" w:rsidRDefault="00341213" w:rsidP="00BD4B5B">
      <w:pPr>
        <w:pStyle w:val="AlphaParagraph"/>
        <w:numPr>
          <w:ilvl w:val="2"/>
          <w:numId w:val="8"/>
        </w:numPr>
        <w:rPr>
          <w:b/>
          <w:noProof w:val="0"/>
        </w:rPr>
      </w:pPr>
      <w:r w:rsidRPr="00C4007B">
        <w:rPr>
          <w:noProof w:val="0"/>
        </w:rPr>
        <w:t>can use different forms of organisation to meet this objective. A NCP can consist of senior representatives from one or more ministries, may be a senior government official or a government office headed by a senior official, be an interagency group, or one that contains independent experts. Representatives of the business community, worker organisations and other non-governmental organisations may also be included; and</w:t>
      </w:r>
    </w:p>
    <w:p w14:paraId="44F9FBED" w14:textId="77777777" w:rsidR="00341213" w:rsidRPr="00C4007B" w:rsidRDefault="00341213" w:rsidP="00BD4B5B">
      <w:pPr>
        <w:pStyle w:val="AlphaParagraph"/>
        <w:numPr>
          <w:ilvl w:val="2"/>
          <w:numId w:val="8"/>
        </w:numPr>
        <w:rPr>
          <w:b/>
          <w:noProof w:val="0"/>
        </w:rPr>
      </w:pPr>
      <w:r w:rsidRPr="00C4007B">
        <w:rPr>
          <w:noProof w:val="0"/>
        </w:rPr>
        <w:t>will develop and maintain relations with representatives of the business community, worker organisations and other interested parties that are able to contribute to the effective functioning of the OECD Guidelines.</w:t>
      </w:r>
    </w:p>
    <w:p w14:paraId="4542849F" w14:textId="77777777" w:rsidR="000F0180" w:rsidRPr="00C4007B" w:rsidRDefault="000F0180" w:rsidP="00BD4B5B">
      <w:pPr>
        <w:pStyle w:val="OutlineNumbered1"/>
        <w:spacing w:after="200" w:line="276" w:lineRule="auto"/>
        <w:rPr>
          <w:noProof w:val="0"/>
        </w:rPr>
      </w:pPr>
      <w:r w:rsidRPr="00C4007B">
        <w:rPr>
          <w:noProof w:val="0"/>
        </w:rPr>
        <w:t>T</w:t>
      </w:r>
      <w:r w:rsidR="00341213" w:rsidRPr="00C4007B">
        <w:rPr>
          <w:noProof w:val="0"/>
        </w:rPr>
        <w:t xml:space="preserve">he </w:t>
      </w:r>
      <w:hyperlink r:id="rId45" w:history="1">
        <w:r w:rsidR="00341213" w:rsidRPr="00A47E66">
          <w:rPr>
            <w:rStyle w:val="Hyperlink"/>
            <w:b w:val="0"/>
          </w:rPr>
          <w:t>AusNCP Governance and Advisory Board</w:t>
        </w:r>
      </w:hyperlink>
      <w:r w:rsidR="00341213" w:rsidRPr="002D7810">
        <w:rPr>
          <w:noProof w:val="0"/>
        </w:rPr>
        <w:t xml:space="preserve"> (the Board), which includes </w:t>
      </w:r>
      <w:r w:rsidR="00341213" w:rsidRPr="002D7810">
        <w:rPr>
          <w:noProof w:val="0"/>
        </w:rPr>
        <w:br/>
        <w:t>non-government members as well as representatives from key government agencies</w:t>
      </w:r>
      <w:r w:rsidRPr="00C4007B">
        <w:rPr>
          <w:noProof w:val="0"/>
        </w:rPr>
        <w:t>, provides advice and assistance to the AusNCP</w:t>
      </w:r>
      <w:r w:rsidR="0029228C" w:rsidRPr="00C4007B">
        <w:rPr>
          <w:noProof w:val="0"/>
        </w:rPr>
        <w:t xml:space="preserve"> Secretariat</w:t>
      </w:r>
      <w:r w:rsidRPr="00C4007B">
        <w:rPr>
          <w:noProof w:val="0"/>
        </w:rPr>
        <w:t xml:space="preserve"> in relation to the handling of complaints. The Board was consulted in the development of this statement</w:t>
      </w:r>
      <w:r w:rsidR="00341213" w:rsidRPr="00C4007B">
        <w:rPr>
          <w:noProof w:val="0"/>
        </w:rPr>
        <w:t xml:space="preserve">. </w:t>
      </w:r>
    </w:p>
    <w:p w14:paraId="23E69337" w14:textId="77777777" w:rsidR="000F0180" w:rsidRPr="00C4007B" w:rsidRDefault="000F0180" w:rsidP="00BD4B5B">
      <w:pPr>
        <w:pStyle w:val="OutlineNumbered1"/>
        <w:spacing w:after="200" w:line="276" w:lineRule="auto"/>
        <w:rPr>
          <w:noProof w:val="0"/>
        </w:rPr>
      </w:pPr>
      <w:r w:rsidRPr="00C4007B">
        <w:rPr>
          <w:noProof w:val="0"/>
        </w:rPr>
        <w:t>The Board helps to ensure that the AusNCP is visible, accessible, transparent and accountable, in accordance with its obligations under the OECD Guidelines for Multinational Enterprises. Members may be called on to conduct procedural reviews of AusNCP complaints and may be consulted on various operational and administrative matters as needed.</w:t>
      </w:r>
    </w:p>
    <w:p w14:paraId="5FAA7B72" w14:textId="3274BBFC" w:rsidR="00A66BF7" w:rsidRPr="002D7810" w:rsidRDefault="006661B8" w:rsidP="001913E3">
      <w:pPr>
        <w:pStyle w:val="OutlineNumbered1"/>
        <w:spacing w:after="200" w:line="276" w:lineRule="auto"/>
        <w:rPr>
          <w:noProof w:val="0"/>
        </w:rPr>
      </w:pPr>
      <w:r w:rsidRPr="007150EC">
        <w:t xml:space="preserve">From September 2019, all new cases will be managed by an Independent Examiner, who will be supported by the AusNCP Secretariat and the Board. </w:t>
      </w:r>
      <w:r w:rsidRPr="007150EC">
        <w:br/>
      </w:r>
      <w:r w:rsidR="00874BF2">
        <w:t xml:space="preserve">The Australian National Contact Point, held by a Senior Executive official in the Treasury, retains </w:t>
      </w:r>
      <w:r>
        <w:t>responsibility for current cases submitted prior to September 2019</w:t>
      </w:r>
      <w:r w:rsidR="00874BF2">
        <w:rPr>
          <w:noProof w:val="0"/>
        </w:rPr>
        <w:t>.</w:t>
      </w:r>
      <w:r w:rsidR="0029228C" w:rsidRPr="002D7810">
        <w:rPr>
          <w:noProof w:val="0"/>
        </w:rPr>
        <w:t xml:space="preserve"> </w:t>
      </w:r>
    </w:p>
    <w:sectPr w:rsidR="00A66BF7" w:rsidRPr="002D7810" w:rsidSect="007965C4">
      <w:pgSz w:w="11906" w:h="16838" w:code="277"/>
      <w:pgMar w:top="1418" w:right="1418" w:bottom="1418" w:left="1418" w:header="765" w:footer="765"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0E4E6" w16cid:durableId="21920481"/>
  <w16cid:commentId w16cid:paraId="682B09B1" w16cid:durableId="219204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2F167" w14:textId="77777777" w:rsidR="00B74E64" w:rsidRDefault="00B74E64" w:rsidP="00350A19">
      <w:r>
        <w:separator/>
      </w:r>
    </w:p>
  </w:endnote>
  <w:endnote w:type="continuationSeparator" w:id="0">
    <w:p w14:paraId="304DB1E5" w14:textId="77777777" w:rsidR="00B74E64" w:rsidRDefault="00B74E64" w:rsidP="00350A19">
      <w:r>
        <w:continuationSeparator/>
      </w:r>
    </w:p>
  </w:endnote>
  <w:endnote w:type="continuationNotice" w:id="1">
    <w:p w14:paraId="52F7BFCF" w14:textId="77777777" w:rsidR="00B74E64" w:rsidRDefault="00B74E64" w:rsidP="00350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981C" w14:textId="77777777" w:rsidR="00B74E64" w:rsidRPr="00CE6E73" w:rsidRDefault="00B74E64" w:rsidP="00577256">
    <w:pPr>
      <w:pStyle w:val="FooterEven"/>
      <w:jc w:val="right"/>
    </w:pPr>
    <w:r>
      <w:t xml:space="preserve">Page </w:t>
    </w:r>
    <w:r>
      <w:fldChar w:fldCharType="begin"/>
    </w:r>
    <w:r>
      <w:instrText xml:space="preserve"> PAGE  \* Arabic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2242" w14:textId="77777777" w:rsidR="00B74E64" w:rsidRPr="005A096D" w:rsidRDefault="00B74E64" w:rsidP="005A096D">
    <w:pPr>
      <w:pStyle w:val="FooterOdd"/>
    </w:pPr>
    <w:r>
      <w:t xml:space="preserve">Page </w:t>
    </w:r>
    <w:r>
      <w:fldChar w:fldCharType="begin"/>
    </w:r>
    <w:r>
      <w:instrText xml:space="preserve"> PAGE  \* Arabic  \* MERGEFORMAT </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9981" w14:textId="77777777" w:rsidR="00B74E64" w:rsidRPr="00AF4526" w:rsidRDefault="00B74E64" w:rsidP="00F65ECD">
    <w:pPr>
      <w:pStyle w:val="Disclaimer"/>
      <w:rPr>
        <w:lang w:val="en-US"/>
      </w:rPr>
    </w:pPr>
    <w:r w:rsidRPr="00AF4526">
      <w:rPr>
        <w:lang w:val="en-US"/>
      </w:rPr>
      <w:t>Disclaimer</w:t>
    </w:r>
  </w:p>
  <w:p w14:paraId="4F95B76A" w14:textId="77777777" w:rsidR="00B74E64" w:rsidRPr="00605AB0" w:rsidRDefault="00B74E64" w:rsidP="00F65ECD">
    <w:pPr>
      <w:pStyle w:val="Disclaimer"/>
    </w:pPr>
    <w:r>
      <w:rPr>
        <w:lang w:val="en-US"/>
      </w:rPr>
      <w:t>The</w:t>
    </w:r>
    <w:r w:rsidRPr="00AF4526">
      <w:rPr>
        <w:lang w:val="en-US"/>
      </w:rPr>
      <w:t xml:space="preserve"> information contained within this document is intended to inform the reader of the general processes and undertakings arising from a specific instance complaint raised with the Australian National Contact Point for the OECD Guidelines for Multinational Enterprises. It is made available on the understanding that the Australian Treasury, as a result of providing this information, is not engaged in providing professional or legal advice</w:t>
    </w:r>
    <w:r>
      <w:rPr>
        <w:lang w:val="en-US"/>
      </w:rPr>
      <w:t xml:space="preserve">, nor does it </w:t>
    </w:r>
    <w:r w:rsidRPr="001772B9">
      <w:rPr>
        <w:lang w:val="en-US"/>
      </w:rPr>
      <w:t xml:space="preserve">accept </w:t>
    </w:r>
    <w:r>
      <w:rPr>
        <w:lang w:val="en-US"/>
      </w:rPr>
      <w:t>any</w:t>
    </w:r>
    <w:r w:rsidRPr="001772B9">
      <w:rPr>
        <w:lang w:val="en-US"/>
      </w:rPr>
      <w:t xml:space="preserve"> responsibility for the accuracy or completeness of any material contained </w:t>
    </w:r>
    <w:r w:rsidRPr="00AF4526">
      <w:rPr>
        <w:lang w:val="en-US"/>
      </w:rPr>
      <w:t>herein</w:t>
    </w:r>
    <w:r>
      <w:rPr>
        <w:lang w:val="en-US"/>
      </w:rPr>
      <w:t xml:space="preserve">. Readers should </w:t>
    </w:r>
    <w:r w:rsidRPr="001772B9">
      <w:rPr>
        <w:lang w:val="en-US"/>
      </w:rPr>
      <w:t xml:space="preserve">exercise their own </w:t>
    </w:r>
    <w:r w:rsidRPr="00AF4526">
      <w:rPr>
        <w:lang w:val="en-US"/>
      </w:rPr>
      <w:t xml:space="preserve">judgement </w:t>
    </w:r>
    <w:r w:rsidRPr="001772B9">
      <w:rPr>
        <w:lang w:val="en-US"/>
      </w:rPr>
      <w:t xml:space="preserve">with respect to </w:t>
    </w:r>
    <w:r w:rsidRPr="00AF4526">
      <w:rPr>
        <w:lang w:val="en-US"/>
      </w:rPr>
      <w:t>interpretation</w:t>
    </w:r>
    <w:r w:rsidRPr="001772B9">
      <w:rPr>
        <w:lang w:val="en-US"/>
      </w:rPr>
      <w:t>.</w:t>
    </w:r>
    <w:r w:rsidRPr="00AF4526">
      <w:rPr>
        <w:lang w:val="en-US"/>
      </w:rPr>
      <w:t xml:space="preserve"> This </w:t>
    </w:r>
    <w:r w:rsidRPr="001772B9">
      <w:rPr>
        <w:lang w:val="en-US"/>
      </w:rPr>
      <w:t>material include</w:t>
    </w:r>
    <w:r w:rsidRPr="00AF4526">
      <w:rPr>
        <w:lang w:val="en-US"/>
      </w:rPr>
      <w:t>s the</w:t>
    </w:r>
    <w:r w:rsidRPr="001772B9">
      <w:rPr>
        <w:lang w:val="en-US"/>
      </w:rPr>
      <w:t xml:space="preserve"> views of third parties, which do not necessarily reflect the views of the Commonwealth, or indicate its commitment to a particular course of action.</w:t>
    </w:r>
    <w:r w:rsidRPr="00AF4526">
      <w:rPr>
        <w:lang w:val="en-US"/>
      </w:rPr>
      <w:t xml:space="preserve"> </w:t>
    </w:r>
    <w:r w:rsidRPr="001772B9">
      <w:rPr>
        <w:lang w:val="en-US"/>
      </w:rPr>
      <w:t xml:space="preserve">Links to other websites </w:t>
    </w:r>
    <w:r>
      <w:rPr>
        <w:lang w:val="en-US"/>
      </w:rPr>
      <w:t xml:space="preserve">and listings of other people or organisations </w:t>
    </w:r>
    <w:r w:rsidRPr="001772B9">
      <w:rPr>
        <w:lang w:val="en-US"/>
      </w:rPr>
      <w:t xml:space="preserve">are </w:t>
    </w:r>
    <w:r>
      <w:rPr>
        <w:lang w:val="en-US"/>
      </w:rPr>
      <w:t xml:space="preserve">included </w:t>
    </w:r>
    <w:r w:rsidRPr="001772B9">
      <w:rPr>
        <w:lang w:val="en-US"/>
      </w:rPr>
      <w:t>for convenience and do not constitute endorsement of those sites, product</w:t>
    </w:r>
    <w:r>
      <w:rPr>
        <w:lang w:val="en-US"/>
      </w:rPr>
      <w:t>s</w:t>
    </w:r>
    <w:r w:rsidRPr="001772B9">
      <w:rPr>
        <w:lang w:val="en-US"/>
      </w:rPr>
      <w:t xml:space="preserve"> or service</w:t>
    </w:r>
    <w:r>
      <w:rPr>
        <w:lang w:val="en-US"/>
      </w:rPr>
      <w:t>s</w:t>
    </w:r>
    <w:r w:rsidRPr="001772B9">
      <w:rPr>
        <w:lang w:val="en-US"/>
      </w:rPr>
      <w:t>.</w:t>
    </w:r>
    <w:r>
      <w:rPr>
        <w:lang w:val="en-US"/>
      </w:rPr>
      <w:t xml:space="preserve"> </w:t>
    </w:r>
    <w:r w:rsidRPr="0094629C">
      <w:rPr>
        <w:lang w:val="en-US"/>
      </w:rPr>
      <w:t xml:space="preserve">The Commonwealth Government respects the privacy of personal </w:t>
    </w:r>
    <w:r>
      <w:rPr>
        <w:lang w:val="en-US"/>
      </w:rPr>
      <w:t xml:space="preserve">and commercially sensitive </w:t>
    </w:r>
    <w:r w:rsidRPr="0094629C">
      <w:rPr>
        <w:lang w:val="en-US"/>
      </w:rPr>
      <w:t xml:space="preserve">information provided by </w:t>
    </w:r>
    <w:r>
      <w:rPr>
        <w:lang w:val="en-US"/>
      </w:rPr>
      <w:t>parties</w:t>
    </w:r>
    <w:r w:rsidRPr="0094629C">
      <w:rPr>
        <w:lang w:val="en-US"/>
      </w:rPr>
      <w:t>, as per the requirements of the Privacy Act 1988 and the Freedom of Information Act 1982.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E03A" w14:textId="77777777" w:rsidR="00B74E64" w:rsidRDefault="00B74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724188347"/>
      <w:docPartObj>
        <w:docPartGallery w:val="Page Numbers (Bottom of Page)"/>
        <w:docPartUnique/>
      </w:docPartObj>
    </w:sdtPr>
    <w:sdtEndPr>
      <w:rPr>
        <w:noProof/>
      </w:rPr>
    </w:sdtEndPr>
    <w:sdtContent>
      <w:p w14:paraId="70826C5B" w14:textId="36296F64" w:rsidR="00B74E64" w:rsidRDefault="00B74E64">
        <w:pPr>
          <w:pStyle w:val="Footer"/>
          <w:jc w:val="right"/>
        </w:pPr>
        <w:r>
          <w:rPr>
            <w:noProof w:val="0"/>
          </w:rPr>
          <w:fldChar w:fldCharType="begin"/>
        </w:r>
        <w:r>
          <w:instrText xml:space="preserve"> PAGE   \* MERGEFORMAT </w:instrText>
        </w:r>
        <w:r>
          <w:rPr>
            <w:noProof w:val="0"/>
          </w:rPr>
          <w:fldChar w:fldCharType="separate"/>
        </w:r>
        <w:r w:rsidR="00484112">
          <w:t>11</w:t>
        </w:r>
        <w:r>
          <w:fldChar w:fldCharType="end"/>
        </w:r>
      </w:p>
    </w:sdtContent>
  </w:sdt>
  <w:p w14:paraId="5683C1BD" w14:textId="77777777" w:rsidR="00B74E64" w:rsidRDefault="00B74E64" w:rsidP="00C85127">
    <w:pPr>
      <w:pStyle w:val="Footer"/>
      <w:tabs>
        <w:tab w:val="clear" w:pos="9026"/>
        <w:tab w:val="left" w:pos="5040"/>
        <w:tab w:val="left" w:pos="5760"/>
        <w:tab w:val="left" w:pos="6480"/>
      </w:tabs>
      <w:jc w:val="left"/>
    </w:pPr>
    <w:r>
      <w:tab/>
    </w:r>
    <w:r>
      <w:tab/>
    </w: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6236" w14:textId="77777777" w:rsidR="00B74E64" w:rsidRPr="00605AB0" w:rsidRDefault="00B74E64" w:rsidP="00CE6E73">
    <w:pPr>
      <w:pStyle w:val="FooterOd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96A4B" w14:textId="77777777" w:rsidR="00B74E64" w:rsidRDefault="00B74E64" w:rsidP="00350A19">
      <w:r>
        <w:separator/>
      </w:r>
    </w:p>
  </w:footnote>
  <w:footnote w:type="continuationSeparator" w:id="0">
    <w:p w14:paraId="6455FC2D" w14:textId="77777777" w:rsidR="00B74E64" w:rsidRDefault="00B74E64" w:rsidP="00350A19">
      <w:r>
        <w:continuationSeparator/>
      </w:r>
    </w:p>
  </w:footnote>
  <w:footnote w:type="continuationNotice" w:id="1">
    <w:p w14:paraId="2305D7F2" w14:textId="77777777" w:rsidR="00B74E64" w:rsidRDefault="00B74E64" w:rsidP="00350A19"/>
  </w:footnote>
  <w:footnote w:id="2">
    <w:p w14:paraId="0ED256C6" w14:textId="7A7AD8B3" w:rsidR="00B74E64" w:rsidRDefault="00B74E64">
      <w:pPr>
        <w:pStyle w:val="FootnoteText"/>
      </w:pPr>
      <w:r>
        <w:rPr>
          <w:rStyle w:val="FootnoteReference"/>
        </w:rPr>
        <w:footnoteRef/>
      </w:r>
      <w:r>
        <w:t xml:space="preserve"> Submission IUF-AusNCP, 9 December 2019</w:t>
      </w:r>
    </w:p>
  </w:footnote>
  <w:footnote w:id="3">
    <w:p w14:paraId="294DFD18" w14:textId="662AA550" w:rsidR="00B74E64" w:rsidRDefault="00B74E64">
      <w:pPr>
        <w:pStyle w:val="FootnoteText"/>
      </w:pPr>
      <w:r>
        <w:rPr>
          <w:rStyle w:val="FootnoteReference"/>
        </w:rPr>
        <w:footnoteRef/>
      </w:r>
      <w:r>
        <w:t xml:space="preserve"> See Paragraph 4.10 of the AusNCP C</w:t>
      </w:r>
      <w:r w:rsidRPr="00B75B16">
        <w:t xml:space="preserve">omplaint </w:t>
      </w:r>
      <w:r>
        <w:t>P</w:t>
      </w:r>
      <w:r w:rsidRPr="00B75B16">
        <w:t>rocedures</w:t>
      </w:r>
      <w:r>
        <w:t>, September 2019.</w:t>
      </w:r>
    </w:p>
  </w:footnote>
  <w:footnote w:id="4">
    <w:p w14:paraId="3734A0AF" w14:textId="6D2A8C86" w:rsidR="00B74E64" w:rsidRDefault="00B74E64" w:rsidP="00FA5719">
      <w:pPr>
        <w:pStyle w:val="FootnoteText"/>
      </w:pPr>
      <w:r>
        <w:rPr>
          <w:rStyle w:val="FootnoteReference"/>
        </w:rPr>
        <w:footnoteRef/>
      </w:r>
      <w:r>
        <w:t xml:space="preserve"> See Paragraph 6.6, AusNCP Complaint Procedures, September 2019.</w:t>
      </w:r>
    </w:p>
  </w:footnote>
  <w:footnote w:id="5">
    <w:p w14:paraId="2FF35198" w14:textId="75020418" w:rsidR="00B74E64" w:rsidRDefault="00B74E64" w:rsidP="00AC352D">
      <w:pPr>
        <w:pStyle w:val="FootnoteText"/>
      </w:pPr>
      <w:r>
        <w:rPr>
          <w:rStyle w:val="FootnoteReference"/>
        </w:rPr>
        <w:footnoteRef/>
      </w:r>
      <w:r>
        <w:t xml:space="preserve"> Submission to </w:t>
      </w:r>
      <w:r>
        <w:rPr>
          <w:noProof w:val="0"/>
        </w:rPr>
        <w:t>AusNCP, 29 August 2019</w:t>
      </w:r>
    </w:p>
  </w:footnote>
  <w:footnote w:id="6">
    <w:p w14:paraId="248DFFD3" w14:textId="77777777" w:rsidR="00B74E64" w:rsidRDefault="00B74E64">
      <w:pPr>
        <w:pStyle w:val="FootnoteText"/>
      </w:pPr>
      <w:r>
        <w:rPr>
          <w:rStyle w:val="FootnoteReference"/>
        </w:rPr>
        <w:footnoteRef/>
      </w:r>
      <w:r>
        <w:t xml:space="preserve"> Ibid</w:t>
      </w:r>
    </w:p>
  </w:footnote>
  <w:footnote w:id="7">
    <w:p w14:paraId="769BFFB1" w14:textId="77777777" w:rsidR="00B74E64" w:rsidRDefault="00B74E64">
      <w:pPr>
        <w:pStyle w:val="FootnoteText"/>
      </w:pPr>
      <w:r>
        <w:rPr>
          <w:rStyle w:val="FootnoteReference"/>
        </w:rPr>
        <w:footnoteRef/>
      </w:r>
      <w:r>
        <w:t xml:space="preserve"> Ibid</w:t>
      </w:r>
    </w:p>
  </w:footnote>
  <w:footnote w:id="8">
    <w:p w14:paraId="59AD126D" w14:textId="77777777" w:rsidR="00B74E64" w:rsidRDefault="00B74E64">
      <w:pPr>
        <w:pStyle w:val="FootnoteText"/>
      </w:pPr>
      <w:r>
        <w:rPr>
          <w:rStyle w:val="FootnoteReference"/>
        </w:rPr>
        <w:footnoteRef/>
      </w:r>
      <w:r>
        <w:t xml:space="preserve"> See Paragraphs 4.8 and 4.9 of the AusNCP Complaint Procedures, September 2019.</w:t>
      </w:r>
    </w:p>
  </w:footnote>
  <w:footnote w:id="9">
    <w:p w14:paraId="5FA8B371" w14:textId="77777777" w:rsidR="00B74E64" w:rsidRDefault="00B74E64" w:rsidP="00E5045C">
      <w:pPr>
        <w:pStyle w:val="FootnoteText"/>
      </w:pPr>
      <w:r>
        <w:rPr>
          <w:rStyle w:val="FootnoteReference"/>
        </w:rPr>
        <w:footnoteRef/>
      </w:r>
      <w:r>
        <w:t xml:space="preserve"> See Paragraph 4.10 of the AusNCP Complaint Procedures, September 2019</w:t>
      </w:r>
    </w:p>
  </w:footnote>
  <w:footnote w:id="10">
    <w:p w14:paraId="169E49C3" w14:textId="08963704" w:rsidR="00B74E64" w:rsidRDefault="00B74E64">
      <w:pPr>
        <w:pStyle w:val="FootnoteText"/>
      </w:pPr>
      <w:r>
        <w:rPr>
          <w:rStyle w:val="FootnoteReference"/>
        </w:rPr>
        <w:footnoteRef/>
      </w:r>
      <w:r>
        <w:t xml:space="preserve"> Consistent with the</w:t>
      </w:r>
      <w:r w:rsidRPr="00092F09">
        <w:t xml:space="preserve"> principles set out in the</w:t>
      </w:r>
      <w:r w:rsidRPr="009C1861">
        <w:t xml:space="preserve"> </w:t>
      </w:r>
      <w:hyperlink r:id="rId1" w:history="1">
        <w:r w:rsidRPr="009C1861">
          <w:t>OECD Procedural Guidance and Commentary</w:t>
        </w:r>
      </w:hyperlink>
      <w:r w:rsidRPr="009C186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8C10" w14:textId="69CFA07D" w:rsidR="00B74E64" w:rsidRDefault="00B74E64" w:rsidP="003A04EB">
    <w:pPr>
      <w:pStyle w:val="HeaderEven"/>
    </w:pPr>
    <w:fldSimple w:instr=" TITLE   \* MERGEFORMAT ">
      <w:r>
        <w:t>Initial Assessment / Final Statement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6C4F" w14:textId="646A578E" w:rsidR="00B74E64" w:rsidRPr="00653459" w:rsidRDefault="00B74E64" w:rsidP="003A04EB">
    <w:pPr>
      <w:pStyle w:val="HeaderOdd"/>
    </w:pPr>
    <w:sdt>
      <w:sdtPr>
        <w:id w:val="-1135792212"/>
        <w:docPartObj>
          <w:docPartGallery w:val="Watermarks"/>
          <w:docPartUnique/>
        </w:docPartObj>
      </w:sdtPr>
      <w:sdtContent>
        <w:r>
          <w:rPr>
            <w:lang w:val="en-US" w:eastAsia="zh-TW"/>
          </w:rPr>
          <w:pict w14:anchorId="5D332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fldChar w:fldCharType="begin"/>
    </w:r>
    <w:r>
      <w:instrText xml:space="preserve"> STYLEREF  "Heading 1"  \* MERGEFORMAT </w:instrText>
    </w:r>
    <w:r>
      <w:fldChar w:fldCharType="separate"/>
    </w:r>
    <w:r>
      <w:t>Executive Summary</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6AF0" w14:textId="77777777" w:rsidR="00B74E64" w:rsidRDefault="00B74E64" w:rsidP="00F65ECD">
    <w:pPr>
      <w:pStyle w:val="ChartGraphic"/>
    </w:pPr>
    <w:r w:rsidRPr="00F65ECD">
      <w:drawing>
        <wp:inline distT="0" distB="0" distL="0" distR="0" wp14:anchorId="0DEE5BA8" wp14:editId="0C3F01A5">
          <wp:extent cx="1872000" cy="1158416"/>
          <wp:effectExtent l="0" t="0" r="0" b="3810"/>
          <wp:docPr id="26" name="Picture 26" descr="The 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asury_stacked"/>
                  <pic:cNvPicPr>
                    <a:picLocks noChangeAspect="1" noChangeArrowheads="1"/>
                  </pic:cNvPicPr>
                </pic:nvPicPr>
                <pic:blipFill>
                  <a:blip r:embed="rId1"/>
                  <a:srcRect/>
                  <a:stretch>
                    <a:fillRect/>
                  </a:stretch>
                </pic:blipFill>
                <pic:spPr bwMode="auto">
                  <a:xfrm>
                    <a:off x="0" y="0"/>
                    <a:ext cx="1872000" cy="1158416"/>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7490" w14:textId="77777777" w:rsidR="00B74E64" w:rsidRDefault="00B74E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3BE3E" w14:textId="77777777" w:rsidR="00B74E64" w:rsidRDefault="00B74E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366E" w14:textId="77777777" w:rsidR="00B74E64" w:rsidRDefault="00B74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B29"/>
    <w:multiLevelType w:val="hybridMultilevel"/>
    <w:tmpl w:val="53B2682C"/>
    <w:lvl w:ilvl="0" w:tplc="6252673E">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697D4E"/>
    <w:multiLevelType w:val="multilevel"/>
    <w:tmpl w:val="F5E26ECA"/>
    <w:name w:val="StandardNumberedList"/>
    <w:lvl w:ilvl="0">
      <w:start w:val="1"/>
      <w:numFmt w:val="decimal"/>
      <w:lvlText w:val="%1."/>
      <w:lvlJc w:val="left"/>
      <w:pPr>
        <w:tabs>
          <w:tab w:val="num" w:pos="567"/>
        </w:tabs>
        <w:ind w:left="567" w:hanging="567"/>
      </w:pPr>
      <w:rPr>
        <w:rFonts w:asciiTheme="minorHAnsi" w:hAnsiTheme="minorHAnsi" w:hint="default"/>
        <w:b w:val="0"/>
        <w:color w:val="000000" w:themeColor="text1"/>
        <w:sz w:val="24"/>
        <w:szCs w:val="24"/>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7826BF0"/>
    <w:multiLevelType w:val="multilevel"/>
    <w:tmpl w:val="CC660076"/>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425"/>
        </w:tabs>
        <w:ind w:left="425" w:hanging="425"/>
      </w:pPr>
      <w:rPr>
        <w:rFonts w:hint="default"/>
        <w:b/>
        <w:color w:val="5B5E6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7328CF"/>
    <w:multiLevelType w:val="multilevel"/>
    <w:tmpl w:val="7EF4E32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D72F8B"/>
    <w:multiLevelType w:val="hybridMultilevel"/>
    <w:tmpl w:val="666816D0"/>
    <w:lvl w:ilvl="0" w:tplc="7A544CB0">
      <w:start w:val="1"/>
      <w:numFmt w:val="bullet"/>
      <w:pStyle w:val="TableTextLeft-Bullet"/>
      <w:lvlText w:val="•"/>
      <w:lvlJc w:val="left"/>
      <w:pPr>
        <w:tabs>
          <w:tab w:val="num" w:pos="284"/>
        </w:tabs>
        <w:ind w:left="284" w:hanging="284"/>
      </w:pPr>
      <w:rPr>
        <w:rFonts w:ascii="Calibri Light" w:hAnsi="Calibri Light"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1D6C24"/>
    <w:multiLevelType w:val="multilevel"/>
    <w:tmpl w:val="8422AEC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AB429D"/>
    <w:multiLevelType w:val="hybridMultilevel"/>
    <w:tmpl w:val="15443318"/>
    <w:lvl w:ilvl="0" w:tplc="8C4CBA8A">
      <w:start w:val="1"/>
      <w:numFmt w:val="decimal"/>
      <w:pStyle w:val="OutlineNumbered1"/>
      <w:lvlText w:val="%1."/>
      <w:lvlJc w:val="left"/>
      <w:pPr>
        <w:tabs>
          <w:tab w:val="num" w:pos="425"/>
        </w:tabs>
        <w:ind w:left="425" w:hanging="425"/>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117D8C"/>
    <w:multiLevelType w:val="multilevel"/>
    <w:tmpl w:val="0D061A9C"/>
    <w:lvl w:ilvl="0">
      <w:start w:val="1"/>
      <w:numFmt w:val="lowerRoman"/>
      <w:pStyle w:val="OutlineNumbered1-Roman"/>
      <w:lvlText w:val="%1."/>
      <w:lvlJc w:val="left"/>
      <w:pPr>
        <w:tabs>
          <w:tab w:val="num" w:pos="851"/>
        </w:tabs>
        <w:ind w:left="851" w:hanging="426"/>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9"/>
  </w:num>
  <w:num w:numId="4">
    <w:abstractNumId w:val="2"/>
  </w:num>
  <w:num w:numId="5">
    <w:abstractNumId w:val="3"/>
  </w:num>
  <w:num w:numId="6">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
  </w:num>
  <w:num w:numId="8">
    <w:abstractNumId w:val="6"/>
  </w:num>
  <w:num w:numId="9">
    <w:abstractNumId w:val="14"/>
  </w:num>
  <w:num w:numId="10">
    <w:abstractNumId w:val="13"/>
  </w:num>
  <w:num w:numId="11">
    <w:abstractNumId w:val="13"/>
    <w:lvlOverride w:ilvl="0">
      <w:startOverride w:val="1"/>
    </w:lvlOverride>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13"/>
    <w:lvlOverride w:ilvl="0">
      <w:startOverride w:val="1"/>
    </w:lvlOverride>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4"/>
  </w:num>
  <w:num w:numId="39">
    <w:abstractNumId w:val="14"/>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E"/>
    <w:rsid w:val="00000526"/>
    <w:rsid w:val="00002BD3"/>
    <w:rsid w:val="0000378E"/>
    <w:rsid w:val="00003919"/>
    <w:rsid w:val="00004B6F"/>
    <w:rsid w:val="00014352"/>
    <w:rsid w:val="000149C8"/>
    <w:rsid w:val="00015FF4"/>
    <w:rsid w:val="00016345"/>
    <w:rsid w:val="00017AD6"/>
    <w:rsid w:val="00017BAF"/>
    <w:rsid w:val="00020867"/>
    <w:rsid w:val="000241C3"/>
    <w:rsid w:val="00024C93"/>
    <w:rsid w:val="0003138B"/>
    <w:rsid w:val="00031B3E"/>
    <w:rsid w:val="00033B98"/>
    <w:rsid w:val="0003487D"/>
    <w:rsid w:val="00042F81"/>
    <w:rsid w:val="00043A1C"/>
    <w:rsid w:val="00047714"/>
    <w:rsid w:val="0005036A"/>
    <w:rsid w:val="000553D3"/>
    <w:rsid w:val="00055D08"/>
    <w:rsid w:val="00056A2C"/>
    <w:rsid w:val="00061C09"/>
    <w:rsid w:val="00064924"/>
    <w:rsid w:val="000655B0"/>
    <w:rsid w:val="00065933"/>
    <w:rsid w:val="00065CF1"/>
    <w:rsid w:val="00066D6D"/>
    <w:rsid w:val="00067B50"/>
    <w:rsid w:val="00071095"/>
    <w:rsid w:val="000723EA"/>
    <w:rsid w:val="00072527"/>
    <w:rsid w:val="000726F1"/>
    <w:rsid w:val="00074578"/>
    <w:rsid w:val="00074F7F"/>
    <w:rsid w:val="00082C37"/>
    <w:rsid w:val="00084525"/>
    <w:rsid w:val="0008493F"/>
    <w:rsid w:val="0008568F"/>
    <w:rsid w:val="00087602"/>
    <w:rsid w:val="0009035A"/>
    <w:rsid w:val="00092F09"/>
    <w:rsid w:val="00096809"/>
    <w:rsid w:val="000A0135"/>
    <w:rsid w:val="000A136C"/>
    <w:rsid w:val="000A1DBF"/>
    <w:rsid w:val="000A2CF6"/>
    <w:rsid w:val="000A33D5"/>
    <w:rsid w:val="000A4661"/>
    <w:rsid w:val="000A4699"/>
    <w:rsid w:val="000B17BE"/>
    <w:rsid w:val="000B21BA"/>
    <w:rsid w:val="000B3839"/>
    <w:rsid w:val="000B4114"/>
    <w:rsid w:val="000C184C"/>
    <w:rsid w:val="000C3907"/>
    <w:rsid w:val="000C4E00"/>
    <w:rsid w:val="000C4E87"/>
    <w:rsid w:val="000D001B"/>
    <w:rsid w:val="000D0E5B"/>
    <w:rsid w:val="000D4E81"/>
    <w:rsid w:val="000E20BC"/>
    <w:rsid w:val="000E24ED"/>
    <w:rsid w:val="000E31E4"/>
    <w:rsid w:val="000E6EEE"/>
    <w:rsid w:val="000E7F09"/>
    <w:rsid w:val="000F0180"/>
    <w:rsid w:val="000F03A8"/>
    <w:rsid w:val="000F37B7"/>
    <w:rsid w:val="000F5D94"/>
    <w:rsid w:val="000F6BD7"/>
    <w:rsid w:val="001009AD"/>
    <w:rsid w:val="00107881"/>
    <w:rsid w:val="001157AB"/>
    <w:rsid w:val="00120A25"/>
    <w:rsid w:val="00122272"/>
    <w:rsid w:val="0012425C"/>
    <w:rsid w:val="001247F5"/>
    <w:rsid w:val="00125196"/>
    <w:rsid w:val="00125F53"/>
    <w:rsid w:val="00127298"/>
    <w:rsid w:val="001328B1"/>
    <w:rsid w:val="00140D83"/>
    <w:rsid w:val="001414B9"/>
    <w:rsid w:val="0014242A"/>
    <w:rsid w:val="0014463B"/>
    <w:rsid w:val="001469F5"/>
    <w:rsid w:val="00147311"/>
    <w:rsid w:val="0015320B"/>
    <w:rsid w:val="001779ED"/>
    <w:rsid w:val="00180CBB"/>
    <w:rsid w:val="001813B5"/>
    <w:rsid w:val="00181EB7"/>
    <w:rsid w:val="001913E3"/>
    <w:rsid w:val="00191CB9"/>
    <w:rsid w:val="00192B83"/>
    <w:rsid w:val="00192BEE"/>
    <w:rsid w:val="00193E74"/>
    <w:rsid w:val="001A0F25"/>
    <w:rsid w:val="001A5A10"/>
    <w:rsid w:val="001A6619"/>
    <w:rsid w:val="001A686B"/>
    <w:rsid w:val="001A786B"/>
    <w:rsid w:val="001B15F7"/>
    <w:rsid w:val="001B1B8C"/>
    <w:rsid w:val="001B4203"/>
    <w:rsid w:val="001B479C"/>
    <w:rsid w:val="001B4B66"/>
    <w:rsid w:val="001C0590"/>
    <w:rsid w:val="001C7608"/>
    <w:rsid w:val="001D34A2"/>
    <w:rsid w:val="001E2398"/>
    <w:rsid w:val="001E51D6"/>
    <w:rsid w:val="001E568F"/>
    <w:rsid w:val="001F1199"/>
    <w:rsid w:val="001F1253"/>
    <w:rsid w:val="001F1799"/>
    <w:rsid w:val="001F3F00"/>
    <w:rsid w:val="001F6E50"/>
    <w:rsid w:val="00203624"/>
    <w:rsid w:val="0020495D"/>
    <w:rsid w:val="00214E28"/>
    <w:rsid w:val="002176AB"/>
    <w:rsid w:val="00220846"/>
    <w:rsid w:val="00221DF8"/>
    <w:rsid w:val="002235A8"/>
    <w:rsid w:val="00226BDA"/>
    <w:rsid w:val="002309E7"/>
    <w:rsid w:val="0023167F"/>
    <w:rsid w:val="002414FF"/>
    <w:rsid w:val="00241799"/>
    <w:rsid w:val="00241BFA"/>
    <w:rsid w:val="00241C52"/>
    <w:rsid w:val="002424CC"/>
    <w:rsid w:val="00243710"/>
    <w:rsid w:val="00243ED8"/>
    <w:rsid w:val="00260032"/>
    <w:rsid w:val="002656B7"/>
    <w:rsid w:val="00265D33"/>
    <w:rsid w:val="00266ADE"/>
    <w:rsid w:val="00274D37"/>
    <w:rsid w:val="002753E7"/>
    <w:rsid w:val="00282981"/>
    <w:rsid w:val="00285252"/>
    <w:rsid w:val="0029228C"/>
    <w:rsid w:val="00293F27"/>
    <w:rsid w:val="00297E21"/>
    <w:rsid w:val="002A046F"/>
    <w:rsid w:val="002A13EA"/>
    <w:rsid w:val="002B5978"/>
    <w:rsid w:val="002C375D"/>
    <w:rsid w:val="002C3DCC"/>
    <w:rsid w:val="002C7FC3"/>
    <w:rsid w:val="002D2E64"/>
    <w:rsid w:val="002D3F13"/>
    <w:rsid w:val="002D6E29"/>
    <w:rsid w:val="002D7810"/>
    <w:rsid w:val="002E0346"/>
    <w:rsid w:val="002E1A79"/>
    <w:rsid w:val="002E3091"/>
    <w:rsid w:val="002E6094"/>
    <w:rsid w:val="002E76CF"/>
    <w:rsid w:val="002F3E13"/>
    <w:rsid w:val="002F4F05"/>
    <w:rsid w:val="002F6678"/>
    <w:rsid w:val="002F6E3A"/>
    <w:rsid w:val="002F6E69"/>
    <w:rsid w:val="003026DD"/>
    <w:rsid w:val="00303807"/>
    <w:rsid w:val="003065AE"/>
    <w:rsid w:val="00320F1E"/>
    <w:rsid w:val="00323854"/>
    <w:rsid w:val="0033045C"/>
    <w:rsid w:val="00341213"/>
    <w:rsid w:val="00345A28"/>
    <w:rsid w:val="00350A19"/>
    <w:rsid w:val="00352644"/>
    <w:rsid w:val="00353976"/>
    <w:rsid w:val="0035669A"/>
    <w:rsid w:val="00361603"/>
    <w:rsid w:val="003632FA"/>
    <w:rsid w:val="00366F85"/>
    <w:rsid w:val="003804B5"/>
    <w:rsid w:val="003814BD"/>
    <w:rsid w:val="00381C8F"/>
    <w:rsid w:val="00383D61"/>
    <w:rsid w:val="00394CC0"/>
    <w:rsid w:val="00395B9A"/>
    <w:rsid w:val="003A04EB"/>
    <w:rsid w:val="003A0682"/>
    <w:rsid w:val="003A30AE"/>
    <w:rsid w:val="003A45FF"/>
    <w:rsid w:val="003A5FCC"/>
    <w:rsid w:val="003A7878"/>
    <w:rsid w:val="003B1B92"/>
    <w:rsid w:val="003B2FE9"/>
    <w:rsid w:val="003B4EDE"/>
    <w:rsid w:val="003B5777"/>
    <w:rsid w:val="003B68B4"/>
    <w:rsid w:val="003D2400"/>
    <w:rsid w:val="003E2CAB"/>
    <w:rsid w:val="003E52DB"/>
    <w:rsid w:val="003E56AD"/>
    <w:rsid w:val="003F035F"/>
    <w:rsid w:val="004003C5"/>
    <w:rsid w:val="00403642"/>
    <w:rsid w:val="00405EAD"/>
    <w:rsid w:val="00406F43"/>
    <w:rsid w:val="00410340"/>
    <w:rsid w:val="00411F39"/>
    <w:rsid w:val="00420060"/>
    <w:rsid w:val="004228AA"/>
    <w:rsid w:val="00424A07"/>
    <w:rsid w:val="004257B9"/>
    <w:rsid w:val="00425C96"/>
    <w:rsid w:val="00435253"/>
    <w:rsid w:val="00435461"/>
    <w:rsid w:val="0044754A"/>
    <w:rsid w:val="004478D2"/>
    <w:rsid w:val="004525FC"/>
    <w:rsid w:val="00452981"/>
    <w:rsid w:val="00454214"/>
    <w:rsid w:val="00454AD7"/>
    <w:rsid w:val="00454D45"/>
    <w:rsid w:val="00457DE8"/>
    <w:rsid w:val="00460A8F"/>
    <w:rsid w:val="00460AF2"/>
    <w:rsid w:val="00463413"/>
    <w:rsid w:val="004638D6"/>
    <w:rsid w:val="00472F12"/>
    <w:rsid w:val="004761AE"/>
    <w:rsid w:val="004776A1"/>
    <w:rsid w:val="00484112"/>
    <w:rsid w:val="004865FB"/>
    <w:rsid w:val="00486CE7"/>
    <w:rsid w:val="00492E99"/>
    <w:rsid w:val="00494A33"/>
    <w:rsid w:val="004A0A11"/>
    <w:rsid w:val="004A28A0"/>
    <w:rsid w:val="004A2D58"/>
    <w:rsid w:val="004A2F53"/>
    <w:rsid w:val="004A54BA"/>
    <w:rsid w:val="004B0077"/>
    <w:rsid w:val="004B1112"/>
    <w:rsid w:val="004C392A"/>
    <w:rsid w:val="004C3AD3"/>
    <w:rsid w:val="004C3E95"/>
    <w:rsid w:val="004D09D8"/>
    <w:rsid w:val="004D1D85"/>
    <w:rsid w:val="004D24CE"/>
    <w:rsid w:val="004D2A20"/>
    <w:rsid w:val="004E034B"/>
    <w:rsid w:val="004F3123"/>
    <w:rsid w:val="004F5C46"/>
    <w:rsid w:val="004F626F"/>
    <w:rsid w:val="00500247"/>
    <w:rsid w:val="00504247"/>
    <w:rsid w:val="00504B72"/>
    <w:rsid w:val="005071B2"/>
    <w:rsid w:val="005116FC"/>
    <w:rsid w:val="00512349"/>
    <w:rsid w:val="00515EFE"/>
    <w:rsid w:val="00522033"/>
    <w:rsid w:val="00526220"/>
    <w:rsid w:val="00531274"/>
    <w:rsid w:val="00545389"/>
    <w:rsid w:val="0054639C"/>
    <w:rsid w:val="005476D8"/>
    <w:rsid w:val="005508B3"/>
    <w:rsid w:val="00550EEF"/>
    <w:rsid w:val="005519C6"/>
    <w:rsid w:val="00561156"/>
    <w:rsid w:val="005646FA"/>
    <w:rsid w:val="005744A4"/>
    <w:rsid w:val="005771D6"/>
    <w:rsid w:val="00577256"/>
    <w:rsid w:val="00584D9D"/>
    <w:rsid w:val="005850B3"/>
    <w:rsid w:val="00585927"/>
    <w:rsid w:val="00586354"/>
    <w:rsid w:val="0059370F"/>
    <w:rsid w:val="00594D5E"/>
    <w:rsid w:val="005960F7"/>
    <w:rsid w:val="005A0115"/>
    <w:rsid w:val="005A096D"/>
    <w:rsid w:val="005A1231"/>
    <w:rsid w:val="005A57E2"/>
    <w:rsid w:val="005B3160"/>
    <w:rsid w:val="005B5EFE"/>
    <w:rsid w:val="005B62E8"/>
    <w:rsid w:val="005C34DC"/>
    <w:rsid w:val="005D5AD4"/>
    <w:rsid w:val="005E08EF"/>
    <w:rsid w:val="005E5199"/>
    <w:rsid w:val="005E5622"/>
    <w:rsid w:val="005F16F5"/>
    <w:rsid w:val="006002F7"/>
    <w:rsid w:val="00604F31"/>
    <w:rsid w:val="00605AB0"/>
    <w:rsid w:val="00605E52"/>
    <w:rsid w:val="006071D9"/>
    <w:rsid w:val="00607232"/>
    <w:rsid w:val="00607991"/>
    <w:rsid w:val="00607F7B"/>
    <w:rsid w:val="006140AD"/>
    <w:rsid w:val="00614D84"/>
    <w:rsid w:val="00614E11"/>
    <w:rsid w:val="006208E0"/>
    <w:rsid w:val="00621F77"/>
    <w:rsid w:val="006243F4"/>
    <w:rsid w:val="006270CE"/>
    <w:rsid w:val="00631FEF"/>
    <w:rsid w:val="00636310"/>
    <w:rsid w:val="00642AEE"/>
    <w:rsid w:val="006545E5"/>
    <w:rsid w:val="00654673"/>
    <w:rsid w:val="0066153F"/>
    <w:rsid w:val="00661BB4"/>
    <w:rsid w:val="0066283E"/>
    <w:rsid w:val="00663DB3"/>
    <w:rsid w:val="006648C0"/>
    <w:rsid w:val="00664DBD"/>
    <w:rsid w:val="006661B8"/>
    <w:rsid w:val="00667171"/>
    <w:rsid w:val="006678E9"/>
    <w:rsid w:val="00667FA4"/>
    <w:rsid w:val="00672472"/>
    <w:rsid w:val="006735D3"/>
    <w:rsid w:val="00675DBC"/>
    <w:rsid w:val="006836A7"/>
    <w:rsid w:val="006936A0"/>
    <w:rsid w:val="00696A29"/>
    <w:rsid w:val="006A08AF"/>
    <w:rsid w:val="006A3FCD"/>
    <w:rsid w:val="006B067C"/>
    <w:rsid w:val="006B08ED"/>
    <w:rsid w:val="006B5E1F"/>
    <w:rsid w:val="006C0C01"/>
    <w:rsid w:val="006C31C8"/>
    <w:rsid w:val="006C7065"/>
    <w:rsid w:val="006D0F0C"/>
    <w:rsid w:val="006E2489"/>
    <w:rsid w:val="006E6CAA"/>
    <w:rsid w:val="006F15AA"/>
    <w:rsid w:val="006F4205"/>
    <w:rsid w:val="006F45A6"/>
    <w:rsid w:val="006F4D43"/>
    <w:rsid w:val="00701B7F"/>
    <w:rsid w:val="007028D2"/>
    <w:rsid w:val="007032C5"/>
    <w:rsid w:val="00704961"/>
    <w:rsid w:val="00712866"/>
    <w:rsid w:val="00717403"/>
    <w:rsid w:val="00717E16"/>
    <w:rsid w:val="00720CAB"/>
    <w:rsid w:val="00721C11"/>
    <w:rsid w:val="00724DE7"/>
    <w:rsid w:val="00730879"/>
    <w:rsid w:val="00733FAF"/>
    <w:rsid w:val="00744AB1"/>
    <w:rsid w:val="0074575E"/>
    <w:rsid w:val="00745DE4"/>
    <w:rsid w:val="00746C5B"/>
    <w:rsid w:val="00751BB4"/>
    <w:rsid w:val="00756BA1"/>
    <w:rsid w:val="0076026C"/>
    <w:rsid w:val="00761775"/>
    <w:rsid w:val="00762DDE"/>
    <w:rsid w:val="00764D0A"/>
    <w:rsid w:val="00774EA9"/>
    <w:rsid w:val="00776E15"/>
    <w:rsid w:val="0077762A"/>
    <w:rsid w:val="007910E1"/>
    <w:rsid w:val="007965C4"/>
    <w:rsid w:val="00796CF6"/>
    <w:rsid w:val="007B1EBA"/>
    <w:rsid w:val="007B37CB"/>
    <w:rsid w:val="007B56F7"/>
    <w:rsid w:val="007B6134"/>
    <w:rsid w:val="007C3227"/>
    <w:rsid w:val="007C486C"/>
    <w:rsid w:val="007C67E0"/>
    <w:rsid w:val="007D2DA4"/>
    <w:rsid w:val="007D7724"/>
    <w:rsid w:val="007E2CE5"/>
    <w:rsid w:val="007E6DCD"/>
    <w:rsid w:val="007F2B79"/>
    <w:rsid w:val="007F3D58"/>
    <w:rsid w:val="007F6109"/>
    <w:rsid w:val="00805526"/>
    <w:rsid w:val="0080777E"/>
    <w:rsid w:val="00807851"/>
    <w:rsid w:val="00807E7B"/>
    <w:rsid w:val="00814673"/>
    <w:rsid w:val="0081774C"/>
    <w:rsid w:val="00826B0B"/>
    <w:rsid w:val="00827D96"/>
    <w:rsid w:val="00833DDD"/>
    <w:rsid w:val="00834D73"/>
    <w:rsid w:val="00840C8D"/>
    <w:rsid w:val="00840FF3"/>
    <w:rsid w:val="008412DA"/>
    <w:rsid w:val="00841FD5"/>
    <w:rsid w:val="0084325F"/>
    <w:rsid w:val="008455E3"/>
    <w:rsid w:val="0084587F"/>
    <w:rsid w:val="00852967"/>
    <w:rsid w:val="00861103"/>
    <w:rsid w:val="00874BF2"/>
    <w:rsid w:val="00875306"/>
    <w:rsid w:val="00877B63"/>
    <w:rsid w:val="008830DE"/>
    <w:rsid w:val="00884E61"/>
    <w:rsid w:val="00893356"/>
    <w:rsid w:val="008A35CE"/>
    <w:rsid w:val="008A5B4C"/>
    <w:rsid w:val="008B073C"/>
    <w:rsid w:val="008B442E"/>
    <w:rsid w:val="008C7951"/>
    <w:rsid w:val="008D2EEA"/>
    <w:rsid w:val="008D302C"/>
    <w:rsid w:val="008E4FA8"/>
    <w:rsid w:val="008F64FD"/>
    <w:rsid w:val="009006C9"/>
    <w:rsid w:val="0090445B"/>
    <w:rsid w:val="0091089D"/>
    <w:rsid w:val="00910C8D"/>
    <w:rsid w:val="00913E55"/>
    <w:rsid w:val="0091620F"/>
    <w:rsid w:val="009177FF"/>
    <w:rsid w:val="009205B4"/>
    <w:rsid w:val="00921F76"/>
    <w:rsid w:val="00922819"/>
    <w:rsid w:val="00925813"/>
    <w:rsid w:val="00925DEA"/>
    <w:rsid w:val="00926EA2"/>
    <w:rsid w:val="00941A03"/>
    <w:rsid w:val="00944668"/>
    <w:rsid w:val="00952051"/>
    <w:rsid w:val="00960BC6"/>
    <w:rsid w:val="00961B09"/>
    <w:rsid w:val="00962D12"/>
    <w:rsid w:val="0096306D"/>
    <w:rsid w:val="00963B4C"/>
    <w:rsid w:val="009653D2"/>
    <w:rsid w:val="00966423"/>
    <w:rsid w:val="00967A82"/>
    <w:rsid w:val="009738C3"/>
    <w:rsid w:val="00986596"/>
    <w:rsid w:val="00991A27"/>
    <w:rsid w:val="0099350E"/>
    <w:rsid w:val="00993892"/>
    <w:rsid w:val="00993A85"/>
    <w:rsid w:val="0099453B"/>
    <w:rsid w:val="00997C6B"/>
    <w:rsid w:val="009A29F2"/>
    <w:rsid w:val="009A2BC9"/>
    <w:rsid w:val="009A5571"/>
    <w:rsid w:val="009B037C"/>
    <w:rsid w:val="009B4BD3"/>
    <w:rsid w:val="009B55DA"/>
    <w:rsid w:val="009B584B"/>
    <w:rsid w:val="009B61AF"/>
    <w:rsid w:val="009C1861"/>
    <w:rsid w:val="009C3DAA"/>
    <w:rsid w:val="009E32F3"/>
    <w:rsid w:val="009E48AA"/>
    <w:rsid w:val="009E5CD2"/>
    <w:rsid w:val="009F2549"/>
    <w:rsid w:val="009F4E20"/>
    <w:rsid w:val="009F5724"/>
    <w:rsid w:val="009F5C0D"/>
    <w:rsid w:val="009F68EA"/>
    <w:rsid w:val="009F70C9"/>
    <w:rsid w:val="00A03333"/>
    <w:rsid w:val="00A040EE"/>
    <w:rsid w:val="00A07670"/>
    <w:rsid w:val="00A1010B"/>
    <w:rsid w:val="00A10741"/>
    <w:rsid w:val="00A1100C"/>
    <w:rsid w:val="00A1259F"/>
    <w:rsid w:val="00A21E2B"/>
    <w:rsid w:val="00A3155F"/>
    <w:rsid w:val="00A339B6"/>
    <w:rsid w:val="00A353E1"/>
    <w:rsid w:val="00A4117C"/>
    <w:rsid w:val="00A42533"/>
    <w:rsid w:val="00A45380"/>
    <w:rsid w:val="00A45FAB"/>
    <w:rsid w:val="00A461BB"/>
    <w:rsid w:val="00A47E66"/>
    <w:rsid w:val="00A50678"/>
    <w:rsid w:val="00A51218"/>
    <w:rsid w:val="00A53210"/>
    <w:rsid w:val="00A57639"/>
    <w:rsid w:val="00A60D4F"/>
    <w:rsid w:val="00A6140B"/>
    <w:rsid w:val="00A61665"/>
    <w:rsid w:val="00A66BF7"/>
    <w:rsid w:val="00A725E2"/>
    <w:rsid w:val="00A73E8E"/>
    <w:rsid w:val="00A75E81"/>
    <w:rsid w:val="00A76573"/>
    <w:rsid w:val="00A80638"/>
    <w:rsid w:val="00A82218"/>
    <w:rsid w:val="00A83162"/>
    <w:rsid w:val="00A83F32"/>
    <w:rsid w:val="00A85C3A"/>
    <w:rsid w:val="00A87D07"/>
    <w:rsid w:val="00A9370D"/>
    <w:rsid w:val="00A95281"/>
    <w:rsid w:val="00AA2603"/>
    <w:rsid w:val="00AA4ACC"/>
    <w:rsid w:val="00AA65D3"/>
    <w:rsid w:val="00AA7C92"/>
    <w:rsid w:val="00AB3F0B"/>
    <w:rsid w:val="00AB5B49"/>
    <w:rsid w:val="00AC352D"/>
    <w:rsid w:val="00AC3A42"/>
    <w:rsid w:val="00AC68B3"/>
    <w:rsid w:val="00AC7A0C"/>
    <w:rsid w:val="00AD2929"/>
    <w:rsid w:val="00AD5B8D"/>
    <w:rsid w:val="00AE1E16"/>
    <w:rsid w:val="00AE2D75"/>
    <w:rsid w:val="00AE3AAA"/>
    <w:rsid w:val="00AE75A3"/>
    <w:rsid w:val="00AF3727"/>
    <w:rsid w:val="00AF50CC"/>
    <w:rsid w:val="00AF69A6"/>
    <w:rsid w:val="00B04573"/>
    <w:rsid w:val="00B05405"/>
    <w:rsid w:val="00B0671B"/>
    <w:rsid w:val="00B10B18"/>
    <w:rsid w:val="00B10B7E"/>
    <w:rsid w:val="00B1114D"/>
    <w:rsid w:val="00B163D1"/>
    <w:rsid w:val="00B17214"/>
    <w:rsid w:val="00B178E1"/>
    <w:rsid w:val="00B223AC"/>
    <w:rsid w:val="00B233CD"/>
    <w:rsid w:val="00B25210"/>
    <w:rsid w:val="00B278C5"/>
    <w:rsid w:val="00B32E14"/>
    <w:rsid w:val="00B352D1"/>
    <w:rsid w:val="00B41FC4"/>
    <w:rsid w:val="00B42071"/>
    <w:rsid w:val="00B42164"/>
    <w:rsid w:val="00B42724"/>
    <w:rsid w:val="00B436F3"/>
    <w:rsid w:val="00B43A9C"/>
    <w:rsid w:val="00B478EA"/>
    <w:rsid w:val="00B47C09"/>
    <w:rsid w:val="00B52857"/>
    <w:rsid w:val="00B548A9"/>
    <w:rsid w:val="00B54D1A"/>
    <w:rsid w:val="00B54ECC"/>
    <w:rsid w:val="00B62815"/>
    <w:rsid w:val="00B72A41"/>
    <w:rsid w:val="00B72B41"/>
    <w:rsid w:val="00B74E64"/>
    <w:rsid w:val="00B810FC"/>
    <w:rsid w:val="00B8320B"/>
    <w:rsid w:val="00B84083"/>
    <w:rsid w:val="00B8774A"/>
    <w:rsid w:val="00B90C0E"/>
    <w:rsid w:val="00B90ED2"/>
    <w:rsid w:val="00B917EF"/>
    <w:rsid w:val="00B9481A"/>
    <w:rsid w:val="00B9551F"/>
    <w:rsid w:val="00BA49C7"/>
    <w:rsid w:val="00BA63CF"/>
    <w:rsid w:val="00BB4B66"/>
    <w:rsid w:val="00BC3ACE"/>
    <w:rsid w:val="00BC66B3"/>
    <w:rsid w:val="00BD3342"/>
    <w:rsid w:val="00BD4B5B"/>
    <w:rsid w:val="00BE6720"/>
    <w:rsid w:val="00BE7EF5"/>
    <w:rsid w:val="00BF0D96"/>
    <w:rsid w:val="00BF3084"/>
    <w:rsid w:val="00BF3AD3"/>
    <w:rsid w:val="00BF62E1"/>
    <w:rsid w:val="00C06BCB"/>
    <w:rsid w:val="00C10801"/>
    <w:rsid w:val="00C14B23"/>
    <w:rsid w:val="00C15630"/>
    <w:rsid w:val="00C160E9"/>
    <w:rsid w:val="00C16110"/>
    <w:rsid w:val="00C20AAA"/>
    <w:rsid w:val="00C27B9B"/>
    <w:rsid w:val="00C27F97"/>
    <w:rsid w:val="00C30694"/>
    <w:rsid w:val="00C30B0C"/>
    <w:rsid w:val="00C4007B"/>
    <w:rsid w:val="00C412A3"/>
    <w:rsid w:val="00C46F4E"/>
    <w:rsid w:val="00C556E5"/>
    <w:rsid w:val="00C579F5"/>
    <w:rsid w:val="00C6095A"/>
    <w:rsid w:val="00C60E2D"/>
    <w:rsid w:val="00C64156"/>
    <w:rsid w:val="00C72207"/>
    <w:rsid w:val="00C75B61"/>
    <w:rsid w:val="00C81135"/>
    <w:rsid w:val="00C85127"/>
    <w:rsid w:val="00C85E9F"/>
    <w:rsid w:val="00C9174D"/>
    <w:rsid w:val="00C97B44"/>
    <w:rsid w:val="00CA1475"/>
    <w:rsid w:val="00CA4CEB"/>
    <w:rsid w:val="00CB5FB8"/>
    <w:rsid w:val="00CC1DC1"/>
    <w:rsid w:val="00CC305B"/>
    <w:rsid w:val="00CC4568"/>
    <w:rsid w:val="00CC6050"/>
    <w:rsid w:val="00CC6B87"/>
    <w:rsid w:val="00CD0765"/>
    <w:rsid w:val="00CD4DAD"/>
    <w:rsid w:val="00CE3F43"/>
    <w:rsid w:val="00CE6E73"/>
    <w:rsid w:val="00CE7C52"/>
    <w:rsid w:val="00CF239E"/>
    <w:rsid w:val="00CF4DE2"/>
    <w:rsid w:val="00D0114B"/>
    <w:rsid w:val="00D01C64"/>
    <w:rsid w:val="00D05187"/>
    <w:rsid w:val="00D10260"/>
    <w:rsid w:val="00D10C8A"/>
    <w:rsid w:val="00D13BE0"/>
    <w:rsid w:val="00D1759D"/>
    <w:rsid w:val="00D17842"/>
    <w:rsid w:val="00D228F1"/>
    <w:rsid w:val="00D23173"/>
    <w:rsid w:val="00D23DFF"/>
    <w:rsid w:val="00D24381"/>
    <w:rsid w:val="00D24BB8"/>
    <w:rsid w:val="00D259E3"/>
    <w:rsid w:val="00D347ED"/>
    <w:rsid w:val="00D37567"/>
    <w:rsid w:val="00D42D4B"/>
    <w:rsid w:val="00D43C00"/>
    <w:rsid w:val="00D4414C"/>
    <w:rsid w:val="00D52438"/>
    <w:rsid w:val="00D52BC1"/>
    <w:rsid w:val="00D75AF3"/>
    <w:rsid w:val="00D8244B"/>
    <w:rsid w:val="00D8601D"/>
    <w:rsid w:val="00D86C0A"/>
    <w:rsid w:val="00D91B41"/>
    <w:rsid w:val="00D92DEB"/>
    <w:rsid w:val="00D97D34"/>
    <w:rsid w:val="00DA1FE2"/>
    <w:rsid w:val="00DA222A"/>
    <w:rsid w:val="00DA67D7"/>
    <w:rsid w:val="00DB4FA9"/>
    <w:rsid w:val="00DB5A56"/>
    <w:rsid w:val="00DB6DB9"/>
    <w:rsid w:val="00DC04D4"/>
    <w:rsid w:val="00DC1903"/>
    <w:rsid w:val="00DC2555"/>
    <w:rsid w:val="00DC2F65"/>
    <w:rsid w:val="00DD303E"/>
    <w:rsid w:val="00DD450A"/>
    <w:rsid w:val="00DD4558"/>
    <w:rsid w:val="00DE672F"/>
    <w:rsid w:val="00DF0DE5"/>
    <w:rsid w:val="00DF1000"/>
    <w:rsid w:val="00DF2EC1"/>
    <w:rsid w:val="00DF386B"/>
    <w:rsid w:val="00DF55A2"/>
    <w:rsid w:val="00E074E7"/>
    <w:rsid w:val="00E075A8"/>
    <w:rsid w:val="00E10FDE"/>
    <w:rsid w:val="00E17516"/>
    <w:rsid w:val="00E20DB7"/>
    <w:rsid w:val="00E20FD0"/>
    <w:rsid w:val="00E2290F"/>
    <w:rsid w:val="00E25E54"/>
    <w:rsid w:val="00E30213"/>
    <w:rsid w:val="00E367B9"/>
    <w:rsid w:val="00E37565"/>
    <w:rsid w:val="00E37976"/>
    <w:rsid w:val="00E41683"/>
    <w:rsid w:val="00E43DE0"/>
    <w:rsid w:val="00E5045C"/>
    <w:rsid w:val="00E54AD7"/>
    <w:rsid w:val="00E56CC9"/>
    <w:rsid w:val="00E56D97"/>
    <w:rsid w:val="00E576F7"/>
    <w:rsid w:val="00E605C1"/>
    <w:rsid w:val="00E61773"/>
    <w:rsid w:val="00E62C0C"/>
    <w:rsid w:val="00E63C2A"/>
    <w:rsid w:val="00E63DD8"/>
    <w:rsid w:val="00E75CBE"/>
    <w:rsid w:val="00E91CBF"/>
    <w:rsid w:val="00EA1236"/>
    <w:rsid w:val="00EA2330"/>
    <w:rsid w:val="00EA4FC0"/>
    <w:rsid w:val="00EA601E"/>
    <w:rsid w:val="00EA7518"/>
    <w:rsid w:val="00EC4678"/>
    <w:rsid w:val="00EC79CD"/>
    <w:rsid w:val="00ED5630"/>
    <w:rsid w:val="00EE0735"/>
    <w:rsid w:val="00EE0817"/>
    <w:rsid w:val="00EE18CA"/>
    <w:rsid w:val="00EE6833"/>
    <w:rsid w:val="00EF52A3"/>
    <w:rsid w:val="00F03689"/>
    <w:rsid w:val="00F051CC"/>
    <w:rsid w:val="00F05D9A"/>
    <w:rsid w:val="00F06DB6"/>
    <w:rsid w:val="00F133B1"/>
    <w:rsid w:val="00F136B8"/>
    <w:rsid w:val="00F1413E"/>
    <w:rsid w:val="00F16A54"/>
    <w:rsid w:val="00F17968"/>
    <w:rsid w:val="00F3293A"/>
    <w:rsid w:val="00F330F0"/>
    <w:rsid w:val="00F35258"/>
    <w:rsid w:val="00F37515"/>
    <w:rsid w:val="00F426D4"/>
    <w:rsid w:val="00F43161"/>
    <w:rsid w:val="00F4359C"/>
    <w:rsid w:val="00F509B3"/>
    <w:rsid w:val="00F52CD7"/>
    <w:rsid w:val="00F54EA4"/>
    <w:rsid w:val="00F64098"/>
    <w:rsid w:val="00F65ECD"/>
    <w:rsid w:val="00F67F9E"/>
    <w:rsid w:val="00F70285"/>
    <w:rsid w:val="00F75FAF"/>
    <w:rsid w:val="00F822EF"/>
    <w:rsid w:val="00F83497"/>
    <w:rsid w:val="00F83954"/>
    <w:rsid w:val="00F8596D"/>
    <w:rsid w:val="00F873D7"/>
    <w:rsid w:val="00F87500"/>
    <w:rsid w:val="00F97522"/>
    <w:rsid w:val="00F97A96"/>
    <w:rsid w:val="00FA54D0"/>
    <w:rsid w:val="00FA5719"/>
    <w:rsid w:val="00FA7375"/>
    <w:rsid w:val="00FA75F0"/>
    <w:rsid w:val="00FB1904"/>
    <w:rsid w:val="00FB3B21"/>
    <w:rsid w:val="00FB556A"/>
    <w:rsid w:val="00FB65B5"/>
    <w:rsid w:val="00FB6AE7"/>
    <w:rsid w:val="00FC3A96"/>
    <w:rsid w:val="00FD0595"/>
    <w:rsid w:val="00FD2183"/>
    <w:rsid w:val="00FD3273"/>
    <w:rsid w:val="00FD5492"/>
    <w:rsid w:val="00FD756F"/>
    <w:rsid w:val="00FE6B0A"/>
    <w:rsid w:val="00FF04FD"/>
    <w:rsid w:val="00FF6172"/>
    <w:rsid w:val="00FF7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78605"/>
  <w15:docId w15:val="{2A0EB853-27D1-4281-95AE-CAF8D636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19"/>
    <w:pPr>
      <w:spacing w:after="240" w:line="280" w:lineRule="exact"/>
      <w:jc w:val="both"/>
    </w:pPr>
    <w:rPr>
      <w:rFonts w:ascii="Century Gothic" w:eastAsia="Times New Roman" w:hAnsi="Century Gothic" w:cs="Times New Roman"/>
      <w:noProof/>
      <w:color w:val="595959" w:themeColor="text1" w:themeTint="A6"/>
      <w:lang w:eastAsia="en-AU"/>
    </w:rPr>
  </w:style>
  <w:style w:type="paragraph" w:styleId="Heading1">
    <w:name w:val="heading 1"/>
    <w:basedOn w:val="HeadingBase"/>
    <w:next w:val="Normal"/>
    <w:link w:val="Heading1Char"/>
    <w:qFormat/>
    <w:rsid w:val="00605AB0"/>
    <w:pPr>
      <w:pBdr>
        <w:bottom w:val="single" w:sz="12" w:space="10" w:color="3A87C8"/>
      </w:pBdr>
      <w:spacing w:after="480"/>
      <w:outlineLvl w:val="0"/>
    </w:pPr>
    <w:rPr>
      <w:b/>
      <w:bCs w:val="0"/>
      <w:caps/>
      <w:color w:val="3A87C8"/>
      <w:sz w:val="44"/>
    </w:rPr>
  </w:style>
  <w:style w:type="paragraph" w:styleId="Heading2">
    <w:name w:val="heading 2"/>
    <w:basedOn w:val="HeadingBase"/>
    <w:next w:val="Normal"/>
    <w:link w:val="Heading2Char"/>
    <w:qFormat/>
    <w:rsid w:val="00D42D4B"/>
    <w:pPr>
      <w:spacing w:before="240" w:after="240"/>
      <w:outlineLvl w:val="1"/>
    </w:pPr>
    <w:rPr>
      <w:b/>
      <w:bCs w:val="0"/>
      <w:iCs/>
      <w:color w:val="5B5E60"/>
      <w:sz w:val="36"/>
      <w:szCs w:val="28"/>
    </w:rPr>
  </w:style>
  <w:style w:type="paragraph" w:styleId="Heading3">
    <w:name w:val="heading 3"/>
    <w:basedOn w:val="HeadingBase"/>
    <w:next w:val="Normal"/>
    <w:link w:val="Heading3Char"/>
    <w:qFormat/>
    <w:rsid w:val="000F37B7"/>
    <w:pPr>
      <w:spacing w:before="240" w:after="240"/>
      <w:outlineLvl w:val="2"/>
    </w:pPr>
    <w:rPr>
      <w:b/>
      <w:bCs w:val="0"/>
      <w:color w:val="3A87C8"/>
      <w:sz w:val="32"/>
      <w:szCs w:val="26"/>
    </w:rPr>
  </w:style>
  <w:style w:type="paragraph" w:styleId="Heading4">
    <w:name w:val="heading 4"/>
    <w:basedOn w:val="HeadingBase"/>
    <w:next w:val="Normal"/>
    <w:link w:val="Heading4Char"/>
    <w:qFormat/>
    <w:rsid w:val="000F37B7"/>
    <w:pPr>
      <w:spacing w:before="240" w:after="180"/>
      <w:outlineLvl w:val="3"/>
    </w:pPr>
    <w:rPr>
      <w:b/>
      <w:bCs w:val="0"/>
      <w:color w:val="5B5E60"/>
      <w:sz w:val="26"/>
      <w:szCs w:val="26"/>
    </w:rPr>
  </w:style>
  <w:style w:type="paragraph" w:styleId="Heading5">
    <w:name w:val="heading 5"/>
    <w:basedOn w:val="HeadingBase"/>
    <w:next w:val="Normal"/>
    <w:link w:val="Heading5Char"/>
    <w:qFormat/>
    <w:rsid w:val="0044754A"/>
    <w:pPr>
      <w:outlineLvl w:val="4"/>
    </w:pPr>
    <w:rPr>
      <w:b/>
      <w:bCs w:val="0"/>
      <w:iCs/>
      <w:sz w:val="22"/>
    </w:rPr>
  </w:style>
  <w:style w:type="paragraph" w:styleId="Heading6">
    <w:name w:val="heading 6"/>
    <w:basedOn w:val="HeadingBase"/>
    <w:next w:val="Normal"/>
    <w:link w:val="Heading6Char"/>
    <w:qFormat/>
    <w:rsid w:val="0044754A"/>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AB0"/>
    <w:rPr>
      <w:rFonts w:ascii="Calibri" w:eastAsia="Times New Roman" w:hAnsi="Calibri" w:cs="Arial"/>
      <w:b/>
      <w:caps/>
      <w:color w:val="3A87C8"/>
      <w:kern w:val="32"/>
      <w:sz w:val="44"/>
      <w:szCs w:val="36"/>
      <w:lang w:eastAsia="en-AU"/>
    </w:rPr>
  </w:style>
  <w:style w:type="paragraph" w:styleId="NoSpacing">
    <w:name w:val="No Spacing"/>
    <w:link w:val="NoSpacingChar"/>
    <w:uiPriority w:val="1"/>
    <w:qFormat/>
    <w:rsid w:val="004D24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D24CE"/>
    <w:rPr>
      <w:rFonts w:eastAsiaTheme="minorEastAsia"/>
      <w:lang w:val="en-US" w:eastAsia="ja-JP"/>
    </w:rPr>
  </w:style>
  <w:style w:type="character" w:styleId="Hyperlink">
    <w:name w:val="Hyperlink"/>
    <w:basedOn w:val="DefaultParagraphFont"/>
    <w:uiPriority w:val="99"/>
    <w:rsid w:val="00DF55A2"/>
    <w:rPr>
      <w:b/>
      <w:color w:val="3A87C8"/>
      <w:u w:val="none"/>
    </w:rPr>
  </w:style>
  <w:style w:type="paragraph" w:styleId="Title">
    <w:name w:val="Title"/>
    <w:basedOn w:val="NoSpacing"/>
    <w:next w:val="Normal"/>
    <w:link w:val="TitleChar"/>
    <w:uiPriority w:val="10"/>
    <w:qFormat/>
    <w:rsid w:val="00F65ECD"/>
    <w:pPr>
      <w:spacing w:after="960"/>
      <w:ind w:left="170"/>
    </w:pPr>
    <w:rPr>
      <w:rFonts w:ascii="Arial Bold" w:hAnsi="Arial Bold" w:cs="Arial"/>
      <w:color w:val="3A87C8"/>
      <w:spacing w:val="6"/>
      <w:sz w:val="86"/>
    </w:rPr>
  </w:style>
  <w:style w:type="character" w:customStyle="1" w:styleId="TitleChar">
    <w:name w:val="Title Char"/>
    <w:basedOn w:val="DefaultParagraphFont"/>
    <w:link w:val="Title"/>
    <w:uiPriority w:val="10"/>
    <w:rsid w:val="00F65ECD"/>
    <w:rPr>
      <w:rFonts w:ascii="Arial Bold" w:eastAsiaTheme="minorEastAsia" w:hAnsi="Arial Bold" w:cs="Arial"/>
      <w:color w:val="3A87C8"/>
      <w:spacing w:val="6"/>
      <w:sz w:val="86"/>
      <w:lang w:val="en-US" w:eastAsia="ja-JP"/>
    </w:rPr>
  </w:style>
  <w:style w:type="paragraph" w:customStyle="1" w:styleId="Default">
    <w:name w:val="Default"/>
    <w:rsid w:val="004D24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link w:val="BulletChar"/>
    <w:rsid w:val="000F37B7"/>
    <w:pPr>
      <w:numPr>
        <w:numId w:val="1"/>
      </w:numPr>
      <w:tabs>
        <w:tab w:val="clear" w:pos="283"/>
        <w:tab w:val="left" w:pos="425"/>
      </w:tabs>
      <w:ind w:left="425" w:hanging="425"/>
    </w:pPr>
  </w:style>
  <w:style w:type="character" w:customStyle="1" w:styleId="BulletChar">
    <w:name w:val="Bullet Char"/>
    <w:basedOn w:val="DefaultParagraphFont"/>
    <w:link w:val="Bullet"/>
    <w:rsid w:val="000F37B7"/>
    <w:rPr>
      <w:rFonts w:ascii="Century Gothic" w:eastAsia="Times New Roman" w:hAnsi="Century Gothic" w:cs="Times New Roman"/>
      <w:noProof/>
      <w:color w:val="595959" w:themeColor="text1" w:themeTint="A6"/>
      <w:lang w:eastAsia="en-AU"/>
    </w:rPr>
  </w:style>
  <w:style w:type="paragraph" w:customStyle="1" w:styleId="Dash">
    <w:name w:val="Dash"/>
    <w:basedOn w:val="Normal"/>
    <w:rsid w:val="0044754A"/>
    <w:pPr>
      <w:numPr>
        <w:ilvl w:val="1"/>
        <w:numId w:val="1"/>
      </w:numPr>
      <w:ind w:left="568"/>
    </w:pPr>
  </w:style>
  <w:style w:type="paragraph" w:customStyle="1" w:styleId="DoubleDot">
    <w:name w:val="Double Dot"/>
    <w:basedOn w:val="Normal"/>
    <w:rsid w:val="0044754A"/>
    <w:pPr>
      <w:numPr>
        <w:ilvl w:val="2"/>
        <w:numId w:val="1"/>
      </w:numPr>
      <w:ind w:left="851" w:hanging="284"/>
    </w:pPr>
  </w:style>
  <w:style w:type="character" w:styleId="SubtleEmphasis">
    <w:name w:val="Subtle Emphasis"/>
    <w:basedOn w:val="DefaultParagraphFont"/>
    <w:uiPriority w:val="19"/>
    <w:qFormat/>
    <w:rsid w:val="00D42D4B"/>
    <w:rPr>
      <w:iCs/>
      <w:color w:val="3A87C8"/>
      <w:sz w:val="26"/>
    </w:rPr>
  </w:style>
  <w:style w:type="character" w:styleId="IntenseEmphasis">
    <w:name w:val="Intense Emphasis"/>
    <w:basedOn w:val="DefaultParagraphFont"/>
    <w:uiPriority w:val="21"/>
    <w:qFormat/>
    <w:rsid w:val="004D24CE"/>
    <w:rPr>
      <w:b/>
      <w:bCs/>
      <w:i/>
      <w:iCs/>
      <w:color w:val="4F81BD" w:themeColor="accent1"/>
    </w:rPr>
  </w:style>
  <w:style w:type="paragraph" w:styleId="Header">
    <w:name w:val="header"/>
    <w:basedOn w:val="Normal"/>
    <w:link w:val="HeaderChar"/>
    <w:uiPriority w:val="99"/>
    <w:unhideWhenUsed/>
    <w:rsid w:val="0044754A"/>
    <w:pPr>
      <w:keepNext/>
      <w:spacing w:after="0"/>
      <w:jc w:val="right"/>
    </w:pPr>
    <w:rPr>
      <w:color w:val="004A7F"/>
      <w:sz w:val="20"/>
    </w:rPr>
  </w:style>
  <w:style w:type="character" w:customStyle="1" w:styleId="HeaderChar">
    <w:name w:val="Header Char"/>
    <w:basedOn w:val="DefaultParagraphFont"/>
    <w:link w:val="Header"/>
    <w:uiPriority w:val="99"/>
    <w:rsid w:val="0044754A"/>
    <w:rPr>
      <w:rFonts w:ascii="Calibri" w:eastAsia="Times New Roman" w:hAnsi="Calibri" w:cs="Times New Roman"/>
      <w:color w:val="004A7F"/>
      <w:sz w:val="20"/>
      <w:szCs w:val="20"/>
      <w:lang w:eastAsia="en-AU"/>
    </w:rPr>
  </w:style>
  <w:style w:type="paragraph" w:styleId="Footer">
    <w:name w:val="footer"/>
    <w:basedOn w:val="Normal"/>
    <w:link w:val="FooterChar"/>
    <w:uiPriority w:val="99"/>
    <w:unhideWhenUsed/>
    <w:rsid w:val="0044754A"/>
    <w:pPr>
      <w:tabs>
        <w:tab w:val="center" w:pos="4513"/>
        <w:tab w:val="right" w:pos="9026"/>
      </w:tabs>
      <w:spacing w:after="0"/>
      <w:jc w:val="center"/>
    </w:pPr>
    <w:rPr>
      <w:color w:val="004A7F"/>
      <w:sz w:val="20"/>
    </w:rPr>
  </w:style>
  <w:style w:type="character" w:customStyle="1" w:styleId="FooterChar">
    <w:name w:val="Footer Char"/>
    <w:basedOn w:val="DefaultParagraphFont"/>
    <w:link w:val="Footer"/>
    <w:uiPriority w:val="99"/>
    <w:rsid w:val="0044754A"/>
    <w:rPr>
      <w:rFonts w:ascii="Calibri" w:eastAsia="Times New Roman" w:hAnsi="Calibri" w:cs="Times New Roman"/>
      <w:color w:val="004A7F"/>
      <w:sz w:val="20"/>
      <w:szCs w:val="20"/>
      <w:lang w:eastAsia="en-AU"/>
    </w:rPr>
  </w:style>
  <w:style w:type="paragraph" w:styleId="NormalWeb">
    <w:name w:val="Normal (Web)"/>
    <w:basedOn w:val="Normal"/>
    <w:uiPriority w:val="99"/>
    <w:unhideWhenUsed/>
    <w:rsid w:val="004D24CE"/>
    <w:pPr>
      <w:spacing w:before="100" w:beforeAutospacing="1" w:after="100" w:afterAutospacing="1" w:line="240" w:lineRule="auto"/>
    </w:pPr>
    <w:rPr>
      <w:rFonts w:ascii="Times New Roman" w:hAnsi="Times New Roman"/>
    </w:rPr>
  </w:style>
  <w:style w:type="paragraph" w:customStyle="1" w:styleId="OutlineNumbered1">
    <w:name w:val="Outline Numbered 1"/>
    <w:basedOn w:val="Normal"/>
    <w:link w:val="OutlineNumbered1Char"/>
    <w:rsid w:val="00F65ECD"/>
    <w:pPr>
      <w:numPr>
        <w:numId w:val="10"/>
      </w:numPr>
    </w:pPr>
  </w:style>
  <w:style w:type="character" w:customStyle="1" w:styleId="OutlineNumbered1Char">
    <w:name w:val="Outline Numbered 1 Char"/>
    <w:basedOn w:val="DefaultParagraphFont"/>
    <w:link w:val="OutlineNumbered1"/>
    <w:rsid w:val="00F65ECD"/>
    <w:rPr>
      <w:rFonts w:ascii="Century Gothic" w:eastAsia="Times New Roman" w:hAnsi="Century Gothic" w:cs="Times New Roman"/>
      <w:noProof/>
      <w:color w:val="595959" w:themeColor="text1" w:themeTint="A6"/>
      <w:lang w:eastAsia="en-AU"/>
    </w:rPr>
  </w:style>
  <w:style w:type="paragraph" w:customStyle="1" w:styleId="OutlineNumbered2">
    <w:name w:val="Outline Numbered 2"/>
    <w:basedOn w:val="Normal"/>
    <w:rsid w:val="0044754A"/>
  </w:style>
  <w:style w:type="paragraph" w:customStyle="1" w:styleId="OutlineNumbered3">
    <w:name w:val="Outline Numbered 3"/>
    <w:basedOn w:val="Normal"/>
    <w:rsid w:val="0044754A"/>
  </w:style>
  <w:style w:type="table" w:styleId="TableGrid">
    <w:name w:val="Table Grid"/>
    <w:basedOn w:val="TableNormal"/>
    <w:rsid w:val="0044754A"/>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BalloonText">
    <w:name w:val="Balloon Text"/>
    <w:basedOn w:val="Normal"/>
    <w:link w:val="BalloonTextChar"/>
    <w:uiPriority w:val="99"/>
    <w:semiHidden/>
    <w:unhideWhenUsed/>
    <w:rsid w:val="004475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A"/>
    <w:rPr>
      <w:rFonts w:ascii="Tahoma" w:eastAsia="Times New Roman" w:hAnsi="Tahoma" w:cs="Tahoma"/>
      <w:sz w:val="16"/>
      <w:szCs w:val="16"/>
      <w:lang w:eastAsia="en-AU"/>
    </w:rPr>
  </w:style>
  <w:style w:type="paragraph" w:styleId="FootnoteText">
    <w:name w:val="footnote text"/>
    <w:basedOn w:val="Normal"/>
    <w:link w:val="FootnoteTextChar"/>
    <w:uiPriority w:val="99"/>
    <w:rsid w:val="0044754A"/>
    <w:pPr>
      <w:spacing w:after="0"/>
    </w:pPr>
    <w:rPr>
      <w:sz w:val="20"/>
    </w:rPr>
  </w:style>
  <w:style w:type="character" w:customStyle="1" w:styleId="FootnoteTextChar">
    <w:name w:val="Footnote Text Char"/>
    <w:basedOn w:val="DefaultParagraphFont"/>
    <w:link w:val="FootnoteText"/>
    <w:uiPriority w:val="99"/>
    <w:rsid w:val="0044754A"/>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4754A"/>
    <w:rPr>
      <w:rFonts w:ascii="Calibri" w:hAnsi="Calibri"/>
      <w:sz w:val="20"/>
      <w:vertAlign w:val="superscript"/>
    </w:rPr>
  </w:style>
  <w:style w:type="character" w:styleId="CommentReference">
    <w:name w:val="annotation reference"/>
    <w:basedOn w:val="DefaultParagraphFont"/>
    <w:uiPriority w:val="99"/>
    <w:semiHidden/>
    <w:unhideWhenUsed/>
    <w:rsid w:val="00A9370D"/>
    <w:rPr>
      <w:sz w:val="16"/>
      <w:szCs w:val="16"/>
    </w:rPr>
  </w:style>
  <w:style w:type="paragraph" w:styleId="CommentText">
    <w:name w:val="annotation text"/>
    <w:basedOn w:val="Normal"/>
    <w:link w:val="CommentTextChar"/>
    <w:uiPriority w:val="99"/>
    <w:semiHidden/>
    <w:unhideWhenUsed/>
    <w:rsid w:val="00A9370D"/>
    <w:pPr>
      <w:spacing w:line="240" w:lineRule="auto"/>
    </w:pPr>
    <w:rPr>
      <w:sz w:val="20"/>
      <w:szCs w:val="20"/>
    </w:rPr>
  </w:style>
  <w:style w:type="character" w:customStyle="1" w:styleId="CommentTextChar">
    <w:name w:val="Comment Text Char"/>
    <w:basedOn w:val="DefaultParagraphFont"/>
    <w:link w:val="CommentText"/>
    <w:uiPriority w:val="99"/>
    <w:semiHidden/>
    <w:rsid w:val="00A9370D"/>
    <w:rPr>
      <w:sz w:val="20"/>
      <w:szCs w:val="20"/>
    </w:rPr>
  </w:style>
  <w:style w:type="paragraph" w:styleId="CommentSubject">
    <w:name w:val="annotation subject"/>
    <w:basedOn w:val="CommentText"/>
    <w:next w:val="CommentText"/>
    <w:link w:val="CommentSubjectChar"/>
    <w:uiPriority w:val="99"/>
    <w:semiHidden/>
    <w:unhideWhenUsed/>
    <w:rsid w:val="00A9370D"/>
    <w:rPr>
      <w:b/>
      <w:bCs/>
    </w:rPr>
  </w:style>
  <w:style w:type="character" w:customStyle="1" w:styleId="CommentSubjectChar">
    <w:name w:val="Comment Subject Char"/>
    <w:basedOn w:val="CommentTextChar"/>
    <w:link w:val="CommentSubject"/>
    <w:uiPriority w:val="99"/>
    <w:semiHidden/>
    <w:rsid w:val="00A9370D"/>
    <w:rPr>
      <w:b/>
      <w:bCs/>
      <w:sz w:val="20"/>
      <w:szCs w:val="20"/>
    </w:rPr>
  </w:style>
  <w:style w:type="paragraph" w:styleId="Revision">
    <w:name w:val="Revision"/>
    <w:hidden/>
    <w:uiPriority w:val="99"/>
    <w:semiHidden/>
    <w:rsid w:val="00B352D1"/>
    <w:pPr>
      <w:spacing w:after="0" w:line="240" w:lineRule="auto"/>
    </w:pPr>
    <w:rPr>
      <w:sz w:val="24"/>
      <w:szCs w:val="24"/>
    </w:rPr>
  </w:style>
  <w:style w:type="character" w:customStyle="1" w:styleId="Heading4Char">
    <w:name w:val="Heading 4 Char"/>
    <w:basedOn w:val="DefaultParagraphFont"/>
    <w:link w:val="Heading4"/>
    <w:rsid w:val="000F37B7"/>
    <w:rPr>
      <w:rFonts w:ascii="Calibri" w:eastAsia="Times New Roman" w:hAnsi="Calibri" w:cs="Arial"/>
      <w:b/>
      <w:color w:val="5B5E60"/>
      <w:kern w:val="32"/>
      <w:sz w:val="26"/>
      <w:szCs w:val="26"/>
      <w:lang w:eastAsia="en-AU"/>
    </w:rPr>
  </w:style>
  <w:style w:type="character" w:customStyle="1" w:styleId="Heading2Char">
    <w:name w:val="Heading 2 Char"/>
    <w:basedOn w:val="DefaultParagraphFont"/>
    <w:link w:val="Heading2"/>
    <w:rsid w:val="00D42D4B"/>
    <w:rPr>
      <w:rFonts w:ascii="Calibri" w:eastAsia="Times New Roman" w:hAnsi="Calibri" w:cs="Arial"/>
      <w:b/>
      <w:iCs/>
      <w:color w:val="5B5E60"/>
      <w:kern w:val="32"/>
      <w:sz w:val="36"/>
      <w:szCs w:val="28"/>
      <w:lang w:eastAsia="en-AU"/>
    </w:rPr>
  </w:style>
  <w:style w:type="character" w:customStyle="1" w:styleId="Heading3Char">
    <w:name w:val="Heading 3 Char"/>
    <w:basedOn w:val="DefaultParagraphFont"/>
    <w:link w:val="Heading3"/>
    <w:rsid w:val="000F37B7"/>
    <w:rPr>
      <w:rFonts w:ascii="Calibri" w:eastAsia="Times New Roman" w:hAnsi="Calibri" w:cs="Arial"/>
      <w:b/>
      <w:color w:val="3A87C8"/>
      <w:kern w:val="32"/>
      <w:sz w:val="32"/>
      <w:szCs w:val="26"/>
      <w:lang w:eastAsia="en-AU"/>
    </w:rPr>
  </w:style>
  <w:style w:type="character" w:customStyle="1" w:styleId="Heading5Char">
    <w:name w:val="Heading 5 Char"/>
    <w:basedOn w:val="DefaultParagraphFont"/>
    <w:link w:val="Heading5"/>
    <w:rsid w:val="0044754A"/>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44754A"/>
    <w:rPr>
      <w:rFonts w:ascii="Calibri" w:eastAsia="Times New Roman" w:hAnsi="Calibri" w:cs="Arial"/>
      <w:color w:val="004A7F"/>
      <w:kern w:val="32"/>
      <w:lang w:eastAsia="en-AU"/>
    </w:rPr>
  </w:style>
  <w:style w:type="paragraph" w:customStyle="1" w:styleId="ChartGraphic">
    <w:name w:val="Chart Graphic"/>
    <w:basedOn w:val="Normal"/>
    <w:next w:val="Normal"/>
    <w:rsid w:val="00F65ECD"/>
    <w:pPr>
      <w:keepNext/>
      <w:spacing w:after="0" w:line="240" w:lineRule="auto"/>
      <w:jc w:val="center"/>
    </w:pPr>
    <w:rPr>
      <w:color w:val="004A7F"/>
      <w:sz w:val="20"/>
    </w:rPr>
  </w:style>
  <w:style w:type="paragraph" w:customStyle="1" w:styleId="AlphaParagraph">
    <w:name w:val="Alpha Paragraph"/>
    <w:basedOn w:val="Normal"/>
    <w:qFormat/>
    <w:rsid w:val="003A04EB"/>
    <w:pPr>
      <w:numPr>
        <w:ilvl w:val="1"/>
        <w:numId w:val="8"/>
      </w:numPr>
    </w:pPr>
  </w:style>
  <w:style w:type="paragraph" w:customStyle="1" w:styleId="BoxBullet">
    <w:name w:val="Box Bullet"/>
    <w:basedOn w:val="Normal"/>
    <w:rsid w:val="0044754A"/>
    <w:pPr>
      <w:numPr>
        <w:numId w:val="2"/>
      </w:numPr>
      <w:ind w:left="284" w:hanging="284"/>
    </w:pPr>
  </w:style>
  <w:style w:type="paragraph" w:customStyle="1" w:styleId="BoxDash">
    <w:name w:val="Box Dash"/>
    <w:basedOn w:val="Normal"/>
    <w:rsid w:val="0044754A"/>
    <w:pPr>
      <w:numPr>
        <w:ilvl w:val="1"/>
        <w:numId w:val="2"/>
      </w:numPr>
      <w:ind w:left="568"/>
    </w:pPr>
  </w:style>
  <w:style w:type="paragraph" w:customStyle="1" w:styleId="BoxDoubleDot">
    <w:name w:val="Box Double Dot"/>
    <w:basedOn w:val="Normal"/>
    <w:rsid w:val="0044754A"/>
    <w:pPr>
      <w:numPr>
        <w:ilvl w:val="2"/>
        <w:numId w:val="2"/>
      </w:numPr>
      <w:ind w:left="851" w:hanging="284"/>
    </w:pPr>
  </w:style>
  <w:style w:type="paragraph" w:customStyle="1" w:styleId="BoxHeading">
    <w:name w:val="Box Heading"/>
    <w:basedOn w:val="Normal"/>
    <w:next w:val="Normal"/>
    <w:rsid w:val="0044754A"/>
    <w:pPr>
      <w:keepNext/>
      <w:spacing w:before="240"/>
    </w:pPr>
    <w:rPr>
      <w:b/>
      <w:color w:val="004A7F"/>
      <w:sz w:val="26"/>
      <w:szCs w:val="26"/>
    </w:rPr>
  </w:style>
  <w:style w:type="paragraph" w:customStyle="1" w:styleId="BoxText">
    <w:name w:val="Box Text"/>
    <w:basedOn w:val="Normal"/>
    <w:rsid w:val="0044754A"/>
  </w:style>
  <w:style w:type="paragraph" w:customStyle="1" w:styleId="ChartandTableFootnoteAlpha">
    <w:name w:val="Chart and Table Footnote Alpha"/>
    <w:rsid w:val="0044754A"/>
    <w:pPr>
      <w:numPr>
        <w:numId w:val="6"/>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44754A"/>
    <w:pPr>
      <w:jc w:val="center"/>
    </w:pPr>
  </w:style>
  <w:style w:type="paragraph" w:customStyle="1" w:styleId="ChartorTableNote">
    <w:name w:val="Chart or Table Note"/>
    <w:next w:val="Normal"/>
    <w:rsid w:val="0044754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44754A"/>
    <w:pPr>
      <w:jc w:val="center"/>
    </w:pPr>
  </w:style>
  <w:style w:type="paragraph" w:customStyle="1" w:styleId="ReportDate">
    <w:name w:val="Report Date"/>
    <w:basedOn w:val="Normal"/>
    <w:link w:val="ReportDateChar"/>
    <w:rsid w:val="00F65ECD"/>
    <w:pPr>
      <w:keepNext/>
      <w:spacing w:before="240" w:after="120" w:line="240" w:lineRule="auto"/>
      <w:ind w:right="142"/>
      <w:jc w:val="right"/>
    </w:pPr>
    <w:rPr>
      <w:color w:val="5B5E60"/>
      <w:sz w:val="28"/>
    </w:rPr>
  </w:style>
  <w:style w:type="paragraph" w:customStyle="1" w:styleId="TableMainHeading">
    <w:name w:val="Table Main Heading"/>
    <w:basedOn w:val="Heading3"/>
    <w:next w:val="Normal"/>
    <w:rsid w:val="0044754A"/>
    <w:pPr>
      <w:spacing w:before="120" w:after="0"/>
    </w:pPr>
    <w:rPr>
      <w:b w:val="0"/>
    </w:rPr>
  </w:style>
  <w:style w:type="paragraph" w:customStyle="1" w:styleId="FooterEven">
    <w:name w:val="Footer Even"/>
    <w:basedOn w:val="Footer"/>
    <w:rsid w:val="003A04EB"/>
    <w:pPr>
      <w:keepNext/>
      <w:tabs>
        <w:tab w:val="clear" w:pos="4513"/>
        <w:tab w:val="clear" w:pos="9026"/>
      </w:tabs>
      <w:spacing w:line="240" w:lineRule="auto"/>
      <w:jc w:val="left"/>
    </w:pPr>
    <w:rPr>
      <w:color w:val="5B5E60"/>
    </w:rPr>
  </w:style>
  <w:style w:type="paragraph" w:customStyle="1" w:styleId="FooterOdd">
    <w:name w:val="Footer Odd"/>
    <w:basedOn w:val="Footer"/>
    <w:rsid w:val="003A04EB"/>
    <w:pPr>
      <w:keepNext/>
      <w:tabs>
        <w:tab w:val="clear" w:pos="4513"/>
        <w:tab w:val="clear" w:pos="9026"/>
      </w:tabs>
      <w:spacing w:line="240" w:lineRule="auto"/>
      <w:jc w:val="right"/>
    </w:pPr>
    <w:rPr>
      <w:color w:val="5B5E60"/>
    </w:rPr>
  </w:style>
  <w:style w:type="paragraph" w:customStyle="1" w:styleId="OneLevelNumberedParagraph">
    <w:name w:val="One Level Numbered Paragraph"/>
    <w:basedOn w:val="Normal"/>
    <w:rsid w:val="0044754A"/>
    <w:pPr>
      <w:numPr>
        <w:numId w:val="5"/>
      </w:numPr>
    </w:pPr>
  </w:style>
  <w:style w:type="paragraph" w:customStyle="1" w:styleId="Romannumeral">
    <w:name w:val="Roman numeral"/>
    <w:basedOn w:val="Normal"/>
    <w:rsid w:val="0044754A"/>
    <w:pPr>
      <w:numPr>
        <w:numId w:val="8"/>
      </w:numPr>
    </w:pPr>
  </w:style>
  <w:style w:type="paragraph" w:customStyle="1" w:styleId="SingleParagraph">
    <w:name w:val="Single Paragraph"/>
    <w:basedOn w:val="Normal"/>
    <w:link w:val="SingleParagraphChar"/>
    <w:rsid w:val="0044754A"/>
    <w:pPr>
      <w:spacing w:after="0"/>
    </w:pPr>
  </w:style>
  <w:style w:type="paragraph" w:customStyle="1" w:styleId="TableSecondHeading">
    <w:name w:val="Table Second Heading"/>
    <w:basedOn w:val="Normal"/>
    <w:next w:val="Normal"/>
    <w:rsid w:val="0044754A"/>
    <w:pPr>
      <w:keepNext/>
      <w:spacing w:after="20"/>
    </w:pPr>
    <w:rPr>
      <w:b/>
      <w:color w:val="004A7F"/>
    </w:rPr>
  </w:style>
  <w:style w:type="paragraph" w:customStyle="1" w:styleId="TableColumnHeadingCentred">
    <w:name w:val="Table Column Heading Centred"/>
    <w:basedOn w:val="TableColumnHeadingLeft-White"/>
    <w:rsid w:val="00DF55A2"/>
    <w:pPr>
      <w:jc w:val="center"/>
    </w:pPr>
  </w:style>
  <w:style w:type="paragraph" w:customStyle="1" w:styleId="TableColumnHeadingLeft">
    <w:name w:val="Table Column Heading Left"/>
    <w:basedOn w:val="TableTextLeft"/>
    <w:rsid w:val="0044754A"/>
    <w:rPr>
      <w:b/>
      <w:color w:val="004A7F"/>
    </w:rPr>
  </w:style>
  <w:style w:type="paragraph" w:customStyle="1" w:styleId="TableColumnHeadingRight">
    <w:name w:val="Table Column Heading Right"/>
    <w:basedOn w:val="TableTextLeft"/>
    <w:rsid w:val="0044754A"/>
    <w:pPr>
      <w:jc w:val="right"/>
    </w:pPr>
    <w:rPr>
      <w:b/>
      <w:color w:val="004A7F"/>
    </w:rPr>
  </w:style>
  <w:style w:type="paragraph" w:customStyle="1" w:styleId="TableTextCentered">
    <w:name w:val="Table Text Centered"/>
    <w:basedOn w:val="TableTextRight"/>
    <w:rsid w:val="001C0590"/>
    <w:pPr>
      <w:spacing w:before="110" w:after="60" w:line="240" w:lineRule="auto"/>
      <w:jc w:val="center"/>
    </w:pPr>
    <w:rPr>
      <w:rFonts w:ascii="Arial" w:hAnsi="Arial"/>
      <w:color w:val="5B5E60"/>
      <w:sz w:val="20"/>
    </w:rPr>
  </w:style>
  <w:style w:type="paragraph" w:customStyle="1" w:styleId="TableTextLeft">
    <w:name w:val="Table Text Left"/>
    <w:basedOn w:val="TableTextRight"/>
    <w:rsid w:val="00DF55A2"/>
    <w:pPr>
      <w:spacing w:before="60" w:after="60" w:line="240" w:lineRule="auto"/>
      <w:jc w:val="left"/>
    </w:pPr>
    <w:rPr>
      <w:rFonts w:ascii="Arial" w:hAnsi="Arial"/>
      <w:sz w:val="20"/>
    </w:rPr>
  </w:style>
  <w:style w:type="paragraph" w:customStyle="1" w:styleId="TableTextRight">
    <w:name w:val="Table Text Right"/>
    <w:basedOn w:val="Normal"/>
    <w:rsid w:val="0044754A"/>
    <w:pPr>
      <w:spacing w:before="40" w:after="40"/>
      <w:jc w:val="right"/>
    </w:pPr>
    <w:rPr>
      <w:color w:val="000000"/>
      <w:sz w:val="18"/>
    </w:rPr>
  </w:style>
  <w:style w:type="paragraph" w:styleId="TOC1">
    <w:name w:val="toc 1"/>
    <w:basedOn w:val="Normal"/>
    <w:next w:val="Normal"/>
    <w:uiPriority w:val="39"/>
    <w:qFormat/>
    <w:rsid w:val="00CE6E73"/>
    <w:pPr>
      <w:keepNext/>
      <w:tabs>
        <w:tab w:val="right" w:leader="dot" w:pos="9072"/>
      </w:tabs>
      <w:spacing w:before="180" w:after="0"/>
      <w:ind w:right="-2"/>
    </w:pPr>
    <w:rPr>
      <w:b/>
      <w:caps/>
      <w:color w:val="5B5E60"/>
    </w:rPr>
  </w:style>
  <w:style w:type="paragraph" w:styleId="TOC2">
    <w:name w:val="toc 2"/>
    <w:basedOn w:val="Normal"/>
    <w:next w:val="Normal"/>
    <w:uiPriority w:val="39"/>
    <w:qFormat/>
    <w:rsid w:val="00CE6E73"/>
    <w:pPr>
      <w:keepNext/>
      <w:tabs>
        <w:tab w:val="right" w:leader="dot" w:pos="9072"/>
      </w:tabs>
      <w:spacing w:before="40" w:after="20"/>
      <w:ind w:left="284"/>
    </w:pPr>
    <w:rPr>
      <w:color w:val="3A87C8"/>
    </w:rPr>
  </w:style>
  <w:style w:type="paragraph" w:styleId="TOC3">
    <w:name w:val="toc 3"/>
    <w:basedOn w:val="Normal"/>
    <w:next w:val="Normal"/>
    <w:uiPriority w:val="39"/>
    <w:qFormat/>
    <w:rsid w:val="0044754A"/>
    <w:pPr>
      <w:tabs>
        <w:tab w:val="right" w:leader="dot" w:pos="9072"/>
      </w:tabs>
      <w:spacing w:before="20" w:after="0"/>
      <w:ind w:left="284" w:right="-2"/>
    </w:pPr>
    <w:rPr>
      <w:rFonts w:cs="Calibri"/>
    </w:rPr>
  </w:style>
  <w:style w:type="numbering" w:customStyle="1" w:styleId="OutlineList">
    <w:name w:val="OutlineList"/>
    <w:uiPriority w:val="99"/>
    <w:rsid w:val="0044754A"/>
    <w:pPr>
      <w:numPr>
        <w:numId w:val="4"/>
      </w:numPr>
    </w:pPr>
  </w:style>
  <w:style w:type="numbering" w:customStyle="1" w:styleId="BulletedList">
    <w:name w:val="Bulleted List"/>
    <w:uiPriority w:val="99"/>
    <w:rsid w:val="0044754A"/>
    <w:pPr>
      <w:numPr>
        <w:numId w:val="1"/>
      </w:numPr>
    </w:pPr>
  </w:style>
  <w:style w:type="numbering" w:customStyle="1" w:styleId="BoxBulletedList">
    <w:name w:val="Box Bulleted List"/>
    <w:uiPriority w:val="99"/>
    <w:rsid w:val="0044754A"/>
    <w:pPr>
      <w:numPr>
        <w:numId w:val="2"/>
      </w:numPr>
    </w:pPr>
  </w:style>
  <w:style w:type="numbering" w:customStyle="1" w:styleId="OneLevelList">
    <w:name w:val="OneLevelList"/>
    <w:uiPriority w:val="99"/>
    <w:rsid w:val="0044754A"/>
    <w:pPr>
      <w:numPr>
        <w:numId w:val="3"/>
      </w:numPr>
    </w:pPr>
  </w:style>
  <w:style w:type="numbering" w:customStyle="1" w:styleId="ChartandTableFootnoteAlphaList">
    <w:name w:val="ChartandTableFootnoteAlphaList"/>
    <w:uiPriority w:val="99"/>
    <w:rsid w:val="0044754A"/>
    <w:pPr>
      <w:numPr>
        <w:numId w:val="17"/>
      </w:numPr>
    </w:pPr>
  </w:style>
  <w:style w:type="paragraph" w:customStyle="1" w:styleId="Crest">
    <w:name w:val="Crest"/>
    <w:basedOn w:val="Header"/>
    <w:rsid w:val="0044754A"/>
    <w:pPr>
      <w:spacing w:after="480"/>
      <w:jc w:val="center"/>
    </w:pPr>
    <w:rPr>
      <w:color w:val="000000" w:themeColor="text1"/>
    </w:rPr>
  </w:style>
  <w:style w:type="paragraph" w:customStyle="1" w:styleId="Heading1Numbered">
    <w:name w:val="Heading 1 Numbered"/>
    <w:basedOn w:val="Heading1"/>
    <w:next w:val="Normal"/>
    <w:rsid w:val="0044754A"/>
    <w:pPr>
      <w:numPr>
        <w:numId w:val="7"/>
      </w:numPr>
    </w:pPr>
  </w:style>
  <w:style w:type="character" w:customStyle="1" w:styleId="SingleParagraphChar">
    <w:name w:val="Single Paragraph Char"/>
    <w:basedOn w:val="DefaultParagraphFont"/>
    <w:link w:val="SingleParagraph"/>
    <w:rsid w:val="0044754A"/>
    <w:rPr>
      <w:rFonts w:ascii="Calibri" w:eastAsia="Times New Roman" w:hAnsi="Calibri" w:cs="Times New Roman"/>
      <w:szCs w:val="20"/>
      <w:lang w:eastAsia="en-AU"/>
    </w:rPr>
  </w:style>
  <w:style w:type="paragraph" w:customStyle="1" w:styleId="Heading2Numbered">
    <w:name w:val="Heading 2 Numbered"/>
    <w:basedOn w:val="Heading2"/>
    <w:next w:val="Normal"/>
    <w:rsid w:val="00D42D4B"/>
    <w:pPr>
      <w:numPr>
        <w:ilvl w:val="1"/>
        <w:numId w:val="7"/>
      </w:numPr>
      <w:ind w:left="284" w:hanging="284"/>
    </w:pPr>
  </w:style>
  <w:style w:type="paragraph" w:customStyle="1" w:styleId="Heading3Numbered">
    <w:name w:val="Heading 3 Numbered"/>
    <w:basedOn w:val="Heading3"/>
    <w:qFormat/>
    <w:rsid w:val="0044754A"/>
    <w:pPr>
      <w:numPr>
        <w:ilvl w:val="2"/>
        <w:numId w:val="7"/>
      </w:numPr>
      <w:ind w:left="284" w:hanging="284"/>
    </w:pPr>
  </w:style>
  <w:style w:type="paragraph" w:styleId="Subtitle">
    <w:name w:val="Subtitle"/>
    <w:next w:val="Normal"/>
    <w:link w:val="SubtitleChar"/>
    <w:uiPriority w:val="11"/>
    <w:qFormat/>
    <w:rsid w:val="00F65ECD"/>
    <w:pPr>
      <w:spacing w:before="120" w:after="60" w:line="240" w:lineRule="auto"/>
    </w:pPr>
    <w:rPr>
      <w:rFonts w:ascii="Century Gothic" w:eastAsia="Times New Roman" w:hAnsi="Century Gothic" w:cs="Times New Roman"/>
      <w:noProof/>
      <w:color w:val="5B5E60"/>
      <w:sz w:val="36"/>
      <w:szCs w:val="24"/>
      <w:lang w:eastAsia="en-AU"/>
    </w:rPr>
  </w:style>
  <w:style w:type="character" w:customStyle="1" w:styleId="SubtitleChar">
    <w:name w:val="Subtitle Char"/>
    <w:basedOn w:val="DefaultParagraphFont"/>
    <w:link w:val="Subtitle"/>
    <w:uiPriority w:val="11"/>
    <w:rsid w:val="00F65ECD"/>
    <w:rPr>
      <w:rFonts w:ascii="Century Gothic" w:eastAsia="Times New Roman" w:hAnsi="Century Gothic" w:cs="Times New Roman"/>
      <w:noProof/>
      <w:color w:val="5B5E60"/>
      <w:sz w:val="36"/>
      <w:szCs w:val="24"/>
      <w:lang w:eastAsia="en-AU"/>
    </w:rPr>
  </w:style>
  <w:style w:type="character" w:styleId="PlaceholderText">
    <w:name w:val="Placeholder Text"/>
    <w:basedOn w:val="DefaultParagraphFont"/>
    <w:uiPriority w:val="99"/>
    <w:semiHidden/>
    <w:rsid w:val="0044754A"/>
    <w:rPr>
      <w:color w:val="808080"/>
    </w:rPr>
  </w:style>
  <w:style w:type="paragraph" w:customStyle="1" w:styleId="AppendixHeading">
    <w:name w:val="Appendix Heading"/>
    <w:basedOn w:val="Normal"/>
    <w:next w:val="Normal"/>
    <w:rsid w:val="0044754A"/>
    <w:pPr>
      <w:keepNext/>
      <w:spacing w:before="720" w:after="360"/>
    </w:pPr>
    <w:rPr>
      <w:rFonts w:ascii="Arial Bold" w:hAnsi="Arial Bold"/>
      <w:b/>
      <w:smallCaps/>
      <w:color w:val="004A7F"/>
      <w:sz w:val="36"/>
      <w:szCs w:val="36"/>
    </w:rPr>
  </w:style>
  <w:style w:type="paragraph" w:customStyle="1" w:styleId="HeadingBase">
    <w:name w:val="Heading Base"/>
    <w:qFormat/>
    <w:rsid w:val="0044754A"/>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F65ECD"/>
    <w:rPr>
      <w:rFonts w:ascii="Century Gothic" w:eastAsia="Times New Roman" w:hAnsi="Century Gothic" w:cs="Times New Roman"/>
      <w:noProof/>
      <w:color w:val="5B5E60"/>
      <w:sz w:val="28"/>
      <w:lang w:eastAsia="en-AU"/>
    </w:rPr>
  </w:style>
  <w:style w:type="paragraph" w:customStyle="1" w:styleId="Disclaimer">
    <w:name w:val="Disclaimer"/>
    <w:basedOn w:val="ReportDate"/>
    <w:rsid w:val="00E37976"/>
    <w:pPr>
      <w:spacing w:before="0" w:after="0"/>
      <w:jc w:val="left"/>
    </w:pPr>
    <w:rPr>
      <w:bCs/>
      <w:sz w:val="18"/>
    </w:rPr>
  </w:style>
  <w:style w:type="paragraph" w:customStyle="1" w:styleId="NotesHeading">
    <w:name w:val="Notes Heading"/>
    <w:basedOn w:val="Normal"/>
    <w:rsid w:val="0044754A"/>
    <w:pPr>
      <w:keepNext/>
      <w:spacing w:before="240" w:after="360"/>
      <w:jc w:val="center"/>
    </w:pPr>
    <w:rPr>
      <w:smallCaps/>
      <w:color w:val="1F497D" w:themeColor="text2"/>
      <w:sz w:val="36"/>
      <w:szCs w:val="36"/>
    </w:rPr>
  </w:style>
  <w:style w:type="paragraph" w:customStyle="1" w:styleId="Divider">
    <w:name w:val="Divider"/>
    <w:basedOn w:val="ReportDate"/>
    <w:qFormat/>
    <w:rsid w:val="0044754A"/>
    <w:pPr>
      <w:spacing w:after="1800"/>
      <w:ind w:right="0"/>
    </w:pPr>
    <w:rPr>
      <w:rFonts w:ascii="Rockwell" w:hAnsi="Rockwell"/>
      <w:sz w:val="24"/>
    </w:rPr>
  </w:style>
  <w:style w:type="character" w:customStyle="1" w:styleId="FramedFooter">
    <w:name w:val="Framed Footer"/>
    <w:rsid w:val="0044754A"/>
    <w:rPr>
      <w:rFonts w:ascii="Arial" w:hAnsi="Arial"/>
      <w:color w:val="004A7F"/>
      <w:sz w:val="18"/>
    </w:rPr>
  </w:style>
  <w:style w:type="character" w:customStyle="1" w:styleId="FramedHeader">
    <w:name w:val="Framed Header"/>
    <w:basedOn w:val="DefaultParagraphFont"/>
    <w:rsid w:val="0044754A"/>
    <w:rPr>
      <w:rFonts w:ascii="Arial" w:hAnsi="Arial"/>
      <w:dstrike w:val="0"/>
      <w:color w:val="auto"/>
      <w:sz w:val="18"/>
      <w:vertAlign w:val="baseline"/>
    </w:rPr>
  </w:style>
  <w:style w:type="paragraph" w:customStyle="1" w:styleId="TableTextIndented">
    <w:name w:val="Table Text Indented"/>
    <w:basedOn w:val="TableTextLeft"/>
    <w:qFormat/>
    <w:rsid w:val="0044754A"/>
    <w:pPr>
      <w:ind w:left="284"/>
    </w:pPr>
  </w:style>
  <w:style w:type="paragraph" w:customStyle="1" w:styleId="TableHeadingContinued">
    <w:name w:val="Table Heading Continued"/>
    <w:basedOn w:val="TableMainHeading"/>
    <w:next w:val="TableGraphic"/>
    <w:qFormat/>
    <w:rsid w:val="0044754A"/>
  </w:style>
  <w:style w:type="paragraph" w:customStyle="1" w:styleId="TableGraphic">
    <w:name w:val="Table Graphic"/>
    <w:basedOn w:val="HeadingBase"/>
    <w:next w:val="Normal"/>
    <w:qFormat/>
    <w:rsid w:val="0044754A"/>
    <w:pPr>
      <w:spacing w:after="0"/>
    </w:pPr>
  </w:style>
  <w:style w:type="paragraph" w:customStyle="1" w:styleId="HeaderEven">
    <w:name w:val="Header Even"/>
    <w:basedOn w:val="Header"/>
    <w:qFormat/>
    <w:rsid w:val="003A04EB"/>
    <w:pPr>
      <w:spacing w:line="240" w:lineRule="auto"/>
      <w:jc w:val="left"/>
    </w:pPr>
    <w:rPr>
      <w:color w:val="5B5E60"/>
    </w:rPr>
  </w:style>
  <w:style w:type="paragraph" w:customStyle="1" w:styleId="HeaderOdd">
    <w:name w:val="Header Odd"/>
    <w:basedOn w:val="Header"/>
    <w:qFormat/>
    <w:rsid w:val="003A04EB"/>
    <w:pPr>
      <w:spacing w:line="240" w:lineRule="auto"/>
    </w:pPr>
    <w:rPr>
      <w:color w:val="5B5E60"/>
    </w:rPr>
  </w:style>
  <w:style w:type="paragraph" w:customStyle="1" w:styleId="SubSubTitle">
    <w:name w:val="SubSubTitle"/>
    <w:basedOn w:val="Normal"/>
    <w:rsid w:val="00F65ECD"/>
    <w:pPr>
      <w:spacing w:after="960" w:line="240" w:lineRule="auto"/>
      <w:ind w:left="170"/>
    </w:pPr>
    <w:rPr>
      <w:rFonts w:ascii="Futura Bk BT" w:eastAsiaTheme="minorEastAsia" w:hAnsi="Futura Bk BT" w:cstheme="minorBidi"/>
      <w:color w:val="5B5E60"/>
      <w:sz w:val="24"/>
      <w:szCs w:val="26"/>
      <w:lang w:val="en-US" w:eastAsia="ja-JP"/>
    </w:rPr>
  </w:style>
  <w:style w:type="paragraph" w:customStyle="1" w:styleId="OutlineNumbered1-Indent">
    <w:name w:val="Outline Numbered 1 - Indent"/>
    <w:basedOn w:val="OutlineNumbered1"/>
    <w:rsid w:val="00D42D4B"/>
    <w:pPr>
      <w:tabs>
        <w:tab w:val="clear" w:pos="425"/>
        <w:tab w:val="left" w:pos="851"/>
      </w:tabs>
      <w:ind w:left="850"/>
    </w:pPr>
  </w:style>
  <w:style w:type="paragraph" w:customStyle="1" w:styleId="SubSubSubTitle">
    <w:name w:val="SubSubSubTitle"/>
    <w:basedOn w:val="Normal"/>
    <w:rsid w:val="00F65ECD"/>
    <w:pPr>
      <w:spacing w:line="240" w:lineRule="auto"/>
      <w:ind w:left="170"/>
      <w:jc w:val="left"/>
    </w:pPr>
    <w:rPr>
      <w:color w:val="3A87C8"/>
      <w:sz w:val="24"/>
      <w:szCs w:val="24"/>
    </w:rPr>
  </w:style>
  <w:style w:type="paragraph" w:customStyle="1" w:styleId="OutlineNumbered1-Roman">
    <w:name w:val="Outline Numbered 1 - Roman"/>
    <w:basedOn w:val="OutlineNumbered1-Indent"/>
    <w:rsid w:val="003A04EB"/>
    <w:pPr>
      <w:numPr>
        <w:numId w:val="9"/>
      </w:numPr>
      <w:tabs>
        <w:tab w:val="clear" w:pos="851"/>
      </w:tabs>
    </w:pPr>
  </w:style>
  <w:style w:type="paragraph" w:customStyle="1" w:styleId="TableColumnHeadingLeft-White">
    <w:name w:val="Table Column Heading Left - White"/>
    <w:basedOn w:val="TableColumnHeadingLeft"/>
    <w:rsid w:val="00DF55A2"/>
    <w:pPr>
      <w:spacing w:before="120" w:after="120"/>
    </w:pPr>
    <w:rPr>
      <w:color w:val="FFFFFF" w:themeColor="background1"/>
      <w:sz w:val="22"/>
    </w:rPr>
  </w:style>
  <w:style w:type="paragraph" w:customStyle="1" w:styleId="TableTextLeft-Bullet">
    <w:name w:val="Table Text Left - Bullet"/>
    <w:basedOn w:val="TableTextLeft"/>
    <w:rsid w:val="00DF55A2"/>
    <w:pPr>
      <w:numPr>
        <w:numId w:val="12"/>
      </w:numPr>
    </w:pPr>
    <w:rPr>
      <w:color w:val="5B5E60"/>
    </w:rPr>
  </w:style>
  <w:style w:type="paragraph" w:styleId="TOCHeading">
    <w:name w:val="TOC Heading"/>
    <w:basedOn w:val="Heading1"/>
    <w:next w:val="Normal"/>
    <w:uiPriority w:val="39"/>
    <w:semiHidden/>
    <w:unhideWhenUsed/>
    <w:qFormat/>
    <w:rsid w:val="00E37976"/>
    <w:pPr>
      <w:keepLines/>
      <w:pBdr>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customStyle="1" w:styleId="Heading1-NoTOC">
    <w:name w:val="Heading 1 - No TOC"/>
    <w:basedOn w:val="Heading1"/>
    <w:rsid w:val="00E37976"/>
    <w:pPr>
      <w:outlineLvl w:val="9"/>
    </w:pPr>
  </w:style>
  <w:style w:type="character" w:styleId="Emphasis">
    <w:name w:val="Emphasis"/>
    <w:basedOn w:val="DefaultParagraphFont"/>
    <w:uiPriority w:val="20"/>
    <w:qFormat/>
    <w:rsid w:val="000F0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99268">
      <w:bodyDiv w:val="1"/>
      <w:marLeft w:val="0"/>
      <w:marRight w:val="0"/>
      <w:marTop w:val="0"/>
      <w:marBottom w:val="0"/>
      <w:divBdr>
        <w:top w:val="none" w:sz="0" w:space="0" w:color="auto"/>
        <w:left w:val="none" w:sz="0" w:space="0" w:color="auto"/>
        <w:bottom w:val="none" w:sz="0" w:space="0" w:color="auto"/>
        <w:right w:val="none" w:sz="0" w:space="0" w:color="auto"/>
      </w:divBdr>
    </w:div>
    <w:div w:id="402529242">
      <w:bodyDiv w:val="1"/>
      <w:marLeft w:val="0"/>
      <w:marRight w:val="0"/>
      <w:marTop w:val="0"/>
      <w:marBottom w:val="0"/>
      <w:divBdr>
        <w:top w:val="none" w:sz="0" w:space="0" w:color="auto"/>
        <w:left w:val="none" w:sz="0" w:space="0" w:color="auto"/>
        <w:bottom w:val="none" w:sz="0" w:space="0" w:color="auto"/>
        <w:right w:val="none" w:sz="0" w:space="0" w:color="auto"/>
      </w:divBdr>
    </w:div>
    <w:div w:id="1592004049">
      <w:bodyDiv w:val="1"/>
      <w:marLeft w:val="0"/>
      <w:marRight w:val="0"/>
      <w:marTop w:val="0"/>
      <w:marBottom w:val="0"/>
      <w:divBdr>
        <w:top w:val="none" w:sz="0" w:space="0" w:color="auto"/>
        <w:left w:val="none" w:sz="0" w:space="0" w:color="auto"/>
        <w:bottom w:val="none" w:sz="0" w:space="0" w:color="auto"/>
        <w:right w:val="none" w:sz="0" w:space="0" w:color="auto"/>
      </w:divBdr>
    </w:div>
    <w:div w:id="1741752898">
      <w:bodyDiv w:val="1"/>
      <w:marLeft w:val="0"/>
      <w:marRight w:val="0"/>
      <w:marTop w:val="0"/>
      <w:marBottom w:val="0"/>
      <w:divBdr>
        <w:top w:val="none" w:sz="0" w:space="0" w:color="auto"/>
        <w:left w:val="none" w:sz="0" w:space="0" w:color="auto"/>
        <w:bottom w:val="none" w:sz="0" w:space="0" w:color="auto"/>
        <w:right w:val="none" w:sz="0" w:space="0" w:color="auto"/>
      </w:divBdr>
    </w:div>
    <w:div w:id="1898198157">
      <w:bodyDiv w:val="1"/>
      <w:marLeft w:val="0"/>
      <w:marRight w:val="0"/>
      <w:marTop w:val="0"/>
      <w:marBottom w:val="0"/>
      <w:divBdr>
        <w:top w:val="none" w:sz="0" w:space="0" w:color="auto"/>
        <w:left w:val="none" w:sz="0" w:space="0" w:color="auto"/>
        <w:bottom w:val="none" w:sz="0" w:space="0" w:color="auto"/>
        <w:right w:val="none" w:sz="0" w:space="0" w:color="auto"/>
      </w:divBdr>
      <w:divsChild>
        <w:div w:id="302128464">
          <w:marLeft w:val="0"/>
          <w:marRight w:val="0"/>
          <w:marTop w:val="0"/>
          <w:marBottom w:val="0"/>
          <w:divBdr>
            <w:top w:val="none" w:sz="0" w:space="0" w:color="auto"/>
            <w:left w:val="none" w:sz="0" w:space="0" w:color="auto"/>
            <w:bottom w:val="none" w:sz="0" w:space="0" w:color="auto"/>
            <w:right w:val="none" w:sz="0" w:space="0" w:color="auto"/>
          </w:divBdr>
          <w:divsChild>
            <w:div w:id="1245719776">
              <w:marLeft w:val="0"/>
              <w:marRight w:val="0"/>
              <w:marTop w:val="0"/>
              <w:marBottom w:val="0"/>
              <w:divBdr>
                <w:top w:val="none" w:sz="0" w:space="0" w:color="auto"/>
                <w:left w:val="none" w:sz="0" w:space="0" w:color="auto"/>
                <w:bottom w:val="none" w:sz="0" w:space="0" w:color="auto"/>
                <w:right w:val="none" w:sz="0" w:space="0" w:color="auto"/>
              </w:divBdr>
              <w:divsChild>
                <w:div w:id="400325845">
                  <w:marLeft w:val="120"/>
                  <w:marRight w:val="0"/>
                  <w:marTop w:val="0"/>
                  <w:marBottom w:val="0"/>
                  <w:divBdr>
                    <w:top w:val="none" w:sz="0" w:space="0" w:color="auto"/>
                    <w:left w:val="none" w:sz="0" w:space="0" w:color="auto"/>
                    <w:bottom w:val="none" w:sz="0" w:space="0" w:color="auto"/>
                    <w:right w:val="none" w:sz="0" w:space="0" w:color="auto"/>
                  </w:divBdr>
                  <w:divsChild>
                    <w:div w:id="1565334247">
                      <w:marLeft w:val="0"/>
                      <w:marRight w:val="0"/>
                      <w:marTop w:val="0"/>
                      <w:marBottom w:val="0"/>
                      <w:divBdr>
                        <w:top w:val="none" w:sz="0" w:space="0" w:color="auto"/>
                        <w:left w:val="none" w:sz="0" w:space="0" w:color="auto"/>
                        <w:bottom w:val="none" w:sz="0" w:space="0" w:color="auto"/>
                        <w:right w:val="none" w:sz="0" w:space="0" w:color="auto"/>
                      </w:divBdr>
                    </w:div>
                  </w:divsChild>
                </w:div>
                <w:div w:id="1470319306">
                  <w:marLeft w:val="0"/>
                  <w:marRight w:val="0"/>
                  <w:marTop w:val="0"/>
                  <w:marBottom w:val="0"/>
                  <w:divBdr>
                    <w:top w:val="none" w:sz="0" w:space="0" w:color="auto"/>
                    <w:left w:val="none" w:sz="0" w:space="0" w:color="auto"/>
                    <w:bottom w:val="none" w:sz="0" w:space="0" w:color="auto"/>
                    <w:right w:val="none" w:sz="0" w:space="0" w:color="auto"/>
                  </w:divBdr>
                  <w:divsChild>
                    <w:div w:id="1668091868">
                      <w:marLeft w:val="0"/>
                      <w:marRight w:val="0"/>
                      <w:marTop w:val="0"/>
                      <w:marBottom w:val="0"/>
                      <w:divBdr>
                        <w:top w:val="none" w:sz="0" w:space="0" w:color="auto"/>
                        <w:left w:val="none" w:sz="0" w:space="0" w:color="auto"/>
                        <w:bottom w:val="none" w:sz="0" w:space="0" w:color="auto"/>
                        <w:right w:val="none" w:sz="0" w:space="0" w:color="auto"/>
                      </w:divBdr>
                      <w:divsChild>
                        <w:div w:id="639576026">
                          <w:marLeft w:val="0"/>
                          <w:marRight w:val="0"/>
                          <w:marTop w:val="0"/>
                          <w:marBottom w:val="0"/>
                          <w:divBdr>
                            <w:top w:val="none" w:sz="0" w:space="0" w:color="auto"/>
                            <w:left w:val="none" w:sz="0" w:space="0" w:color="auto"/>
                            <w:bottom w:val="none" w:sz="0" w:space="0" w:color="auto"/>
                            <w:right w:val="none" w:sz="0" w:space="0" w:color="auto"/>
                          </w:divBdr>
                        </w:div>
                        <w:div w:id="1559974637">
                          <w:marLeft w:val="0"/>
                          <w:marRight w:val="0"/>
                          <w:marTop w:val="0"/>
                          <w:marBottom w:val="0"/>
                          <w:divBdr>
                            <w:top w:val="none" w:sz="0" w:space="0" w:color="auto"/>
                            <w:left w:val="none" w:sz="0" w:space="0" w:color="auto"/>
                            <w:bottom w:val="none" w:sz="0" w:space="0" w:color="auto"/>
                            <w:right w:val="none" w:sz="0" w:space="0" w:color="auto"/>
                          </w:divBdr>
                        </w:div>
                      </w:divsChild>
                    </w:div>
                    <w:div w:id="824472046">
                      <w:marLeft w:val="0"/>
                      <w:marRight w:val="0"/>
                      <w:marTop w:val="0"/>
                      <w:marBottom w:val="0"/>
                      <w:divBdr>
                        <w:top w:val="none" w:sz="0" w:space="0" w:color="auto"/>
                        <w:left w:val="none" w:sz="0" w:space="0" w:color="auto"/>
                        <w:bottom w:val="none" w:sz="0" w:space="0" w:color="auto"/>
                        <w:right w:val="none" w:sz="0" w:space="0" w:color="auto"/>
                      </w:divBdr>
                      <w:divsChild>
                        <w:div w:id="85662041">
                          <w:marLeft w:val="0"/>
                          <w:marRight w:val="0"/>
                          <w:marTop w:val="0"/>
                          <w:marBottom w:val="0"/>
                          <w:divBdr>
                            <w:top w:val="none" w:sz="0" w:space="0" w:color="auto"/>
                            <w:left w:val="none" w:sz="0" w:space="0" w:color="auto"/>
                            <w:bottom w:val="none" w:sz="0" w:space="0" w:color="auto"/>
                            <w:right w:val="none" w:sz="0" w:space="0" w:color="auto"/>
                          </w:divBdr>
                          <w:divsChild>
                            <w:div w:id="72901349">
                              <w:marLeft w:val="0"/>
                              <w:marRight w:val="0"/>
                              <w:marTop w:val="0"/>
                              <w:marBottom w:val="0"/>
                              <w:divBdr>
                                <w:top w:val="none" w:sz="0" w:space="0" w:color="auto"/>
                                <w:left w:val="none" w:sz="0" w:space="0" w:color="auto"/>
                                <w:bottom w:val="none" w:sz="0" w:space="0" w:color="auto"/>
                                <w:right w:val="none" w:sz="0" w:space="0" w:color="auto"/>
                              </w:divBdr>
                              <w:divsChild>
                                <w:div w:id="880896137">
                                  <w:marLeft w:val="0"/>
                                  <w:marRight w:val="0"/>
                                  <w:marTop w:val="0"/>
                                  <w:marBottom w:val="0"/>
                                  <w:divBdr>
                                    <w:top w:val="none" w:sz="0" w:space="0" w:color="auto"/>
                                    <w:left w:val="none" w:sz="0" w:space="0" w:color="auto"/>
                                    <w:bottom w:val="none" w:sz="0" w:space="0" w:color="auto"/>
                                    <w:right w:val="none" w:sz="0" w:space="0" w:color="auto"/>
                                  </w:divBdr>
                                  <w:divsChild>
                                    <w:div w:id="1784575689">
                                      <w:marLeft w:val="0"/>
                                      <w:marRight w:val="0"/>
                                      <w:marTop w:val="0"/>
                                      <w:marBottom w:val="0"/>
                                      <w:divBdr>
                                        <w:top w:val="none" w:sz="0" w:space="0" w:color="auto"/>
                                        <w:left w:val="none" w:sz="0" w:space="0" w:color="auto"/>
                                        <w:bottom w:val="none" w:sz="0" w:space="0" w:color="auto"/>
                                        <w:right w:val="none" w:sz="0" w:space="0" w:color="auto"/>
                                      </w:divBdr>
                                      <w:divsChild>
                                        <w:div w:id="2008820101">
                                          <w:marLeft w:val="0"/>
                                          <w:marRight w:val="0"/>
                                          <w:marTop w:val="0"/>
                                          <w:marBottom w:val="0"/>
                                          <w:divBdr>
                                            <w:top w:val="none" w:sz="0" w:space="0" w:color="auto"/>
                                            <w:left w:val="none" w:sz="0" w:space="0" w:color="auto"/>
                                            <w:bottom w:val="none" w:sz="0" w:space="0" w:color="auto"/>
                                            <w:right w:val="none" w:sz="0" w:space="0" w:color="auto"/>
                                          </w:divBdr>
                                          <w:divsChild>
                                            <w:div w:id="1078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43963">
                          <w:marLeft w:val="0"/>
                          <w:marRight w:val="0"/>
                          <w:marTop w:val="0"/>
                          <w:marBottom w:val="0"/>
                          <w:divBdr>
                            <w:top w:val="none" w:sz="0" w:space="0" w:color="auto"/>
                            <w:left w:val="none" w:sz="0" w:space="0" w:color="auto"/>
                            <w:bottom w:val="none" w:sz="0" w:space="0" w:color="auto"/>
                            <w:right w:val="none" w:sz="0" w:space="0" w:color="auto"/>
                          </w:divBdr>
                          <w:divsChild>
                            <w:div w:id="75248620">
                              <w:marLeft w:val="0"/>
                              <w:marRight w:val="0"/>
                              <w:marTop w:val="0"/>
                              <w:marBottom w:val="0"/>
                              <w:divBdr>
                                <w:top w:val="none" w:sz="0" w:space="0" w:color="auto"/>
                                <w:left w:val="none" w:sz="0" w:space="0" w:color="auto"/>
                                <w:bottom w:val="none" w:sz="0" w:space="0" w:color="auto"/>
                                <w:right w:val="none" w:sz="0" w:space="0" w:color="auto"/>
                              </w:divBdr>
                              <w:divsChild>
                                <w:div w:id="760569963">
                                  <w:marLeft w:val="0"/>
                                  <w:marRight w:val="0"/>
                                  <w:marTop w:val="0"/>
                                  <w:marBottom w:val="0"/>
                                  <w:divBdr>
                                    <w:top w:val="none" w:sz="0" w:space="0" w:color="auto"/>
                                    <w:left w:val="none" w:sz="0" w:space="0" w:color="auto"/>
                                    <w:bottom w:val="none" w:sz="0" w:space="0" w:color="auto"/>
                                    <w:right w:val="none" w:sz="0" w:space="0" w:color="auto"/>
                                  </w:divBdr>
                                  <w:divsChild>
                                    <w:div w:id="611665602">
                                      <w:marLeft w:val="0"/>
                                      <w:marRight w:val="0"/>
                                      <w:marTop w:val="0"/>
                                      <w:marBottom w:val="0"/>
                                      <w:divBdr>
                                        <w:top w:val="none" w:sz="0" w:space="0" w:color="auto"/>
                                        <w:left w:val="none" w:sz="0" w:space="0" w:color="auto"/>
                                        <w:bottom w:val="none" w:sz="0" w:space="0" w:color="auto"/>
                                        <w:right w:val="none" w:sz="0" w:space="0" w:color="auto"/>
                                      </w:divBdr>
                                      <w:divsChild>
                                        <w:div w:id="1948348598">
                                          <w:marLeft w:val="0"/>
                                          <w:marRight w:val="0"/>
                                          <w:marTop w:val="0"/>
                                          <w:marBottom w:val="0"/>
                                          <w:divBdr>
                                            <w:top w:val="none" w:sz="0" w:space="0" w:color="auto"/>
                                            <w:left w:val="none" w:sz="0" w:space="0" w:color="auto"/>
                                            <w:bottom w:val="none" w:sz="0" w:space="0" w:color="auto"/>
                                            <w:right w:val="none" w:sz="0" w:space="0" w:color="auto"/>
                                          </w:divBdr>
                                          <w:divsChild>
                                            <w:div w:id="2090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803096">
          <w:marLeft w:val="0"/>
          <w:marRight w:val="0"/>
          <w:marTop w:val="0"/>
          <w:marBottom w:val="0"/>
          <w:divBdr>
            <w:top w:val="none" w:sz="0" w:space="0" w:color="auto"/>
            <w:left w:val="none" w:sz="0" w:space="0" w:color="auto"/>
            <w:bottom w:val="none" w:sz="0" w:space="0" w:color="auto"/>
            <w:right w:val="none" w:sz="0" w:space="0" w:color="auto"/>
          </w:divBdr>
          <w:divsChild>
            <w:div w:id="1887259847">
              <w:marLeft w:val="0"/>
              <w:marRight w:val="0"/>
              <w:marTop w:val="0"/>
              <w:marBottom w:val="0"/>
              <w:divBdr>
                <w:top w:val="none" w:sz="0" w:space="0" w:color="auto"/>
                <w:left w:val="none" w:sz="0" w:space="0" w:color="auto"/>
                <w:bottom w:val="none" w:sz="0" w:space="0" w:color="auto"/>
                <w:right w:val="none" w:sz="0" w:space="0" w:color="auto"/>
              </w:divBdr>
              <w:divsChild>
                <w:div w:id="1470593071">
                  <w:marLeft w:val="0"/>
                  <w:marRight w:val="0"/>
                  <w:marTop w:val="0"/>
                  <w:marBottom w:val="0"/>
                  <w:divBdr>
                    <w:top w:val="none" w:sz="0" w:space="0" w:color="auto"/>
                    <w:left w:val="none" w:sz="0" w:space="0" w:color="auto"/>
                    <w:bottom w:val="none" w:sz="0" w:space="0" w:color="auto"/>
                    <w:right w:val="none" w:sz="0" w:space="0" w:color="auto"/>
                  </w:divBdr>
                  <w:divsChild>
                    <w:div w:id="247546961">
                      <w:marLeft w:val="0"/>
                      <w:marRight w:val="0"/>
                      <w:marTop w:val="0"/>
                      <w:marBottom w:val="0"/>
                      <w:divBdr>
                        <w:top w:val="none" w:sz="0" w:space="0" w:color="auto"/>
                        <w:left w:val="none" w:sz="0" w:space="0" w:color="auto"/>
                        <w:bottom w:val="none" w:sz="0" w:space="0" w:color="auto"/>
                        <w:right w:val="none" w:sz="0" w:space="0" w:color="auto"/>
                      </w:divBdr>
                      <w:divsChild>
                        <w:div w:id="244267775">
                          <w:marLeft w:val="0"/>
                          <w:marRight w:val="0"/>
                          <w:marTop w:val="0"/>
                          <w:marBottom w:val="0"/>
                          <w:divBdr>
                            <w:top w:val="none" w:sz="0" w:space="0" w:color="auto"/>
                            <w:left w:val="none" w:sz="0" w:space="0" w:color="auto"/>
                            <w:bottom w:val="none" w:sz="0" w:space="0" w:color="auto"/>
                            <w:right w:val="none" w:sz="0" w:space="0" w:color="auto"/>
                          </w:divBdr>
                        </w:div>
                        <w:div w:id="1644122385">
                          <w:marLeft w:val="0"/>
                          <w:marRight w:val="0"/>
                          <w:marTop w:val="0"/>
                          <w:marBottom w:val="0"/>
                          <w:divBdr>
                            <w:top w:val="none" w:sz="0" w:space="0" w:color="auto"/>
                            <w:left w:val="none" w:sz="0" w:space="0" w:color="auto"/>
                            <w:bottom w:val="none" w:sz="0" w:space="0" w:color="auto"/>
                            <w:right w:val="none" w:sz="0" w:space="0" w:color="auto"/>
                          </w:divBdr>
                        </w:div>
                      </w:divsChild>
                    </w:div>
                    <w:div w:id="1289893203">
                      <w:marLeft w:val="0"/>
                      <w:marRight w:val="0"/>
                      <w:marTop w:val="0"/>
                      <w:marBottom w:val="0"/>
                      <w:divBdr>
                        <w:top w:val="none" w:sz="0" w:space="0" w:color="auto"/>
                        <w:left w:val="none" w:sz="0" w:space="0" w:color="auto"/>
                        <w:bottom w:val="none" w:sz="0" w:space="0" w:color="auto"/>
                        <w:right w:val="none" w:sz="0" w:space="0" w:color="auto"/>
                      </w:divBdr>
                      <w:divsChild>
                        <w:div w:id="211890888">
                          <w:marLeft w:val="0"/>
                          <w:marRight w:val="0"/>
                          <w:marTop w:val="0"/>
                          <w:marBottom w:val="0"/>
                          <w:divBdr>
                            <w:top w:val="none" w:sz="0" w:space="0" w:color="auto"/>
                            <w:left w:val="none" w:sz="0" w:space="0" w:color="auto"/>
                            <w:bottom w:val="none" w:sz="0" w:space="0" w:color="auto"/>
                            <w:right w:val="none" w:sz="0" w:space="0" w:color="auto"/>
                          </w:divBdr>
                          <w:divsChild>
                            <w:div w:id="1553495145">
                              <w:marLeft w:val="0"/>
                              <w:marRight w:val="0"/>
                              <w:marTop w:val="0"/>
                              <w:marBottom w:val="0"/>
                              <w:divBdr>
                                <w:top w:val="none" w:sz="0" w:space="0" w:color="auto"/>
                                <w:left w:val="none" w:sz="0" w:space="0" w:color="auto"/>
                                <w:bottom w:val="none" w:sz="0" w:space="0" w:color="auto"/>
                                <w:right w:val="none" w:sz="0" w:space="0" w:color="auto"/>
                              </w:divBdr>
                              <w:divsChild>
                                <w:div w:id="1343435275">
                                  <w:marLeft w:val="0"/>
                                  <w:marRight w:val="0"/>
                                  <w:marTop w:val="0"/>
                                  <w:marBottom w:val="0"/>
                                  <w:divBdr>
                                    <w:top w:val="none" w:sz="0" w:space="0" w:color="auto"/>
                                    <w:left w:val="none" w:sz="0" w:space="0" w:color="auto"/>
                                    <w:bottom w:val="none" w:sz="0" w:space="0" w:color="auto"/>
                                    <w:right w:val="none" w:sz="0" w:space="0" w:color="auto"/>
                                  </w:divBdr>
                                  <w:divsChild>
                                    <w:div w:id="734857946">
                                      <w:marLeft w:val="0"/>
                                      <w:marRight w:val="0"/>
                                      <w:marTop w:val="0"/>
                                      <w:marBottom w:val="0"/>
                                      <w:divBdr>
                                        <w:top w:val="none" w:sz="0" w:space="0" w:color="auto"/>
                                        <w:left w:val="none" w:sz="0" w:space="0" w:color="auto"/>
                                        <w:bottom w:val="none" w:sz="0" w:space="0" w:color="auto"/>
                                        <w:right w:val="none" w:sz="0" w:space="0" w:color="auto"/>
                                      </w:divBdr>
                                      <w:divsChild>
                                        <w:div w:id="1247152093">
                                          <w:marLeft w:val="0"/>
                                          <w:marRight w:val="0"/>
                                          <w:marTop w:val="0"/>
                                          <w:marBottom w:val="0"/>
                                          <w:divBdr>
                                            <w:top w:val="none" w:sz="0" w:space="0" w:color="auto"/>
                                            <w:left w:val="none" w:sz="0" w:space="0" w:color="auto"/>
                                            <w:bottom w:val="none" w:sz="0" w:space="0" w:color="auto"/>
                                            <w:right w:val="none" w:sz="0" w:space="0" w:color="auto"/>
                                          </w:divBdr>
                                          <w:divsChild>
                                            <w:div w:id="16604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582919">
                  <w:marLeft w:val="0"/>
                  <w:marRight w:val="12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6066">
          <w:marLeft w:val="0"/>
          <w:marRight w:val="0"/>
          <w:marTop w:val="0"/>
          <w:marBottom w:val="0"/>
          <w:divBdr>
            <w:top w:val="none" w:sz="0" w:space="0" w:color="auto"/>
            <w:left w:val="none" w:sz="0" w:space="0" w:color="auto"/>
            <w:bottom w:val="none" w:sz="0" w:space="0" w:color="auto"/>
            <w:right w:val="none" w:sz="0" w:space="0" w:color="auto"/>
          </w:divBdr>
          <w:divsChild>
            <w:div w:id="1453746363">
              <w:marLeft w:val="0"/>
              <w:marRight w:val="0"/>
              <w:marTop w:val="0"/>
              <w:marBottom w:val="0"/>
              <w:divBdr>
                <w:top w:val="none" w:sz="0" w:space="0" w:color="auto"/>
                <w:left w:val="none" w:sz="0" w:space="0" w:color="auto"/>
                <w:bottom w:val="none" w:sz="0" w:space="0" w:color="auto"/>
                <w:right w:val="none" w:sz="0" w:space="0" w:color="auto"/>
              </w:divBdr>
              <w:divsChild>
                <w:div w:id="1758794497">
                  <w:marLeft w:val="120"/>
                  <w:marRight w:val="0"/>
                  <w:marTop w:val="0"/>
                  <w:marBottom w:val="0"/>
                  <w:divBdr>
                    <w:top w:val="none" w:sz="0" w:space="0" w:color="auto"/>
                    <w:left w:val="none" w:sz="0" w:space="0" w:color="auto"/>
                    <w:bottom w:val="none" w:sz="0" w:space="0" w:color="auto"/>
                    <w:right w:val="none" w:sz="0" w:space="0" w:color="auto"/>
                  </w:divBdr>
                  <w:divsChild>
                    <w:div w:id="774254558">
                      <w:marLeft w:val="0"/>
                      <w:marRight w:val="0"/>
                      <w:marTop w:val="0"/>
                      <w:marBottom w:val="0"/>
                      <w:divBdr>
                        <w:top w:val="none" w:sz="0" w:space="0" w:color="auto"/>
                        <w:left w:val="none" w:sz="0" w:space="0" w:color="auto"/>
                        <w:bottom w:val="none" w:sz="0" w:space="0" w:color="auto"/>
                        <w:right w:val="none" w:sz="0" w:space="0" w:color="auto"/>
                      </w:divBdr>
                    </w:div>
                  </w:divsChild>
                </w:div>
                <w:div w:id="1355182404">
                  <w:marLeft w:val="0"/>
                  <w:marRight w:val="0"/>
                  <w:marTop w:val="0"/>
                  <w:marBottom w:val="0"/>
                  <w:divBdr>
                    <w:top w:val="none" w:sz="0" w:space="0" w:color="auto"/>
                    <w:left w:val="none" w:sz="0" w:space="0" w:color="auto"/>
                    <w:bottom w:val="none" w:sz="0" w:space="0" w:color="auto"/>
                    <w:right w:val="none" w:sz="0" w:space="0" w:color="auto"/>
                  </w:divBdr>
                  <w:divsChild>
                    <w:div w:id="537743356">
                      <w:marLeft w:val="0"/>
                      <w:marRight w:val="0"/>
                      <w:marTop w:val="0"/>
                      <w:marBottom w:val="0"/>
                      <w:divBdr>
                        <w:top w:val="none" w:sz="0" w:space="0" w:color="auto"/>
                        <w:left w:val="none" w:sz="0" w:space="0" w:color="auto"/>
                        <w:bottom w:val="none" w:sz="0" w:space="0" w:color="auto"/>
                        <w:right w:val="none" w:sz="0" w:space="0" w:color="auto"/>
                      </w:divBdr>
                      <w:divsChild>
                        <w:div w:id="608395954">
                          <w:marLeft w:val="0"/>
                          <w:marRight w:val="0"/>
                          <w:marTop w:val="0"/>
                          <w:marBottom w:val="0"/>
                          <w:divBdr>
                            <w:top w:val="none" w:sz="0" w:space="0" w:color="auto"/>
                            <w:left w:val="none" w:sz="0" w:space="0" w:color="auto"/>
                            <w:bottom w:val="none" w:sz="0" w:space="0" w:color="auto"/>
                            <w:right w:val="none" w:sz="0" w:space="0" w:color="auto"/>
                          </w:divBdr>
                        </w:div>
                        <w:div w:id="2113936423">
                          <w:marLeft w:val="0"/>
                          <w:marRight w:val="0"/>
                          <w:marTop w:val="0"/>
                          <w:marBottom w:val="0"/>
                          <w:divBdr>
                            <w:top w:val="none" w:sz="0" w:space="0" w:color="auto"/>
                            <w:left w:val="none" w:sz="0" w:space="0" w:color="auto"/>
                            <w:bottom w:val="none" w:sz="0" w:space="0" w:color="auto"/>
                            <w:right w:val="none" w:sz="0" w:space="0" w:color="auto"/>
                          </w:divBdr>
                        </w:div>
                      </w:divsChild>
                    </w:div>
                    <w:div w:id="738789926">
                      <w:marLeft w:val="0"/>
                      <w:marRight w:val="0"/>
                      <w:marTop w:val="0"/>
                      <w:marBottom w:val="0"/>
                      <w:divBdr>
                        <w:top w:val="none" w:sz="0" w:space="0" w:color="auto"/>
                        <w:left w:val="none" w:sz="0" w:space="0" w:color="auto"/>
                        <w:bottom w:val="none" w:sz="0" w:space="0" w:color="auto"/>
                        <w:right w:val="none" w:sz="0" w:space="0" w:color="auto"/>
                      </w:divBdr>
                      <w:divsChild>
                        <w:div w:id="376901076">
                          <w:marLeft w:val="0"/>
                          <w:marRight w:val="0"/>
                          <w:marTop w:val="0"/>
                          <w:marBottom w:val="0"/>
                          <w:divBdr>
                            <w:top w:val="none" w:sz="0" w:space="0" w:color="auto"/>
                            <w:left w:val="none" w:sz="0" w:space="0" w:color="auto"/>
                            <w:bottom w:val="none" w:sz="0" w:space="0" w:color="auto"/>
                            <w:right w:val="none" w:sz="0" w:space="0" w:color="auto"/>
                          </w:divBdr>
                          <w:divsChild>
                            <w:div w:id="1933393872">
                              <w:marLeft w:val="0"/>
                              <w:marRight w:val="0"/>
                              <w:marTop w:val="0"/>
                              <w:marBottom w:val="0"/>
                              <w:divBdr>
                                <w:top w:val="none" w:sz="0" w:space="0" w:color="auto"/>
                                <w:left w:val="none" w:sz="0" w:space="0" w:color="auto"/>
                                <w:bottom w:val="none" w:sz="0" w:space="0" w:color="auto"/>
                                <w:right w:val="none" w:sz="0" w:space="0" w:color="auto"/>
                              </w:divBdr>
                              <w:divsChild>
                                <w:div w:id="822160727">
                                  <w:marLeft w:val="0"/>
                                  <w:marRight w:val="0"/>
                                  <w:marTop w:val="0"/>
                                  <w:marBottom w:val="0"/>
                                  <w:divBdr>
                                    <w:top w:val="none" w:sz="0" w:space="0" w:color="auto"/>
                                    <w:left w:val="none" w:sz="0" w:space="0" w:color="auto"/>
                                    <w:bottom w:val="none" w:sz="0" w:space="0" w:color="auto"/>
                                    <w:right w:val="none" w:sz="0" w:space="0" w:color="auto"/>
                                  </w:divBdr>
                                  <w:divsChild>
                                    <w:div w:id="441917176">
                                      <w:marLeft w:val="0"/>
                                      <w:marRight w:val="0"/>
                                      <w:marTop w:val="0"/>
                                      <w:marBottom w:val="0"/>
                                      <w:divBdr>
                                        <w:top w:val="none" w:sz="0" w:space="0" w:color="auto"/>
                                        <w:left w:val="none" w:sz="0" w:space="0" w:color="auto"/>
                                        <w:bottom w:val="none" w:sz="0" w:space="0" w:color="auto"/>
                                        <w:right w:val="none" w:sz="0" w:space="0" w:color="auto"/>
                                      </w:divBdr>
                                      <w:divsChild>
                                        <w:div w:id="1353410538">
                                          <w:marLeft w:val="0"/>
                                          <w:marRight w:val="0"/>
                                          <w:marTop w:val="0"/>
                                          <w:marBottom w:val="0"/>
                                          <w:divBdr>
                                            <w:top w:val="none" w:sz="0" w:space="0" w:color="auto"/>
                                            <w:left w:val="none" w:sz="0" w:space="0" w:color="auto"/>
                                            <w:bottom w:val="none" w:sz="0" w:space="0" w:color="auto"/>
                                            <w:right w:val="none" w:sz="0" w:space="0" w:color="auto"/>
                                          </w:divBdr>
                                          <w:divsChild>
                                            <w:div w:id="2544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07897">
                          <w:marLeft w:val="0"/>
                          <w:marRight w:val="0"/>
                          <w:marTop w:val="0"/>
                          <w:marBottom w:val="0"/>
                          <w:divBdr>
                            <w:top w:val="none" w:sz="0" w:space="0" w:color="auto"/>
                            <w:left w:val="none" w:sz="0" w:space="0" w:color="auto"/>
                            <w:bottom w:val="none" w:sz="0" w:space="0" w:color="auto"/>
                            <w:right w:val="none" w:sz="0" w:space="0" w:color="auto"/>
                          </w:divBdr>
                          <w:divsChild>
                            <w:div w:id="420570143">
                              <w:marLeft w:val="0"/>
                              <w:marRight w:val="0"/>
                              <w:marTop w:val="0"/>
                              <w:marBottom w:val="0"/>
                              <w:divBdr>
                                <w:top w:val="none" w:sz="0" w:space="0" w:color="auto"/>
                                <w:left w:val="none" w:sz="0" w:space="0" w:color="auto"/>
                                <w:bottom w:val="none" w:sz="0" w:space="0" w:color="auto"/>
                                <w:right w:val="none" w:sz="0" w:space="0" w:color="auto"/>
                              </w:divBdr>
                              <w:divsChild>
                                <w:div w:id="1058435524">
                                  <w:marLeft w:val="0"/>
                                  <w:marRight w:val="0"/>
                                  <w:marTop w:val="0"/>
                                  <w:marBottom w:val="0"/>
                                  <w:divBdr>
                                    <w:top w:val="none" w:sz="0" w:space="0" w:color="auto"/>
                                    <w:left w:val="none" w:sz="0" w:space="0" w:color="auto"/>
                                    <w:bottom w:val="none" w:sz="0" w:space="0" w:color="auto"/>
                                    <w:right w:val="none" w:sz="0" w:space="0" w:color="auto"/>
                                  </w:divBdr>
                                  <w:divsChild>
                                    <w:div w:id="1028411940">
                                      <w:marLeft w:val="0"/>
                                      <w:marRight w:val="0"/>
                                      <w:marTop w:val="0"/>
                                      <w:marBottom w:val="0"/>
                                      <w:divBdr>
                                        <w:top w:val="none" w:sz="0" w:space="0" w:color="auto"/>
                                        <w:left w:val="none" w:sz="0" w:space="0" w:color="auto"/>
                                        <w:bottom w:val="none" w:sz="0" w:space="0" w:color="auto"/>
                                        <w:right w:val="none" w:sz="0" w:space="0" w:color="auto"/>
                                      </w:divBdr>
                                      <w:divsChild>
                                        <w:div w:id="4788507">
                                          <w:marLeft w:val="0"/>
                                          <w:marRight w:val="0"/>
                                          <w:marTop w:val="0"/>
                                          <w:marBottom w:val="0"/>
                                          <w:divBdr>
                                            <w:top w:val="none" w:sz="0" w:space="0" w:color="auto"/>
                                            <w:left w:val="none" w:sz="0" w:space="0" w:color="auto"/>
                                            <w:bottom w:val="none" w:sz="0" w:space="0" w:color="auto"/>
                                            <w:right w:val="none" w:sz="0" w:space="0" w:color="auto"/>
                                          </w:divBdr>
                                          <w:divsChild>
                                            <w:div w:id="4350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18304">
              <w:marLeft w:val="0"/>
              <w:marRight w:val="0"/>
              <w:marTop w:val="0"/>
              <w:marBottom w:val="0"/>
              <w:divBdr>
                <w:top w:val="none" w:sz="0" w:space="0" w:color="auto"/>
                <w:left w:val="none" w:sz="0" w:space="0" w:color="auto"/>
                <w:bottom w:val="none" w:sz="0" w:space="0" w:color="auto"/>
                <w:right w:val="none" w:sz="0" w:space="0" w:color="auto"/>
              </w:divBdr>
              <w:divsChild>
                <w:div w:id="161698360">
                  <w:marLeft w:val="120"/>
                  <w:marRight w:val="0"/>
                  <w:marTop w:val="0"/>
                  <w:marBottom w:val="0"/>
                  <w:divBdr>
                    <w:top w:val="none" w:sz="0" w:space="0" w:color="auto"/>
                    <w:left w:val="none" w:sz="0" w:space="0" w:color="auto"/>
                    <w:bottom w:val="none" w:sz="0" w:space="0" w:color="auto"/>
                    <w:right w:val="none" w:sz="0" w:space="0" w:color="auto"/>
                  </w:divBdr>
                  <w:divsChild>
                    <w:div w:id="1869365710">
                      <w:marLeft w:val="0"/>
                      <w:marRight w:val="0"/>
                      <w:marTop w:val="0"/>
                      <w:marBottom w:val="0"/>
                      <w:divBdr>
                        <w:top w:val="none" w:sz="0" w:space="0" w:color="auto"/>
                        <w:left w:val="none" w:sz="0" w:space="0" w:color="auto"/>
                        <w:bottom w:val="none" w:sz="0" w:space="0" w:color="auto"/>
                        <w:right w:val="none" w:sz="0" w:space="0" w:color="auto"/>
                      </w:divBdr>
                    </w:div>
                  </w:divsChild>
                </w:div>
                <w:div w:id="427191730">
                  <w:marLeft w:val="0"/>
                  <w:marRight w:val="0"/>
                  <w:marTop w:val="0"/>
                  <w:marBottom w:val="0"/>
                  <w:divBdr>
                    <w:top w:val="none" w:sz="0" w:space="0" w:color="auto"/>
                    <w:left w:val="none" w:sz="0" w:space="0" w:color="auto"/>
                    <w:bottom w:val="none" w:sz="0" w:space="0" w:color="auto"/>
                    <w:right w:val="none" w:sz="0" w:space="0" w:color="auto"/>
                  </w:divBdr>
                  <w:divsChild>
                    <w:div w:id="1238706728">
                      <w:marLeft w:val="0"/>
                      <w:marRight w:val="0"/>
                      <w:marTop w:val="0"/>
                      <w:marBottom w:val="0"/>
                      <w:divBdr>
                        <w:top w:val="none" w:sz="0" w:space="0" w:color="auto"/>
                        <w:left w:val="none" w:sz="0" w:space="0" w:color="auto"/>
                        <w:bottom w:val="none" w:sz="0" w:space="0" w:color="auto"/>
                        <w:right w:val="none" w:sz="0" w:space="0" w:color="auto"/>
                      </w:divBdr>
                      <w:divsChild>
                        <w:div w:id="1048647947">
                          <w:marLeft w:val="0"/>
                          <w:marRight w:val="0"/>
                          <w:marTop w:val="0"/>
                          <w:marBottom w:val="0"/>
                          <w:divBdr>
                            <w:top w:val="none" w:sz="0" w:space="0" w:color="auto"/>
                            <w:left w:val="none" w:sz="0" w:space="0" w:color="auto"/>
                            <w:bottom w:val="none" w:sz="0" w:space="0" w:color="auto"/>
                            <w:right w:val="none" w:sz="0" w:space="0" w:color="auto"/>
                          </w:divBdr>
                        </w:div>
                        <w:div w:id="1190879564">
                          <w:marLeft w:val="0"/>
                          <w:marRight w:val="0"/>
                          <w:marTop w:val="0"/>
                          <w:marBottom w:val="0"/>
                          <w:divBdr>
                            <w:top w:val="none" w:sz="0" w:space="0" w:color="auto"/>
                            <w:left w:val="none" w:sz="0" w:space="0" w:color="auto"/>
                            <w:bottom w:val="none" w:sz="0" w:space="0" w:color="auto"/>
                            <w:right w:val="none" w:sz="0" w:space="0" w:color="auto"/>
                          </w:divBdr>
                        </w:div>
                      </w:divsChild>
                    </w:div>
                    <w:div w:id="577642492">
                      <w:marLeft w:val="0"/>
                      <w:marRight w:val="0"/>
                      <w:marTop w:val="0"/>
                      <w:marBottom w:val="0"/>
                      <w:divBdr>
                        <w:top w:val="none" w:sz="0" w:space="0" w:color="auto"/>
                        <w:left w:val="none" w:sz="0" w:space="0" w:color="auto"/>
                        <w:bottom w:val="none" w:sz="0" w:space="0" w:color="auto"/>
                        <w:right w:val="none" w:sz="0" w:space="0" w:color="auto"/>
                      </w:divBdr>
                      <w:divsChild>
                        <w:div w:id="935095471">
                          <w:marLeft w:val="0"/>
                          <w:marRight w:val="0"/>
                          <w:marTop w:val="0"/>
                          <w:marBottom w:val="0"/>
                          <w:divBdr>
                            <w:top w:val="none" w:sz="0" w:space="0" w:color="auto"/>
                            <w:left w:val="none" w:sz="0" w:space="0" w:color="auto"/>
                            <w:bottom w:val="none" w:sz="0" w:space="0" w:color="auto"/>
                            <w:right w:val="none" w:sz="0" w:space="0" w:color="auto"/>
                          </w:divBdr>
                          <w:divsChild>
                            <w:div w:id="1048845058">
                              <w:marLeft w:val="0"/>
                              <w:marRight w:val="0"/>
                              <w:marTop w:val="0"/>
                              <w:marBottom w:val="0"/>
                              <w:divBdr>
                                <w:top w:val="none" w:sz="0" w:space="0" w:color="auto"/>
                                <w:left w:val="none" w:sz="0" w:space="0" w:color="auto"/>
                                <w:bottom w:val="none" w:sz="0" w:space="0" w:color="auto"/>
                                <w:right w:val="none" w:sz="0" w:space="0" w:color="auto"/>
                              </w:divBdr>
                              <w:divsChild>
                                <w:div w:id="1605532812">
                                  <w:marLeft w:val="0"/>
                                  <w:marRight w:val="0"/>
                                  <w:marTop w:val="0"/>
                                  <w:marBottom w:val="0"/>
                                  <w:divBdr>
                                    <w:top w:val="none" w:sz="0" w:space="0" w:color="auto"/>
                                    <w:left w:val="none" w:sz="0" w:space="0" w:color="auto"/>
                                    <w:bottom w:val="none" w:sz="0" w:space="0" w:color="auto"/>
                                    <w:right w:val="none" w:sz="0" w:space="0" w:color="auto"/>
                                  </w:divBdr>
                                  <w:divsChild>
                                    <w:div w:id="1756709965">
                                      <w:marLeft w:val="0"/>
                                      <w:marRight w:val="0"/>
                                      <w:marTop w:val="0"/>
                                      <w:marBottom w:val="0"/>
                                      <w:divBdr>
                                        <w:top w:val="none" w:sz="0" w:space="0" w:color="auto"/>
                                        <w:left w:val="none" w:sz="0" w:space="0" w:color="auto"/>
                                        <w:bottom w:val="none" w:sz="0" w:space="0" w:color="auto"/>
                                        <w:right w:val="none" w:sz="0" w:space="0" w:color="auto"/>
                                      </w:divBdr>
                                      <w:divsChild>
                                        <w:div w:id="1318416795">
                                          <w:marLeft w:val="0"/>
                                          <w:marRight w:val="0"/>
                                          <w:marTop w:val="0"/>
                                          <w:marBottom w:val="0"/>
                                          <w:divBdr>
                                            <w:top w:val="none" w:sz="0" w:space="0" w:color="auto"/>
                                            <w:left w:val="none" w:sz="0" w:space="0" w:color="auto"/>
                                            <w:bottom w:val="none" w:sz="0" w:space="0" w:color="auto"/>
                                            <w:right w:val="none" w:sz="0" w:space="0" w:color="auto"/>
                                          </w:divBdr>
                                          <w:divsChild>
                                            <w:div w:id="17420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190400">
              <w:marLeft w:val="0"/>
              <w:marRight w:val="0"/>
              <w:marTop w:val="0"/>
              <w:marBottom w:val="0"/>
              <w:divBdr>
                <w:top w:val="none" w:sz="0" w:space="0" w:color="auto"/>
                <w:left w:val="none" w:sz="0" w:space="0" w:color="auto"/>
                <w:bottom w:val="none" w:sz="0" w:space="0" w:color="auto"/>
                <w:right w:val="none" w:sz="0" w:space="0" w:color="auto"/>
              </w:divBdr>
              <w:divsChild>
                <w:div w:id="866676794">
                  <w:marLeft w:val="120"/>
                  <w:marRight w:val="0"/>
                  <w:marTop w:val="0"/>
                  <w:marBottom w:val="0"/>
                  <w:divBdr>
                    <w:top w:val="none" w:sz="0" w:space="0" w:color="auto"/>
                    <w:left w:val="none" w:sz="0" w:space="0" w:color="auto"/>
                    <w:bottom w:val="none" w:sz="0" w:space="0" w:color="auto"/>
                    <w:right w:val="none" w:sz="0" w:space="0" w:color="auto"/>
                  </w:divBdr>
                  <w:divsChild>
                    <w:div w:id="1390036778">
                      <w:marLeft w:val="0"/>
                      <w:marRight w:val="0"/>
                      <w:marTop w:val="0"/>
                      <w:marBottom w:val="0"/>
                      <w:divBdr>
                        <w:top w:val="none" w:sz="0" w:space="0" w:color="auto"/>
                        <w:left w:val="none" w:sz="0" w:space="0" w:color="auto"/>
                        <w:bottom w:val="none" w:sz="0" w:space="0" w:color="auto"/>
                        <w:right w:val="none" w:sz="0" w:space="0" w:color="auto"/>
                      </w:divBdr>
                    </w:div>
                  </w:divsChild>
                </w:div>
                <w:div w:id="393965212">
                  <w:marLeft w:val="0"/>
                  <w:marRight w:val="0"/>
                  <w:marTop w:val="0"/>
                  <w:marBottom w:val="0"/>
                  <w:divBdr>
                    <w:top w:val="none" w:sz="0" w:space="0" w:color="auto"/>
                    <w:left w:val="none" w:sz="0" w:space="0" w:color="auto"/>
                    <w:bottom w:val="none" w:sz="0" w:space="0" w:color="auto"/>
                    <w:right w:val="none" w:sz="0" w:space="0" w:color="auto"/>
                  </w:divBdr>
                  <w:divsChild>
                    <w:div w:id="587160083">
                      <w:marLeft w:val="0"/>
                      <w:marRight w:val="0"/>
                      <w:marTop w:val="0"/>
                      <w:marBottom w:val="0"/>
                      <w:divBdr>
                        <w:top w:val="none" w:sz="0" w:space="0" w:color="auto"/>
                        <w:left w:val="none" w:sz="0" w:space="0" w:color="auto"/>
                        <w:bottom w:val="none" w:sz="0" w:space="0" w:color="auto"/>
                        <w:right w:val="none" w:sz="0" w:space="0" w:color="auto"/>
                      </w:divBdr>
                      <w:divsChild>
                        <w:div w:id="2113547788">
                          <w:marLeft w:val="0"/>
                          <w:marRight w:val="0"/>
                          <w:marTop w:val="0"/>
                          <w:marBottom w:val="0"/>
                          <w:divBdr>
                            <w:top w:val="none" w:sz="0" w:space="0" w:color="auto"/>
                            <w:left w:val="none" w:sz="0" w:space="0" w:color="auto"/>
                            <w:bottom w:val="none" w:sz="0" w:space="0" w:color="auto"/>
                            <w:right w:val="none" w:sz="0" w:space="0" w:color="auto"/>
                          </w:divBdr>
                        </w:div>
                        <w:div w:id="147793406">
                          <w:marLeft w:val="0"/>
                          <w:marRight w:val="0"/>
                          <w:marTop w:val="0"/>
                          <w:marBottom w:val="0"/>
                          <w:divBdr>
                            <w:top w:val="none" w:sz="0" w:space="0" w:color="auto"/>
                            <w:left w:val="none" w:sz="0" w:space="0" w:color="auto"/>
                            <w:bottom w:val="none" w:sz="0" w:space="0" w:color="auto"/>
                            <w:right w:val="none" w:sz="0" w:space="0" w:color="auto"/>
                          </w:divBdr>
                        </w:div>
                      </w:divsChild>
                    </w:div>
                    <w:div w:id="718095392">
                      <w:marLeft w:val="0"/>
                      <w:marRight w:val="0"/>
                      <w:marTop w:val="0"/>
                      <w:marBottom w:val="0"/>
                      <w:divBdr>
                        <w:top w:val="none" w:sz="0" w:space="0" w:color="auto"/>
                        <w:left w:val="none" w:sz="0" w:space="0" w:color="auto"/>
                        <w:bottom w:val="none" w:sz="0" w:space="0" w:color="auto"/>
                        <w:right w:val="none" w:sz="0" w:space="0" w:color="auto"/>
                      </w:divBdr>
                      <w:divsChild>
                        <w:div w:id="119498597">
                          <w:marLeft w:val="0"/>
                          <w:marRight w:val="0"/>
                          <w:marTop w:val="0"/>
                          <w:marBottom w:val="0"/>
                          <w:divBdr>
                            <w:top w:val="none" w:sz="0" w:space="0" w:color="auto"/>
                            <w:left w:val="none" w:sz="0" w:space="0" w:color="auto"/>
                            <w:bottom w:val="none" w:sz="0" w:space="0" w:color="auto"/>
                            <w:right w:val="none" w:sz="0" w:space="0" w:color="auto"/>
                          </w:divBdr>
                          <w:divsChild>
                            <w:div w:id="99303762">
                              <w:marLeft w:val="0"/>
                              <w:marRight w:val="0"/>
                              <w:marTop w:val="0"/>
                              <w:marBottom w:val="0"/>
                              <w:divBdr>
                                <w:top w:val="none" w:sz="0" w:space="0" w:color="auto"/>
                                <w:left w:val="none" w:sz="0" w:space="0" w:color="auto"/>
                                <w:bottom w:val="none" w:sz="0" w:space="0" w:color="auto"/>
                                <w:right w:val="none" w:sz="0" w:space="0" w:color="auto"/>
                              </w:divBdr>
                              <w:divsChild>
                                <w:div w:id="481233804">
                                  <w:marLeft w:val="0"/>
                                  <w:marRight w:val="0"/>
                                  <w:marTop w:val="0"/>
                                  <w:marBottom w:val="0"/>
                                  <w:divBdr>
                                    <w:top w:val="none" w:sz="0" w:space="0" w:color="auto"/>
                                    <w:left w:val="none" w:sz="0" w:space="0" w:color="auto"/>
                                    <w:bottom w:val="none" w:sz="0" w:space="0" w:color="auto"/>
                                    <w:right w:val="none" w:sz="0" w:space="0" w:color="auto"/>
                                  </w:divBdr>
                                  <w:divsChild>
                                    <w:div w:id="611866431">
                                      <w:marLeft w:val="0"/>
                                      <w:marRight w:val="0"/>
                                      <w:marTop w:val="0"/>
                                      <w:marBottom w:val="0"/>
                                      <w:divBdr>
                                        <w:top w:val="none" w:sz="0" w:space="0" w:color="auto"/>
                                        <w:left w:val="none" w:sz="0" w:space="0" w:color="auto"/>
                                        <w:bottom w:val="none" w:sz="0" w:space="0" w:color="auto"/>
                                        <w:right w:val="none" w:sz="0" w:space="0" w:color="auto"/>
                                      </w:divBdr>
                                      <w:divsChild>
                                        <w:div w:id="833689546">
                                          <w:marLeft w:val="0"/>
                                          <w:marRight w:val="0"/>
                                          <w:marTop w:val="0"/>
                                          <w:marBottom w:val="0"/>
                                          <w:divBdr>
                                            <w:top w:val="none" w:sz="0" w:space="0" w:color="auto"/>
                                            <w:left w:val="none" w:sz="0" w:space="0" w:color="auto"/>
                                            <w:bottom w:val="none" w:sz="0" w:space="0" w:color="auto"/>
                                            <w:right w:val="none" w:sz="0" w:space="0" w:color="auto"/>
                                          </w:divBdr>
                                          <w:divsChild>
                                            <w:div w:id="8142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897762">
          <w:marLeft w:val="0"/>
          <w:marRight w:val="0"/>
          <w:marTop w:val="0"/>
          <w:marBottom w:val="0"/>
          <w:divBdr>
            <w:top w:val="none" w:sz="0" w:space="0" w:color="auto"/>
            <w:left w:val="none" w:sz="0" w:space="0" w:color="auto"/>
            <w:bottom w:val="none" w:sz="0" w:space="0" w:color="auto"/>
            <w:right w:val="none" w:sz="0" w:space="0" w:color="auto"/>
          </w:divBdr>
          <w:divsChild>
            <w:div w:id="1727679056">
              <w:marLeft w:val="0"/>
              <w:marRight w:val="0"/>
              <w:marTop w:val="0"/>
              <w:marBottom w:val="0"/>
              <w:divBdr>
                <w:top w:val="none" w:sz="0" w:space="0" w:color="auto"/>
                <w:left w:val="none" w:sz="0" w:space="0" w:color="auto"/>
                <w:bottom w:val="none" w:sz="0" w:space="0" w:color="auto"/>
                <w:right w:val="none" w:sz="0" w:space="0" w:color="auto"/>
              </w:divBdr>
              <w:divsChild>
                <w:div w:id="586109649">
                  <w:marLeft w:val="0"/>
                  <w:marRight w:val="0"/>
                  <w:marTop w:val="0"/>
                  <w:marBottom w:val="0"/>
                  <w:divBdr>
                    <w:top w:val="none" w:sz="0" w:space="0" w:color="auto"/>
                    <w:left w:val="none" w:sz="0" w:space="0" w:color="auto"/>
                    <w:bottom w:val="none" w:sz="0" w:space="0" w:color="auto"/>
                    <w:right w:val="none" w:sz="0" w:space="0" w:color="auto"/>
                  </w:divBdr>
                  <w:divsChild>
                    <w:div w:id="278267826">
                      <w:marLeft w:val="0"/>
                      <w:marRight w:val="0"/>
                      <w:marTop w:val="0"/>
                      <w:marBottom w:val="0"/>
                      <w:divBdr>
                        <w:top w:val="none" w:sz="0" w:space="0" w:color="auto"/>
                        <w:left w:val="none" w:sz="0" w:space="0" w:color="auto"/>
                        <w:bottom w:val="none" w:sz="0" w:space="0" w:color="auto"/>
                        <w:right w:val="none" w:sz="0" w:space="0" w:color="auto"/>
                      </w:divBdr>
                      <w:divsChild>
                        <w:div w:id="700588709">
                          <w:marLeft w:val="0"/>
                          <w:marRight w:val="0"/>
                          <w:marTop w:val="0"/>
                          <w:marBottom w:val="0"/>
                          <w:divBdr>
                            <w:top w:val="none" w:sz="0" w:space="0" w:color="auto"/>
                            <w:left w:val="none" w:sz="0" w:space="0" w:color="auto"/>
                            <w:bottom w:val="none" w:sz="0" w:space="0" w:color="auto"/>
                            <w:right w:val="none" w:sz="0" w:space="0" w:color="auto"/>
                          </w:divBdr>
                        </w:div>
                        <w:div w:id="609320465">
                          <w:marLeft w:val="0"/>
                          <w:marRight w:val="0"/>
                          <w:marTop w:val="0"/>
                          <w:marBottom w:val="0"/>
                          <w:divBdr>
                            <w:top w:val="none" w:sz="0" w:space="0" w:color="auto"/>
                            <w:left w:val="none" w:sz="0" w:space="0" w:color="auto"/>
                            <w:bottom w:val="none" w:sz="0" w:space="0" w:color="auto"/>
                            <w:right w:val="none" w:sz="0" w:space="0" w:color="auto"/>
                          </w:divBdr>
                        </w:div>
                      </w:divsChild>
                    </w:div>
                    <w:div w:id="838884513">
                      <w:marLeft w:val="0"/>
                      <w:marRight w:val="0"/>
                      <w:marTop w:val="0"/>
                      <w:marBottom w:val="0"/>
                      <w:divBdr>
                        <w:top w:val="none" w:sz="0" w:space="0" w:color="auto"/>
                        <w:left w:val="none" w:sz="0" w:space="0" w:color="auto"/>
                        <w:bottom w:val="none" w:sz="0" w:space="0" w:color="auto"/>
                        <w:right w:val="none" w:sz="0" w:space="0" w:color="auto"/>
                      </w:divBdr>
                      <w:divsChild>
                        <w:div w:id="1689210889">
                          <w:marLeft w:val="0"/>
                          <w:marRight w:val="0"/>
                          <w:marTop w:val="0"/>
                          <w:marBottom w:val="0"/>
                          <w:divBdr>
                            <w:top w:val="none" w:sz="0" w:space="0" w:color="auto"/>
                            <w:left w:val="none" w:sz="0" w:space="0" w:color="auto"/>
                            <w:bottom w:val="none" w:sz="0" w:space="0" w:color="auto"/>
                            <w:right w:val="none" w:sz="0" w:space="0" w:color="auto"/>
                          </w:divBdr>
                          <w:divsChild>
                            <w:div w:id="267858113">
                              <w:marLeft w:val="0"/>
                              <w:marRight w:val="0"/>
                              <w:marTop w:val="0"/>
                              <w:marBottom w:val="0"/>
                              <w:divBdr>
                                <w:top w:val="none" w:sz="0" w:space="0" w:color="auto"/>
                                <w:left w:val="none" w:sz="0" w:space="0" w:color="auto"/>
                                <w:bottom w:val="none" w:sz="0" w:space="0" w:color="auto"/>
                                <w:right w:val="none" w:sz="0" w:space="0" w:color="auto"/>
                              </w:divBdr>
                              <w:divsChild>
                                <w:div w:id="1291473085">
                                  <w:marLeft w:val="0"/>
                                  <w:marRight w:val="0"/>
                                  <w:marTop w:val="0"/>
                                  <w:marBottom w:val="0"/>
                                  <w:divBdr>
                                    <w:top w:val="none" w:sz="0" w:space="0" w:color="auto"/>
                                    <w:left w:val="none" w:sz="0" w:space="0" w:color="auto"/>
                                    <w:bottom w:val="none" w:sz="0" w:space="0" w:color="auto"/>
                                    <w:right w:val="none" w:sz="0" w:space="0" w:color="auto"/>
                                  </w:divBdr>
                                  <w:divsChild>
                                    <w:div w:id="1133476274">
                                      <w:marLeft w:val="0"/>
                                      <w:marRight w:val="0"/>
                                      <w:marTop w:val="0"/>
                                      <w:marBottom w:val="0"/>
                                      <w:divBdr>
                                        <w:top w:val="none" w:sz="0" w:space="0" w:color="auto"/>
                                        <w:left w:val="none" w:sz="0" w:space="0" w:color="auto"/>
                                        <w:bottom w:val="none" w:sz="0" w:space="0" w:color="auto"/>
                                        <w:right w:val="none" w:sz="0" w:space="0" w:color="auto"/>
                                      </w:divBdr>
                                      <w:divsChild>
                                        <w:div w:id="2039500327">
                                          <w:marLeft w:val="0"/>
                                          <w:marRight w:val="0"/>
                                          <w:marTop w:val="0"/>
                                          <w:marBottom w:val="0"/>
                                          <w:divBdr>
                                            <w:top w:val="none" w:sz="0" w:space="0" w:color="auto"/>
                                            <w:left w:val="none" w:sz="0" w:space="0" w:color="auto"/>
                                            <w:bottom w:val="none" w:sz="0" w:space="0" w:color="auto"/>
                                            <w:right w:val="none" w:sz="0" w:space="0" w:color="auto"/>
                                          </w:divBdr>
                                          <w:divsChild>
                                            <w:div w:id="8997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98690">
                          <w:marLeft w:val="0"/>
                          <w:marRight w:val="0"/>
                          <w:marTop w:val="0"/>
                          <w:marBottom w:val="0"/>
                          <w:divBdr>
                            <w:top w:val="none" w:sz="0" w:space="0" w:color="auto"/>
                            <w:left w:val="none" w:sz="0" w:space="0" w:color="auto"/>
                            <w:bottom w:val="none" w:sz="0" w:space="0" w:color="auto"/>
                            <w:right w:val="none" w:sz="0" w:space="0" w:color="auto"/>
                          </w:divBdr>
                          <w:divsChild>
                            <w:div w:id="953830238">
                              <w:marLeft w:val="0"/>
                              <w:marRight w:val="0"/>
                              <w:marTop w:val="0"/>
                              <w:marBottom w:val="0"/>
                              <w:divBdr>
                                <w:top w:val="none" w:sz="0" w:space="0" w:color="auto"/>
                                <w:left w:val="none" w:sz="0" w:space="0" w:color="auto"/>
                                <w:bottom w:val="none" w:sz="0" w:space="0" w:color="auto"/>
                                <w:right w:val="none" w:sz="0" w:space="0" w:color="auto"/>
                              </w:divBdr>
                              <w:divsChild>
                                <w:div w:id="1979844787">
                                  <w:marLeft w:val="0"/>
                                  <w:marRight w:val="0"/>
                                  <w:marTop w:val="0"/>
                                  <w:marBottom w:val="0"/>
                                  <w:divBdr>
                                    <w:top w:val="none" w:sz="0" w:space="0" w:color="auto"/>
                                    <w:left w:val="none" w:sz="0" w:space="0" w:color="auto"/>
                                    <w:bottom w:val="none" w:sz="0" w:space="0" w:color="auto"/>
                                    <w:right w:val="none" w:sz="0" w:space="0" w:color="auto"/>
                                  </w:divBdr>
                                  <w:divsChild>
                                    <w:div w:id="2122215538">
                                      <w:marLeft w:val="0"/>
                                      <w:marRight w:val="0"/>
                                      <w:marTop w:val="0"/>
                                      <w:marBottom w:val="0"/>
                                      <w:divBdr>
                                        <w:top w:val="none" w:sz="0" w:space="0" w:color="auto"/>
                                        <w:left w:val="none" w:sz="0" w:space="0" w:color="auto"/>
                                        <w:bottom w:val="none" w:sz="0" w:space="0" w:color="auto"/>
                                        <w:right w:val="none" w:sz="0" w:space="0" w:color="auto"/>
                                      </w:divBdr>
                                      <w:divsChild>
                                        <w:div w:id="579484529">
                                          <w:marLeft w:val="0"/>
                                          <w:marRight w:val="0"/>
                                          <w:marTop w:val="0"/>
                                          <w:marBottom w:val="0"/>
                                          <w:divBdr>
                                            <w:top w:val="none" w:sz="0" w:space="0" w:color="auto"/>
                                            <w:left w:val="none" w:sz="0" w:space="0" w:color="auto"/>
                                            <w:bottom w:val="none" w:sz="0" w:space="0" w:color="auto"/>
                                            <w:right w:val="none" w:sz="0" w:space="0" w:color="auto"/>
                                          </w:divBdr>
                                          <w:divsChild>
                                            <w:div w:id="1681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213">
                  <w:marLeft w:val="0"/>
                  <w:marRight w:val="120"/>
                  <w:marTop w:val="0"/>
                  <w:marBottom w:val="0"/>
                  <w:divBdr>
                    <w:top w:val="none" w:sz="0" w:space="0" w:color="auto"/>
                    <w:left w:val="none" w:sz="0" w:space="0" w:color="auto"/>
                    <w:bottom w:val="none" w:sz="0" w:space="0" w:color="auto"/>
                    <w:right w:val="none" w:sz="0" w:space="0" w:color="auto"/>
                  </w:divBdr>
                  <w:divsChild>
                    <w:div w:id="7479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4860">
          <w:marLeft w:val="0"/>
          <w:marRight w:val="0"/>
          <w:marTop w:val="0"/>
          <w:marBottom w:val="0"/>
          <w:divBdr>
            <w:top w:val="none" w:sz="0" w:space="0" w:color="auto"/>
            <w:left w:val="none" w:sz="0" w:space="0" w:color="auto"/>
            <w:bottom w:val="none" w:sz="0" w:space="0" w:color="auto"/>
            <w:right w:val="none" w:sz="0" w:space="0" w:color="auto"/>
          </w:divBdr>
          <w:divsChild>
            <w:div w:id="324670904">
              <w:marLeft w:val="0"/>
              <w:marRight w:val="0"/>
              <w:marTop w:val="0"/>
              <w:marBottom w:val="0"/>
              <w:divBdr>
                <w:top w:val="none" w:sz="0" w:space="0" w:color="auto"/>
                <w:left w:val="none" w:sz="0" w:space="0" w:color="auto"/>
                <w:bottom w:val="none" w:sz="0" w:space="0" w:color="auto"/>
                <w:right w:val="none" w:sz="0" w:space="0" w:color="auto"/>
              </w:divBdr>
              <w:divsChild>
                <w:div w:id="1797799631">
                  <w:marLeft w:val="120"/>
                  <w:marRight w:val="0"/>
                  <w:marTop w:val="0"/>
                  <w:marBottom w:val="0"/>
                  <w:divBdr>
                    <w:top w:val="none" w:sz="0" w:space="0" w:color="auto"/>
                    <w:left w:val="none" w:sz="0" w:space="0" w:color="auto"/>
                    <w:bottom w:val="none" w:sz="0" w:space="0" w:color="auto"/>
                    <w:right w:val="none" w:sz="0" w:space="0" w:color="auto"/>
                  </w:divBdr>
                  <w:divsChild>
                    <w:div w:id="198206110">
                      <w:marLeft w:val="0"/>
                      <w:marRight w:val="0"/>
                      <w:marTop w:val="0"/>
                      <w:marBottom w:val="0"/>
                      <w:divBdr>
                        <w:top w:val="none" w:sz="0" w:space="0" w:color="auto"/>
                        <w:left w:val="none" w:sz="0" w:space="0" w:color="auto"/>
                        <w:bottom w:val="none" w:sz="0" w:space="0" w:color="auto"/>
                        <w:right w:val="none" w:sz="0" w:space="0" w:color="auto"/>
                      </w:divBdr>
                    </w:div>
                  </w:divsChild>
                </w:div>
                <w:div w:id="452333343">
                  <w:marLeft w:val="0"/>
                  <w:marRight w:val="0"/>
                  <w:marTop w:val="0"/>
                  <w:marBottom w:val="0"/>
                  <w:divBdr>
                    <w:top w:val="none" w:sz="0" w:space="0" w:color="auto"/>
                    <w:left w:val="none" w:sz="0" w:space="0" w:color="auto"/>
                    <w:bottom w:val="none" w:sz="0" w:space="0" w:color="auto"/>
                    <w:right w:val="none" w:sz="0" w:space="0" w:color="auto"/>
                  </w:divBdr>
                  <w:divsChild>
                    <w:div w:id="993030769">
                      <w:marLeft w:val="0"/>
                      <w:marRight w:val="0"/>
                      <w:marTop w:val="0"/>
                      <w:marBottom w:val="0"/>
                      <w:divBdr>
                        <w:top w:val="none" w:sz="0" w:space="0" w:color="auto"/>
                        <w:left w:val="none" w:sz="0" w:space="0" w:color="auto"/>
                        <w:bottom w:val="none" w:sz="0" w:space="0" w:color="auto"/>
                        <w:right w:val="none" w:sz="0" w:space="0" w:color="auto"/>
                      </w:divBdr>
                      <w:divsChild>
                        <w:div w:id="937562356">
                          <w:marLeft w:val="0"/>
                          <w:marRight w:val="0"/>
                          <w:marTop w:val="0"/>
                          <w:marBottom w:val="0"/>
                          <w:divBdr>
                            <w:top w:val="none" w:sz="0" w:space="0" w:color="auto"/>
                            <w:left w:val="none" w:sz="0" w:space="0" w:color="auto"/>
                            <w:bottom w:val="none" w:sz="0" w:space="0" w:color="auto"/>
                            <w:right w:val="none" w:sz="0" w:space="0" w:color="auto"/>
                          </w:divBdr>
                        </w:div>
                        <w:div w:id="1543783170">
                          <w:marLeft w:val="0"/>
                          <w:marRight w:val="0"/>
                          <w:marTop w:val="0"/>
                          <w:marBottom w:val="0"/>
                          <w:divBdr>
                            <w:top w:val="none" w:sz="0" w:space="0" w:color="auto"/>
                            <w:left w:val="none" w:sz="0" w:space="0" w:color="auto"/>
                            <w:bottom w:val="none" w:sz="0" w:space="0" w:color="auto"/>
                            <w:right w:val="none" w:sz="0" w:space="0" w:color="auto"/>
                          </w:divBdr>
                        </w:div>
                      </w:divsChild>
                    </w:div>
                    <w:div w:id="955019032">
                      <w:marLeft w:val="0"/>
                      <w:marRight w:val="0"/>
                      <w:marTop w:val="0"/>
                      <w:marBottom w:val="0"/>
                      <w:divBdr>
                        <w:top w:val="none" w:sz="0" w:space="0" w:color="auto"/>
                        <w:left w:val="none" w:sz="0" w:space="0" w:color="auto"/>
                        <w:bottom w:val="none" w:sz="0" w:space="0" w:color="auto"/>
                        <w:right w:val="none" w:sz="0" w:space="0" w:color="auto"/>
                      </w:divBdr>
                      <w:divsChild>
                        <w:div w:id="1614823428">
                          <w:marLeft w:val="0"/>
                          <w:marRight w:val="0"/>
                          <w:marTop w:val="0"/>
                          <w:marBottom w:val="0"/>
                          <w:divBdr>
                            <w:top w:val="none" w:sz="0" w:space="0" w:color="auto"/>
                            <w:left w:val="none" w:sz="0" w:space="0" w:color="auto"/>
                            <w:bottom w:val="none" w:sz="0" w:space="0" w:color="auto"/>
                            <w:right w:val="none" w:sz="0" w:space="0" w:color="auto"/>
                          </w:divBdr>
                          <w:divsChild>
                            <w:div w:id="706367683">
                              <w:marLeft w:val="0"/>
                              <w:marRight w:val="0"/>
                              <w:marTop w:val="0"/>
                              <w:marBottom w:val="0"/>
                              <w:divBdr>
                                <w:top w:val="none" w:sz="0" w:space="0" w:color="auto"/>
                                <w:left w:val="none" w:sz="0" w:space="0" w:color="auto"/>
                                <w:bottom w:val="none" w:sz="0" w:space="0" w:color="auto"/>
                                <w:right w:val="none" w:sz="0" w:space="0" w:color="auto"/>
                              </w:divBdr>
                              <w:divsChild>
                                <w:div w:id="1134173377">
                                  <w:marLeft w:val="0"/>
                                  <w:marRight w:val="0"/>
                                  <w:marTop w:val="0"/>
                                  <w:marBottom w:val="0"/>
                                  <w:divBdr>
                                    <w:top w:val="none" w:sz="0" w:space="0" w:color="auto"/>
                                    <w:left w:val="none" w:sz="0" w:space="0" w:color="auto"/>
                                    <w:bottom w:val="none" w:sz="0" w:space="0" w:color="auto"/>
                                    <w:right w:val="none" w:sz="0" w:space="0" w:color="auto"/>
                                  </w:divBdr>
                                  <w:divsChild>
                                    <w:div w:id="819005632">
                                      <w:marLeft w:val="0"/>
                                      <w:marRight w:val="0"/>
                                      <w:marTop w:val="0"/>
                                      <w:marBottom w:val="0"/>
                                      <w:divBdr>
                                        <w:top w:val="none" w:sz="0" w:space="0" w:color="auto"/>
                                        <w:left w:val="none" w:sz="0" w:space="0" w:color="auto"/>
                                        <w:bottom w:val="none" w:sz="0" w:space="0" w:color="auto"/>
                                        <w:right w:val="none" w:sz="0" w:space="0" w:color="auto"/>
                                      </w:divBdr>
                                      <w:divsChild>
                                        <w:div w:id="1133249951">
                                          <w:marLeft w:val="0"/>
                                          <w:marRight w:val="0"/>
                                          <w:marTop w:val="0"/>
                                          <w:marBottom w:val="0"/>
                                          <w:divBdr>
                                            <w:top w:val="none" w:sz="0" w:space="0" w:color="auto"/>
                                            <w:left w:val="none" w:sz="0" w:space="0" w:color="auto"/>
                                            <w:bottom w:val="none" w:sz="0" w:space="0" w:color="auto"/>
                                            <w:right w:val="none" w:sz="0" w:space="0" w:color="auto"/>
                                          </w:divBdr>
                                          <w:divsChild>
                                            <w:div w:id="3345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93781">
                          <w:marLeft w:val="0"/>
                          <w:marRight w:val="0"/>
                          <w:marTop w:val="0"/>
                          <w:marBottom w:val="0"/>
                          <w:divBdr>
                            <w:top w:val="none" w:sz="0" w:space="0" w:color="auto"/>
                            <w:left w:val="none" w:sz="0" w:space="0" w:color="auto"/>
                            <w:bottom w:val="none" w:sz="0" w:space="0" w:color="auto"/>
                            <w:right w:val="none" w:sz="0" w:space="0" w:color="auto"/>
                          </w:divBdr>
                          <w:divsChild>
                            <w:div w:id="1275672140">
                              <w:marLeft w:val="0"/>
                              <w:marRight w:val="0"/>
                              <w:marTop w:val="0"/>
                              <w:marBottom w:val="0"/>
                              <w:divBdr>
                                <w:top w:val="none" w:sz="0" w:space="0" w:color="auto"/>
                                <w:left w:val="none" w:sz="0" w:space="0" w:color="auto"/>
                                <w:bottom w:val="none" w:sz="0" w:space="0" w:color="auto"/>
                                <w:right w:val="none" w:sz="0" w:space="0" w:color="auto"/>
                              </w:divBdr>
                              <w:divsChild>
                                <w:div w:id="34355746">
                                  <w:marLeft w:val="0"/>
                                  <w:marRight w:val="0"/>
                                  <w:marTop w:val="0"/>
                                  <w:marBottom w:val="0"/>
                                  <w:divBdr>
                                    <w:top w:val="none" w:sz="0" w:space="0" w:color="auto"/>
                                    <w:left w:val="none" w:sz="0" w:space="0" w:color="auto"/>
                                    <w:bottom w:val="none" w:sz="0" w:space="0" w:color="auto"/>
                                    <w:right w:val="none" w:sz="0" w:space="0" w:color="auto"/>
                                  </w:divBdr>
                                  <w:divsChild>
                                    <w:div w:id="493490537">
                                      <w:marLeft w:val="0"/>
                                      <w:marRight w:val="0"/>
                                      <w:marTop w:val="0"/>
                                      <w:marBottom w:val="0"/>
                                      <w:divBdr>
                                        <w:top w:val="none" w:sz="0" w:space="0" w:color="auto"/>
                                        <w:left w:val="none" w:sz="0" w:space="0" w:color="auto"/>
                                        <w:bottom w:val="none" w:sz="0" w:space="0" w:color="auto"/>
                                        <w:right w:val="none" w:sz="0" w:space="0" w:color="auto"/>
                                      </w:divBdr>
                                      <w:divsChild>
                                        <w:div w:id="1781215256">
                                          <w:marLeft w:val="0"/>
                                          <w:marRight w:val="0"/>
                                          <w:marTop w:val="0"/>
                                          <w:marBottom w:val="0"/>
                                          <w:divBdr>
                                            <w:top w:val="none" w:sz="0" w:space="0" w:color="auto"/>
                                            <w:left w:val="none" w:sz="0" w:space="0" w:color="auto"/>
                                            <w:bottom w:val="none" w:sz="0" w:space="0" w:color="auto"/>
                                            <w:right w:val="none" w:sz="0" w:space="0" w:color="auto"/>
                                          </w:divBdr>
                                          <w:divsChild>
                                            <w:div w:id="16705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5809">
          <w:marLeft w:val="0"/>
          <w:marRight w:val="0"/>
          <w:marTop w:val="0"/>
          <w:marBottom w:val="0"/>
          <w:divBdr>
            <w:top w:val="none" w:sz="0" w:space="0" w:color="auto"/>
            <w:left w:val="none" w:sz="0" w:space="0" w:color="auto"/>
            <w:bottom w:val="none" w:sz="0" w:space="0" w:color="auto"/>
            <w:right w:val="none" w:sz="0" w:space="0" w:color="auto"/>
          </w:divBdr>
          <w:divsChild>
            <w:div w:id="833834290">
              <w:marLeft w:val="0"/>
              <w:marRight w:val="0"/>
              <w:marTop w:val="0"/>
              <w:marBottom w:val="0"/>
              <w:divBdr>
                <w:top w:val="none" w:sz="0" w:space="0" w:color="auto"/>
                <w:left w:val="none" w:sz="0" w:space="0" w:color="auto"/>
                <w:bottom w:val="none" w:sz="0" w:space="0" w:color="auto"/>
                <w:right w:val="none" w:sz="0" w:space="0" w:color="auto"/>
              </w:divBdr>
              <w:divsChild>
                <w:div w:id="1892841305">
                  <w:marLeft w:val="0"/>
                  <w:marRight w:val="0"/>
                  <w:marTop w:val="0"/>
                  <w:marBottom w:val="0"/>
                  <w:divBdr>
                    <w:top w:val="none" w:sz="0" w:space="0" w:color="auto"/>
                    <w:left w:val="none" w:sz="0" w:space="0" w:color="auto"/>
                    <w:bottom w:val="none" w:sz="0" w:space="0" w:color="auto"/>
                    <w:right w:val="none" w:sz="0" w:space="0" w:color="auto"/>
                  </w:divBdr>
                  <w:divsChild>
                    <w:div w:id="685403558">
                      <w:marLeft w:val="0"/>
                      <w:marRight w:val="0"/>
                      <w:marTop w:val="0"/>
                      <w:marBottom w:val="0"/>
                      <w:divBdr>
                        <w:top w:val="none" w:sz="0" w:space="0" w:color="auto"/>
                        <w:left w:val="none" w:sz="0" w:space="0" w:color="auto"/>
                        <w:bottom w:val="none" w:sz="0" w:space="0" w:color="auto"/>
                        <w:right w:val="none" w:sz="0" w:space="0" w:color="auto"/>
                      </w:divBdr>
                      <w:divsChild>
                        <w:div w:id="677267537">
                          <w:marLeft w:val="0"/>
                          <w:marRight w:val="0"/>
                          <w:marTop w:val="0"/>
                          <w:marBottom w:val="0"/>
                          <w:divBdr>
                            <w:top w:val="none" w:sz="0" w:space="0" w:color="auto"/>
                            <w:left w:val="none" w:sz="0" w:space="0" w:color="auto"/>
                            <w:bottom w:val="none" w:sz="0" w:space="0" w:color="auto"/>
                            <w:right w:val="none" w:sz="0" w:space="0" w:color="auto"/>
                          </w:divBdr>
                        </w:div>
                        <w:div w:id="2033648748">
                          <w:marLeft w:val="0"/>
                          <w:marRight w:val="0"/>
                          <w:marTop w:val="0"/>
                          <w:marBottom w:val="0"/>
                          <w:divBdr>
                            <w:top w:val="none" w:sz="0" w:space="0" w:color="auto"/>
                            <w:left w:val="none" w:sz="0" w:space="0" w:color="auto"/>
                            <w:bottom w:val="none" w:sz="0" w:space="0" w:color="auto"/>
                            <w:right w:val="none" w:sz="0" w:space="0" w:color="auto"/>
                          </w:divBdr>
                        </w:div>
                      </w:divsChild>
                    </w:div>
                    <w:div w:id="1303076126">
                      <w:marLeft w:val="0"/>
                      <w:marRight w:val="0"/>
                      <w:marTop w:val="0"/>
                      <w:marBottom w:val="0"/>
                      <w:divBdr>
                        <w:top w:val="none" w:sz="0" w:space="0" w:color="auto"/>
                        <w:left w:val="none" w:sz="0" w:space="0" w:color="auto"/>
                        <w:bottom w:val="none" w:sz="0" w:space="0" w:color="auto"/>
                        <w:right w:val="none" w:sz="0" w:space="0" w:color="auto"/>
                      </w:divBdr>
                      <w:divsChild>
                        <w:div w:id="2090031162">
                          <w:marLeft w:val="0"/>
                          <w:marRight w:val="0"/>
                          <w:marTop w:val="0"/>
                          <w:marBottom w:val="0"/>
                          <w:divBdr>
                            <w:top w:val="none" w:sz="0" w:space="0" w:color="auto"/>
                            <w:left w:val="none" w:sz="0" w:space="0" w:color="auto"/>
                            <w:bottom w:val="none" w:sz="0" w:space="0" w:color="auto"/>
                            <w:right w:val="none" w:sz="0" w:space="0" w:color="auto"/>
                          </w:divBdr>
                          <w:divsChild>
                            <w:div w:id="1984574944">
                              <w:marLeft w:val="0"/>
                              <w:marRight w:val="0"/>
                              <w:marTop w:val="0"/>
                              <w:marBottom w:val="0"/>
                              <w:divBdr>
                                <w:top w:val="none" w:sz="0" w:space="0" w:color="auto"/>
                                <w:left w:val="none" w:sz="0" w:space="0" w:color="auto"/>
                                <w:bottom w:val="none" w:sz="0" w:space="0" w:color="auto"/>
                                <w:right w:val="none" w:sz="0" w:space="0" w:color="auto"/>
                              </w:divBdr>
                              <w:divsChild>
                                <w:div w:id="1569732812">
                                  <w:marLeft w:val="0"/>
                                  <w:marRight w:val="0"/>
                                  <w:marTop w:val="0"/>
                                  <w:marBottom w:val="0"/>
                                  <w:divBdr>
                                    <w:top w:val="none" w:sz="0" w:space="0" w:color="auto"/>
                                    <w:left w:val="none" w:sz="0" w:space="0" w:color="auto"/>
                                    <w:bottom w:val="none" w:sz="0" w:space="0" w:color="auto"/>
                                    <w:right w:val="none" w:sz="0" w:space="0" w:color="auto"/>
                                  </w:divBdr>
                                  <w:divsChild>
                                    <w:div w:id="1052466398">
                                      <w:marLeft w:val="0"/>
                                      <w:marRight w:val="0"/>
                                      <w:marTop w:val="0"/>
                                      <w:marBottom w:val="0"/>
                                      <w:divBdr>
                                        <w:top w:val="none" w:sz="0" w:space="0" w:color="auto"/>
                                        <w:left w:val="none" w:sz="0" w:space="0" w:color="auto"/>
                                        <w:bottom w:val="none" w:sz="0" w:space="0" w:color="auto"/>
                                        <w:right w:val="none" w:sz="0" w:space="0" w:color="auto"/>
                                      </w:divBdr>
                                      <w:divsChild>
                                        <w:div w:id="568200064">
                                          <w:marLeft w:val="0"/>
                                          <w:marRight w:val="0"/>
                                          <w:marTop w:val="0"/>
                                          <w:marBottom w:val="0"/>
                                          <w:divBdr>
                                            <w:top w:val="none" w:sz="0" w:space="0" w:color="auto"/>
                                            <w:left w:val="none" w:sz="0" w:space="0" w:color="auto"/>
                                            <w:bottom w:val="none" w:sz="0" w:space="0" w:color="auto"/>
                                            <w:right w:val="none" w:sz="0" w:space="0" w:color="auto"/>
                                          </w:divBdr>
                                          <w:divsChild>
                                            <w:div w:id="49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6698">
                          <w:marLeft w:val="0"/>
                          <w:marRight w:val="0"/>
                          <w:marTop w:val="0"/>
                          <w:marBottom w:val="0"/>
                          <w:divBdr>
                            <w:top w:val="none" w:sz="0" w:space="0" w:color="auto"/>
                            <w:left w:val="none" w:sz="0" w:space="0" w:color="auto"/>
                            <w:bottom w:val="none" w:sz="0" w:space="0" w:color="auto"/>
                            <w:right w:val="none" w:sz="0" w:space="0" w:color="auto"/>
                          </w:divBdr>
                          <w:divsChild>
                            <w:div w:id="1598322072">
                              <w:marLeft w:val="0"/>
                              <w:marRight w:val="0"/>
                              <w:marTop w:val="0"/>
                              <w:marBottom w:val="0"/>
                              <w:divBdr>
                                <w:top w:val="none" w:sz="0" w:space="0" w:color="auto"/>
                                <w:left w:val="none" w:sz="0" w:space="0" w:color="auto"/>
                                <w:bottom w:val="none" w:sz="0" w:space="0" w:color="auto"/>
                                <w:right w:val="none" w:sz="0" w:space="0" w:color="auto"/>
                              </w:divBdr>
                              <w:divsChild>
                                <w:div w:id="70587769">
                                  <w:marLeft w:val="0"/>
                                  <w:marRight w:val="0"/>
                                  <w:marTop w:val="0"/>
                                  <w:marBottom w:val="0"/>
                                  <w:divBdr>
                                    <w:top w:val="none" w:sz="0" w:space="0" w:color="auto"/>
                                    <w:left w:val="none" w:sz="0" w:space="0" w:color="auto"/>
                                    <w:bottom w:val="none" w:sz="0" w:space="0" w:color="auto"/>
                                    <w:right w:val="none" w:sz="0" w:space="0" w:color="auto"/>
                                  </w:divBdr>
                                  <w:divsChild>
                                    <w:div w:id="1903978814">
                                      <w:marLeft w:val="0"/>
                                      <w:marRight w:val="0"/>
                                      <w:marTop w:val="0"/>
                                      <w:marBottom w:val="0"/>
                                      <w:divBdr>
                                        <w:top w:val="none" w:sz="0" w:space="0" w:color="auto"/>
                                        <w:left w:val="none" w:sz="0" w:space="0" w:color="auto"/>
                                        <w:bottom w:val="none" w:sz="0" w:space="0" w:color="auto"/>
                                        <w:right w:val="none" w:sz="0" w:space="0" w:color="auto"/>
                                      </w:divBdr>
                                      <w:divsChild>
                                        <w:div w:id="881670791">
                                          <w:marLeft w:val="0"/>
                                          <w:marRight w:val="0"/>
                                          <w:marTop w:val="0"/>
                                          <w:marBottom w:val="0"/>
                                          <w:divBdr>
                                            <w:top w:val="none" w:sz="0" w:space="0" w:color="auto"/>
                                            <w:left w:val="none" w:sz="0" w:space="0" w:color="auto"/>
                                            <w:bottom w:val="none" w:sz="0" w:space="0" w:color="auto"/>
                                            <w:right w:val="none" w:sz="0" w:space="0" w:color="auto"/>
                                          </w:divBdr>
                                          <w:divsChild>
                                            <w:div w:id="15119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57021">
                          <w:marLeft w:val="0"/>
                          <w:marRight w:val="0"/>
                          <w:marTop w:val="0"/>
                          <w:marBottom w:val="0"/>
                          <w:divBdr>
                            <w:top w:val="none" w:sz="0" w:space="0" w:color="auto"/>
                            <w:left w:val="none" w:sz="0" w:space="0" w:color="auto"/>
                            <w:bottom w:val="none" w:sz="0" w:space="0" w:color="auto"/>
                            <w:right w:val="none" w:sz="0" w:space="0" w:color="auto"/>
                          </w:divBdr>
                          <w:divsChild>
                            <w:div w:id="1896160028">
                              <w:marLeft w:val="0"/>
                              <w:marRight w:val="0"/>
                              <w:marTop w:val="0"/>
                              <w:marBottom w:val="0"/>
                              <w:divBdr>
                                <w:top w:val="none" w:sz="0" w:space="0" w:color="auto"/>
                                <w:left w:val="none" w:sz="0" w:space="0" w:color="auto"/>
                                <w:bottom w:val="none" w:sz="0" w:space="0" w:color="auto"/>
                                <w:right w:val="none" w:sz="0" w:space="0" w:color="auto"/>
                              </w:divBdr>
                              <w:divsChild>
                                <w:div w:id="1923098633">
                                  <w:marLeft w:val="0"/>
                                  <w:marRight w:val="0"/>
                                  <w:marTop w:val="0"/>
                                  <w:marBottom w:val="0"/>
                                  <w:divBdr>
                                    <w:top w:val="none" w:sz="0" w:space="0" w:color="auto"/>
                                    <w:left w:val="none" w:sz="0" w:space="0" w:color="auto"/>
                                    <w:bottom w:val="none" w:sz="0" w:space="0" w:color="auto"/>
                                    <w:right w:val="none" w:sz="0" w:space="0" w:color="auto"/>
                                  </w:divBdr>
                                  <w:divsChild>
                                    <w:div w:id="1889560536">
                                      <w:marLeft w:val="0"/>
                                      <w:marRight w:val="0"/>
                                      <w:marTop w:val="0"/>
                                      <w:marBottom w:val="0"/>
                                      <w:divBdr>
                                        <w:top w:val="none" w:sz="0" w:space="0" w:color="auto"/>
                                        <w:left w:val="none" w:sz="0" w:space="0" w:color="auto"/>
                                        <w:bottom w:val="none" w:sz="0" w:space="0" w:color="auto"/>
                                        <w:right w:val="none" w:sz="0" w:space="0" w:color="auto"/>
                                      </w:divBdr>
                                      <w:divsChild>
                                        <w:div w:id="1026949360">
                                          <w:marLeft w:val="0"/>
                                          <w:marRight w:val="0"/>
                                          <w:marTop w:val="0"/>
                                          <w:marBottom w:val="0"/>
                                          <w:divBdr>
                                            <w:top w:val="none" w:sz="0" w:space="0" w:color="auto"/>
                                            <w:left w:val="none" w:sz="0" w:space="0" w:color="auto"/>
                                            <w:bottom w:val="none" w:sz="0" w:space="0" w:color="auto"/>
                                            <w:right w:val="none" w:sz="0" w:space="0" w:color="auto"/>
                                          </w:divBdr>
                                          <w:divsChild>
                                            <w:div w:id="15524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40575">
                          <w:marLeft w:val="0"/>
                          <w:marRight w:val="0"/>
                          <w:marTop w:val="0"/>
                          <w:marBottom w:val="0"/>
                          <w:divBdr>
                            <w:top w:val="none" w:sz="0" w:space="0" w:color="auto"/>
                            <w:left w:val="none" w:sz="0" w:space="0" w:color="auto"/>
                            <w:bottom w:val="none" w:sz="0" w:space="0" w:color="auto"/>
                            <w:right w:val="none" w:sz="0" w:space="0" w:color="auto"/>
                          </w:divBdr>
                          <w:divsChild>
                            <w:div w:id="187716309">
                              <w:marLeft w:val="0"/>
                              <w:marRight w:val="0"/>
                              <w:marTop w:val="0"/>
                              <w:marBottom w:val="0"/>
                              <w:divBdr>
                                <w:top w:val="none" w:sz="0" w:space="0" w:color="auto"/>
                                <w:left w:val="none" w:sz="0" w:space="0" w:color="auto"/>
                                <w:bottom w:val="none" w:sz="0" w:space="0" w:color="auto"/>
                                <w:right w:val="none" w:sz="0" w:space="0" w:color="auto"/>
                              </w:divBdr>
                              <w:divsChild>
                                <w:div w:id="1597833440">
                                  <w:marLeft w:val="0"/>
                                  <w:marRight w:val="0"/>
                                  <w:marTop w:val="0"/>
                                  <w:marBottom w:val="0"/>
                                  <w:divBdr>
                                    <w:top w:val="none" w:sz="0" w:space="0" w:color="auto"/>
                                    <w:left w:val="none" w:sz="0" w:space="0" w:color="auto"/>
                                    <w:bottom w:val="none" w:sz="0" w:space="0" w:color="auto"/>
                                    <w:right w:val="none" w:sz="0" w:space="0" w:color="auto"/>
                                  </w:divBdr>
                                  <w:divsChild>
                                    <w:div w:id="660503316">
                                      <w:marLeft w:val="0"/>
                                      <w:marRight w:val="0"/>
                                      <w:marTop w:val="0"/>
                                      <w:marBottom w:val="0"/>
                                      <w:divBdr>
                                        <w:top w:val="none" w:sz="0" w:space="0" w:color="auto"/>
                                        <w:left w:val="none" w:sz="0" w:space="0" w:color="auto"/>
                                        <w:bottom w:val="none" w:sz="0" w:space="0" w:color="auto"/>
                                        <w:right w:val="none" w:sz="0" w:space="0" w:color="auto"/>
                                      </w:divBdr>
                                      <w:divsChild>
                                        <w:div w:id="132673154">
                                          <w:marLeft w:val="0"/>
                                          <w:marRight w:val="0"/>
                                          <w:marTop w:val="0"/>
                                          <w:marBottom w:val="0"/>
                                          <w:divBdr>
                                            <w:top w:val="none" w:sz="0" w:space="0" w:color="auto"/>
                                            <w:left w:val="none" w:sz="0" w:space="0" w:color="auto"/>
                                            <w:bottom w:val="none" w:sz="0" w:space="0" w:color="auto"/>
                                            <w:right w:val="none" w:sz="0" w:space="0" w:color="auto"/>
                                          </w:divBdr>
                                          <w:divsChild>
                                            <w:div w:id="10932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1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www.state.gov/u-s-national-contact-point-for-the-oecd-guidelines-for-multinational-enterprises/specific-instance-final-statements/specific-instance-between-the-international-union-of-food-agriculture-hotel-restaurant-catering-tobacco-and-allied-workers-associations-and-the-coca-cola-company-related-to-alleged-conduct-in/" TargetMode="External"/><Relationship Id="rId51"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hyperlink" Target="http://www.oecd.org/corporate/mne/1922428.pdf" TargetMode="External"/><Relationship Id="rId42" Type="http://schemas.openxmlformats.org/officeDocument/2006/relationships/hyperlink" Target="http://www.oecd.org/corporate/mne/1922428.pdf"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ausncp.gov.au/complaints/ausncp-procedures" TargetMode="External"/><Relationship Id="rId38" Type="http://schemas.openxmlformats.org/officeDocument/2006/relationships/hyperlink" Target="http://ausncp.gov.au/complaints/ausncp-procedur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legalcode" TargetMode="External"/><Relationship Id="rId29" Type="http://schemas.openxmlformats.org/officeDocument/2006/relationships/header" Target="header6.xml"/><Relationship Id="rId41" Type="http://schemas.openxmlformats.org/officeDocument/2006/relationships/hyperlink" Target="http://ausncp.gov.au/complaints/ausncp-procedur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edialiaison@treasury.gov.au" TargetMode="External"/><Relationship Id="rId32" Type="http://schemas.openxmlformats.org/officeDocument/2006/relationships/hyperlink" Target="http://ausncp.gov.au/complaints/ausncp-procedures" TargetMode="External"/><Relationship Id="rId37" Type="http://schemas.openxmlformats.org/officeDocument/2006/relationships/hyperlink" Target="http://ausncp.gov.au/sites/default/files/2019-09/2018-AusNCP-Procedures-version-2.0-July-2018.pdf" TargetMode="External"/><Relationship Id="rId40" Type="http://schemas.openxmlformats.org/officeDocument/2006/relationships/hyperlink" Target="http://ausncp.gov.au/complaints/ausncp-procedures" TargetMode="External"/><Relationship Id="rId45" Type="http://schemas.openxmlformats.org/officeDocument/2006/relationships/hyperlink" Target="http://ausncp.gov.au/about/governance-and-advisory-boar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tsanhonour.gov.au" TargetMode="External"/><Relationship Id="rId28" Type="http://schemas.openxmlformats.org/officeDocument/2006/relationships/footer" Target="footer5.xml"/><Relationship Id="rId36" Type="http://schemas.openxmlformats.org/officeDocument/2006/relationships/hyperlink" Target="mailto:Secretariat@AusNCP.gov.au" TargetMode="Externa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hyperlink" Target="https://www.state.gov/u-s-national-contact-point-for-the-oecd-guidelines-for-multinational-enterprises/specific-instance-final-statements/specific-instance-between-the-international-union-of-food-agriculture-hotel-restaurant-catering-tobacco-and-allied-workers-associations-and-the-coca-cola-company-related-to-alleged-conduct-in/" TargetMode="External"/><Relationship Id="rId44" Type="http://schemas.openxmlformats.org/officeDocument/2006/relationships/hyperlink" Target="http://www.ausncp.gov.au/content/Content.aspx?doc=publication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creativecommons.org/licenses/by/3.0/au/deed.en"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www.ausncp.gov.au" TargetMode="External"/><Relationship Id="rId43" Type="http://schemas.openxmlformats.org/officeDocument/2006/relationships/hyperlink" Target="http://mneguidelines.oecd.org/databa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corporate/mne/192242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TaxCatchAll xmlns="0f563589-9cf9-4143-b1eb-fb0534803d38">
      <Value>57</Value>
    </TaxCatchAll>
    <_dlc_DocId xmlns="0f563589-9cf9-4143-b1eb-fb0534803d38">2019MG-1494553492-5197</_dlc_DocId>
    <_dlc_DocIdUrl xmlns="0f563589-9cf9-4143-b1eb-fb0534803d38">
      <Url>http://tweb/sites/mg/fitpd/_layouts/15/DocIdRedir.aspx?ID=2019MG-1494553492-5197</Url>
      <Description>2019MG-1494553492-5197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4932" ma:contentTypeDescription="" ma:contentTypeScope="" ma:versionID="f9af5e71aec3fc3f2ffc1d74ef352ea7">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C2DD-FD53-4413-8B42-C93C20F040D2}">
  <ds:schemaRefs>
    <ds:schemaRef ds:uri="http://schemas.microsoft.com/sharepoint/v3/contenttype/forms"/>
  </ds:schemaRefs>
</ds:datastoreItem>
</file>

<file path=customXml/itemProps2.xml><?xml version="1.0" encoding="utf-8"?>
<ds:datastoreItem xmlns:ds="http://schemas.openxmlformats.org/officeDocument/2006/customXml" ds:itemID="{7D988F0C-32B1-48CD-A7D3-549FF5A9360E}">
  <ds:schemaRefs>
    <ds:schemaRef ds:uri="d4dd4adf-ddb3-46a3-8d7c-fab3fb2a6bc7"/>
    <ds:schemaRef ds:uri="http://schemas.microsoft.com/office/2006/documentManagement/types"/>
    <ds:schemaRef ds:uri="http://schemas.microsoft.com/sharepoint/v3"/>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f563589-9cf9-4143-b1eb-fb0534803d38"/>
  </ds:schemaRefs>
</ds:datastoreItem>
</file>

<file path=customXml/itemProps3.xml><?xml version="1.0" encoding="utf-8"?>
<ds:datastoreItem xmlns:ds="http://schemas.openxmlformats.org/officeDocument/2006/customXml" ds:itemID="{D02F7F08-4653-4198-8797-73CB31C9A9DE}">
  <ds:schemaRefs>
    <ds:schemaRef ds:uri="http://schemas.microsoft.com/sharepoint/events"/>
  </ds:schemaRefs>
</ds:datastoreItem>
</file>

<file path=customXml/itemProps4.xml><?xml version="1.0" encoding="utf-8"?>
<ds:datastoreItem xmlns:ds="http://schemas.openxmlformats.org/officeDocument/2006/customXml" ds:itemID="{C56E69BB-E536-4A26-B243-514B6A6ACB45}">
  <ds:schemaRefs>
    <ds:schemaRef ds:uri="office.server.policy"/>
  </ds:schemaRefs>
</ds:datastoreItem>
</file>

<file path=customXml/itemProps5.xml><?xml version="1.0" encoding="utf-8"?>
<ds:datastoreItem xmlns:ds="http://schemas.openxmlformats.org/officeDocument/2006/customXml" ds:itemID="{D5CFBF39-C131-4494-9B49-685BE6AA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021993-92BE-487C-AB1A-69CF2FB1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12</TotalTime>
  <Pages>16</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Initial Assessment / Final Statement</vt:lpstr>
    </vt:vector>
  </TitlesOfParts>
  <Company>Australian Government - The Treasury</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191212 - Final Statement - Complaint 18 - For publication</dc:title>
  <dc:subject>This Specific Instance was submitted by the Former Employees Collective of the Australian Laboratory Services Mali SARL Laboratory Group against Australian Laboratory Services for its conduct in Mali.</dc:subject>
  <dc:creator>Merrilees, Nicole</dc:creator>
  <cp:lastModifiedBy>Compton, Peta</cp:lastModifiedBy>
  <cp:revision>3</cp:revision>
  <cp:lastPrinted>2019-12-04T02:30:00Z</cp:lastPrinted>
  <dcterms:created xsi:type="dcterms:W3CDTF">2019-12-12T03:29:00Z</dcterms:created>
  <dcterms:modified xsi:type="dcterms:W3CDTF">2019-12-12T03:41:00Z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0x010100E95D40E5DFEA714B90E88DB5CE07A6B500E4CC779F6956F946B1963A5AFEE53528</vt:lpwstr>
  </property>
  <property fmtid="{D5CDD505-2E9C-101B-9397-08002B2CF9AE}" pid="3" name="TSYRecordClass">
    <vt:lpwstr>57;#TSY RA-8923 - Retain as national archives|48e7aad3-c205-4fdc-9279-a9ed8a0327f2</vt:lpwstr>
  </property>
  <property fmtid="{D5CDD505-2E9C-101B-9397-08002B2CF9AE}" pid="4" name="RecordPoint_WorkflowType">
    <vt:lpwstr>ActiveSubmitStub</vt:lpwstr>
  </property>
  <property fmtid="{D5CDD505-2E9C-101B-9397-08002B2CF9AE}" pid="5" name="RecordPoint_ActiveItemSiteId">
    <vt:lpwstr>{08cedf7d-7ad2-4b81-a81f-47e3ec332c41}</vt:lpwstr>
  </property>
  <property fmtid="{D5CDD505-2E9C-101B-9397-08002B2CF9AE}" pid="6" name="RecordPoint_ActiveItemListId">
    <vt:lpwstr>{17099388-55d4-4cee-aa1a-f026d6a70641}</vt:lpwstr>
  </property>
  <property fmtid="{D5CDD505-2E9C-101B-9397-08002B2CF9AE}" pid="7" name="RecordPoint_ActiveItemWebId">
    <vt:lpwstr>{31eac4f3-160a-4a13-a9a0-2808d5b44bbf}</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dlc_DocIdItemGuid">
    <vt:lpwstr>d90c806a-f319-4ed3-8cdf-9f82fd19e1ef</vt:lpwstr>
  </property>
  <property fmtid="{D5CDD505-2E9C-101B-9397-08002B2CF9AE}" pid="12" name="_NewReviewCycle">
    <vt:lpwstr/>
  </property>
  <property fmtid="{D5CDD505-2E9C-101B-9397-08002B2CF9AE}" pid="13" name="RecordPoint_ActiveItemUniqueId">
    <vt:lpwstr>{cba6a032-9ec6-4e64-95ff-b2e17298f614}</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MSIP_Label_1665d9ee-429a-4d5f-97cc-cfb56e044a6e_Enabled">
    <vt:lpwstr>True</vt:lpwstr>
  </property>
  <property fmtid="{D5CDD505-2E9C-101B-9397-08002B2CF9AE}" pid="17" name="MSIP_Label_1665d9ee-429a-4d5f-97cc-cfb56e044a6e_SiteId">
    <vt:lpwstr>66cf5074-5afe-48d1-a691-a12b2121f44b</vt:lpwstr>
  </property>
  <property fmtid="{D5CDD505-2E9C-101B-9397-08002B2CF9AE}" pid="18" name="MSIP_Label_1665d9ee-429a-4d5f-97cc-cfb56e044a6e_Owner">
    <vt:lpwstr>YetkenMA@state.gov</vt:lpwstr>
  </property>
  <property fmtid="{D5CDD505-2E9C-101B-9397-08002B2CF9AE}" pid="19" name="MSIP_Label_1665d9ee-429a-4d5f-97cc-cfb56e044a6e_SetDate">
    <vt:lpwstr>2019-12-04T15:12:29.9067705Z</vt:lpwstr>
  </property>
  <property fmtid="{D5CDD505-2E9C-101B-9397-08002B2CF9AE}" pid="20" name="MSIP_Label_1665d9ee-429a-4d5f-97cc-cfb56e044a6e_Name">
    <vt:lpwstr>Unclassified</vt:lpwstr>
  </property>
  <property fmtid="{D5CDD505-2E9C-101B-9397-08002B2CF9AE}" pid="21" name="MSIP_Label_1665d9ee-429a-4d5f-97cc-cfb56e044a6e_Application">
    <vt:lpwstr>Microsoft Azure Information Protection</vt:lpwstr>
  </property>
  <property fmtid="{D5CDD505-2E9C-101B-9397-08002B2CF9AE}" pid="22" name="MSIP_Label_1665d9ee-429a-4d5f-97cc-cfb56e044a6e_ActionId">
    <vt:lpwstr>5923fed4-09d4-4f08-8788-487ee0e63dff</vt:lpwstr>
  </property>
  <property fmtid="{D5CDD505-2E9C-101B-9397-08002B2CF9AE}" pid="23" name="MSIP_Label_1665d9ee-429a-4d5f-97cc-cfb56e044a6e_Extended_MSFT_Method">
    <vt:lpwstr>Manual</vt:lpwstr>
  </property>
  <property fmtid="{D5CDD505-2E9C-101B-9397-08002B2CF9AE}" pid="24" name="Sensitivity">
    <vt:lpwstr>Unclassified</vt:lpwstr>
  </property>
  <property fmtid="{D5CDD505-2E9C-101B-9397-08002B2CF9AE}" pid="25" name="Order">
    <vt:r8>519700</vt:r8>
  </property>
  <property fmtid="{D5CDD505-2E9C-101B-9397-08002B2CF9AE}" pid="26" name="oae75e2df9d943898d59cb03ca0993c5">
    <vt:lpwstr/>
  </property>
  <property fmtid="{D5CDD505-2E9C-101B-9397-08002B2CF9AE}" pid="27" name="Topics">
    <vt:lpwstr/>
  </property>
  <property fmtid="{D5CDD505-2E9C-101B-9397-08002B2CF9AE}" pid="28" name="_AdHocReviewCycleID">
    <vt:i4>-1553767484</vt:i4>
  </property>
  <property fmtid="{D5CDD505-2E9C-101B-9397-08002B2CF9AE}" pid="29" name="_EmailSubject">
    <vt:lpwstr>CCA - Final statement for publication (YAY)</vt:lpwstr>
  </property>
  <property fmtid="{D5CDD505-2E9C-101B-9397-08002B2CF9AE}" pid="30" name="_AuthorEmail">
    <vt:lpwstr>Peta.Compton@TREASURY.GOV.AU</vt:lpwstr>
  </property>
  <property fmtid="{D5CDD505-2E9C-101B-9397-08002B2CF9AE}" pid="31" name="_AuthorEmailDisplayName">
    <vt:lpwstr>Compton, Peta</vt:lpwstr>
  </property>
</Properties>
</file>