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EA1B" w14:textId="3A7EE157" w:rsidR="00FF57F9" w:rsidRPr="004A5BD6" w:rsidRDefault="00FF57F9" w:rsidP="004A5BD6">
      <w:pPr>
        <w:pStyle w:val="Heading1"/>
        <w:shd w:val="clear" w:color="auto" w:fill="004672" w:themeFill="accent1" w:themeFillTint="E6"/>
        <w:rPr>
          <w:color w:val="1CFFCF" w:themeColor="accent3" w:themeTint="99"/>
          <w:sz w:val="72"/>
          <w:szCs w:val="72"/>
        </w:rPr>
      </w:pPr>
      <w:r w:rsidRPr="004A5BD6">
        <w:rPr>
          <w:color w:val="1CFFCF" w:themeColor="accent3" w:themeTint="99"/>
          <w:sz w:val="72"/>
          <w:szCs w:val="72"/>
        </w:rPr>
        <w:t xml:space="preserve">Have your </w:t>
      </w:r>
      <w:r w:rsidR="0017768E" w:rsidRPr="004A5BD6">
        <w:rPr>
          <w:color w:val="1CFFCF" w:themeColor="accent3" w:themeTint="99"/>
          <w:sz w:val="72"/>
          <w:szCs w:val="72"/>
        </w:rPr>
        <w:t>say!</w:t>
      </w:r>
      <w:r w:rsidRPr="004A5BD6">
        <w:rPr>
          <w:color w:val="1CFFCF" w:themeColor="accent3" w:themeTint="99"/>
          <w:sz w:val="72"/>
          <w:szCs w:val="72"/>
        </w:rPr>
        <w:t xml:space="preserve"> </w:t>
      </w:r>
    </w:p>
    <w:p w14:paraId="6B59B193" w14:textId="75C19471" w:rsidR="00FF57F9" w:rsidRPr="0024669A" w:rsidRDefault="001F0DBE" w:rsidP="0017768E">
      <w:pPr>
        <w:pStyle w:val="Heading1"/>
        <w:rPr>
          <w:b/>
          <w:bCs/>
        </w:rPr>
      </w:pPr>
      <w:r>
        <w:rPr>
          <w:b/>
          <w:bCs/>
        </w:rPr>
        <w:t>R</w:t>
      </w:r>
      <w:r w:rsidR="0072685C">
        <w:rPr>
          <w:b/>
          <w:bCs/>
        </w:rPr>
        <w:t>evised</w:t>
      </w:r>
      <w:r w:rsidR="0072685C" w:rsidRPr="0024669A">
        <w:rPr>
          <w:b/>
          <w:bCs/>
        </w:rPr>
        <w:t xml:space="preserve"> </w:t>
      </w:r>
      <w:r w:rsidR="0017768E" w:rsidRPr="0024669A">
        <w:rPr>
          <w:b/>
          <w:bCs/>
        </w:rPr>
        <w:t xml:space="preserve">AusNCP </w:t>
      </w:r>
      <w:r w:rsidR="0072685C">
        <w:rPr>
          <w:b/>
          <w:bCs/>
        </w:rPr>
        <w:t>C</w:t>
      </w:r>
      <w:r w:rsidR="0017768E" w:rsidRPr="0024669A">
        <w:rPr>
          <w:b/>
          <w:bCs/>
        </w:rPr>
        <w:t xml:space="preserve">omplaint </w:t>
      </w:r>
      <w:r w:rsidR="0072685C">
        <w:rPr>
          <w:b/>
          <w:bCs/>
        </w:rPr>
        <w:t>P</w:t>
      </w:r>
      <w:r w:rsidR="0017768E" w:rsidRPr="0024669A">
        <w:rPr>
          <w:b/>
          <w:bCs/>
        </w:rPr>
        <w:t>rocedures</w:t>
      </w:r>
    </w:p>
    <w:p w14:paraId="49E4A7EC" w14:textId="77777777" w:rsidR="0017768E" w:rsidRPr="0017768E" w:rsidRDefault="0017768E" w:rsidP="0017768E"/>
    <w:p w14:paraId="676CD14C" w14:textId="664D6E95" w:rsidR="0017768E" w:rsidRDefault="00B17B00" w:rsidP="0017768E">
      <w:pPr>
        <w:pStyle w:val="Heading3"/>
      </w:pPr>
      <w:r>
        <w:t>Feedback is</w:t>
      </w:r>
      <w:r w:rsidR="00FF57F9">
        <w:t xml:space="preserve"> invited </w:t>
      </w:r>
      <w:r w:rsidR="00BB7894">
        <w:t xml:space="preserve">from </w:t>
      </w:r>
      <w:r w:rsidR="00D6134B">
        <w:t>interested stakeholders</w:t>
      </w:r>
      <w:r w:rsidR="0017768E">
        <w:t xml:space="preserve"> </w:t>
      </w:r>
      <w:r w:rsidR="00FF57F9">
        <w:t xml:space="preserve">on </w:t>
      </w:r>
      <w:r w:rsidR="0001133F">
        <w:t xml:space="preserve">draft </w:t>
      </w:r>
      <w:r w:rsidR="00262197">
        <w:t xml:space="preserve">revised </w:t>
      </w:r>
      <w:r w:rsidR="00FF57F9" w:rsidRPr="0001133F">
        <w:rPr>
          <w:b/>
          <w:bCs/>
        </w:rPr>
        <w:t xml:space="preserve">AusNCP </w:t>
      </w:r>
      <w:r w:rsidR="002D43FE">
        <w:rPr>
          <w:b/>
          <w:bCs/>
        </w:rPr>
        <w:t>c</w:t>
      </w:r>
      <w:r w:rsidR="00FF57F9" w:rsidRPr="0001133F">
        <w:rPr>
          <w:b/>
          <w:bCs/>
        </w:rPr>
        <w:t xml:space="preserve">omplaint </w:t>
      </w:r>
      <w:r w:rsidR="002D43FE">
        <w:rPr>
          <w:b/>
          <w:bCs/>
        </w:rPr>
        <w:t>p</w:t>
      </w:r>
      <w:r w:rsidR="0017768E" w:rsidRPr="0001133F">
        <w:rPr>
          <w:b/>
          <w:bCs/>
        </w:rPr>
        <w:t>rocedures</w:t>
      </w:r>
      <w:r w:rsidR="00AD07CC">
        <w:t>.</w:t>
      </w:r>
    </w:p>
    <w:p w14:paraId="69FC412B" w14:textId="77777777" w:rsidR="00EB6009" w:rsidRPr="00EB6009" w:rsidRDefault="00EB6009" w:rsidP="003C33F4"/>
    <w:p w14:paraId="4355C387" w14:textId="77777777" w:rsidR="00450ECD" w:rsidRDefault="00657BF3" w:rsidP="0017768E">
      <w:pPr>
        <w:pStyle w:val="Heading3"/>
      </w:pPr>
      <w:r>
        <w:t xml:space="preserve">The procedures have been revised to reflect the 2023 updates to the </w:t>
      </w:r>
      <w:hyperlink r:id="rId7" w:history="1">
        <w:r w:rsidRPr="00F5559F">
          <w:rPr>
            <w:rStyle w:val="Hyperlink"/>
          </w:rPr>
          <w:t>OECD Guidelines for Multinational Enterprises on Responsible Business Conduct</w:t>
        </w:r>
      </w:hyperlink>
      <w:r>
        <w:t xml:space="preserve"> (OECD Guidelines). The revisions also aim to improve the accessibility of the document and ensure the AusNCP complaint process is </w:t>
      </w:r>
      <w:r w:rsidR="00CD5D88">
        <w:t xml:space="preserve">as clear as possible to both notifiers and enterprises that are subject to complaints. </w:t>
      </w:r>
    </w:p>
    <w:p w14:paraId="719AC795" w14:textId="5EADC183" w:rsidR="00BB7894" w:rsidRDefault="007C5F00" w:rsidP="00E602F1">
      <w:pPr>
        <w:pStyle w:val="Heading3"/>
      </w:pPr>
      <w:r>
        <w:t>The consultation period opens on 2</w:t>
      </w:r>
      <w:r w:rsidR="001F5539">
        <w:t>5</w:t>
      </w:r>
      <w:r>
        <w:t xml:space="preserve"> September 2023</w:t>
      </w:r>
      <w:r w:rsidR="00450ECD">
        <w:t xml:space="preserve">. </w:t>
      </w:r>
      <w:r w:rsidR="00FF57F9">
        <w:t xml:space="preserve">Please </w:t>
      </w:r>
      <w:r w:rsidR="00B53496">
        <w:t>provide your feedback using</w:t>
      </w:r>
      <w:r w:rsidR="00A73BDD">
        <w:t xml:space="preserve"> the form</w:t>
      </w:r>
      <w:r w:rsidR="007920E9">
        <w:t xml:space="preserve">, linked on the AusNCP website: </w:t>
      </w:r>
      <w:hyperlink r:id="rId8">
        <w:r w:rsidR="495BCEC6" w:rsidRPr="30565AA8">
          <w:rPr>
            <w:rStyle w:val="Hyperlink"/>
          </w:rPr>
          <w:t>www.</w:t>
        </w:r>
        <w:r w:rsidR="007920E9" w:rsidRPr="30565AA8">
          <w:rPr>
            <w:rStyle w:val="Hyperlink"/>
          </w:rPr>
          <w:t>ausncp.gov.au/whats-happening/news</w:t>
        </w:r>
      </w:hyperlink>
      <w:r w:rsidR="007920E9">
        <w:t xml:space="preserve"> </w:t>
      </w:r>
      <w:r w:rsidR="00FF57F9">
        <w:t xml:space="preserve">by </w:t>
      </w:r>
      <w:r w:rsidR="00B37505">
        <w:t>1</w:t>
      </w:r>
      <w:r w:rsidR="001F5539">
        <w:t>6</w:t>
      </w:r>
      <w:r w:rsidR="00B37505">
        <w:t xml:space="preserve"> October</w:t>
      </w:r>
      <w:r w:rsidR="00BB7894">
        <w:t> </w:t>
      </w:r>
      <w:r w:rsidR="00FF57F9">
        <w:t>2023</w:t>
      </w:r>
      <w:r w:rsidR="00B53496">
        <w:t>.</w:t>
      </w:r>
    </w:p>
    <w:p w14:paraId="1AF1AB03" w14:textId="77777777" w:rsidR="000F5719" w:rsidRDefault="000F5719" w:rsidP="000F5719"/>
    <w:p w14:paraId="65CD21E6" w14:textId="7E895FB4" w:rsidR="0024669A" w:rsidRPr="005E134D" w:rsidRDefault="00F0713D" w:rsidP="005E134D">
      <w:pPr>
        <w:rPr>
          <w:sz w:val="32"/>
          <w:szCs w:val="32"/>
        </w:rPr>
      </w:pPr>
      <w:r w:rsidRPr="005E134D">
        <w:rPr>
          <w:sz w:val="32"/>
          <w:szCs w:val="32"/>
        </w:rPr>
        <w:t xml:space="preserve">The table below contains a non-exhaustive summary of the revisions to assist you </w:t>
      </w:r>
      <w:r w:rsidR="00AB6486" w:rsidRPr="005E134D">
        <w:rPr>
          <w:sz w:val="32"/>
          <w:szCs w:val="32"/>
        </w:rPr>
        <w:t>with</w:t>
      </w:r>
      <w:r w:rsidRPr="005E134D">
        <w:rPr>
          <w:sz w:val="32"/>
          <w:szCs w:val="32"/>
        </w:rPr>
        <w:t xml:space="preserve"> provid</w:t>
      </w:r>
      <w:r w:rsidR="00AB6486" w:rsidRPr="005E134D">
        <w:rPr>
          <w:sz w:val="32"/>
          <w:szCs w:val="32"/>
        </w:rPr>
        <w:t>ing</w:t>
      </w:r>
      <w:r w:rsidRPr="005E134D">
        <w:rPr>
          <w:sz w:val="32"/>
          <w:szCs w:val="32"/>
        </w:rPr>
        <w:t xml:space="preserve"> feedback.</w:t>
      </w:r>
    </w:p>
    <w:p w14:paraId="10F98C72" w14:textId="5B3095B2" w:rsidR="7DE0F762" w:rsidRDefault="0024669A" w:rsidP="00781FB1">
      <w:pPr>
        <w:pStyle w:val="Heading3"/>
      </w:pPr>
      <w:r>
        <w:t>General i</w:t>
      </w:r>
      <w:r w:rsidR="00BB7894">
        <w:t xml:space="preserve">nformation about the AusNCP complaints </w:t>
      </w:r>
      <w:r w:rsidR="0001133F">
        <w:t xml:space="preserve">process and copies of previous versions of the procedures </w:t>
      </w:r>
      <w:r w:rsidR="00BB7894">
        <w:t xml:space="preserve">are available at </w:t>
      </w:r>
      <w:hyperlink r:id="rId9">
        <w:r w:rsidR="17CD2D10" w:rsidRPr="30565AA8">
          <w:rPr>
            <w:rStyle w:val="Hyperlink"/>
          </w:rPr>
          <w:t>www.</w:t>
        </w:r>
        <w:r w:rsidR="0001133F" w:rsidRPr="30565AA8">
          <w:rPr>
            <w:rStyle w:val="Hyperlink"/>
          </w:rPr>
          <w:t>ausncp.gov.au/complaints/complaints-process</w:t>
        </w:r>
      </w:hyperlink>
      <w:r w:rsidR="00E35255">
        <w:t>.</w:t>
      </w:r>
      <w:r>
        <w:br w:type="page"/>
      </w:r>
    </w:p>
    <w:p w14:paraId="1588E1DC" w14:textId="6817087F" w:rsidR="006F338D" w:rsidRPr="00453716" w:rsidRDefault="00817B43" w:rsidP="00453716">
      <w:pPr>
        <w:shd w:val="clear" w:color="auto" w:fill="004672" w:themeFill="accent1" w:themeFillTint="E6"/>
        <w:jc w:val="center"/>
        <w:rPr>
          <w:rFonts w:asciiTheme="majorHAnsi" w:eastAsiaTheme="majorEastAsia" w:hAnsiTheme="majorHAnsi" w:cstheme="majorBidi"/>
          <w:b/>
          <w:bCs/>
          <w:color w:val="1CFFCF" w:themeColor="accent3" w:themeTint="99"/>
          <w:sz w:val="32"/>
          <w:szCs w:val="32"/>
        </w:rPr>
      </w:pPr>
      <w:r w:rsidRPr="00453716">
        <w:rPr>
          <w:rFonts w:asciiTheme="majorHAnsi" w:eastAsiaTheme="majorEastAsia" w:hAnsiTheme="majorHAnsi" w:cstheme="majorBidi"/>
          <w:b/>
          <w:bCs/>
          <w:color w:val="1CFFCF" w:themeColor="accent3" w:themeTint="99"/>
          <w:sz w:val="32"/>
          <w:szCs w:val="32"/>
        </w:rPr>
        <w:lastRenderedPageBreak/>
        <w:t xml:space="preserve">2023 </w:t>
      </w:r>
      <w:r w:rsidR="008D4CC0">
        <w:rPr>
          <w:rFonts w:asciiTheme="majorHAnsi" w:eastAsiaTheme="majorEastAsia" w:hAnsiTheme="majorHAnsi" w:cstheme="majorBidi"/>
          <w:b/>
          <w:bCs/>
          <w:color w:val="1CFFCF" w:themeColor="accent3" w:themeTint="99"/>
          <w:sz w:val="32"/>
          <w:szCs w:val="32"/>
        </w:rPr>
        <w:t>revised</w:t>
      </w:r>
      <w:r w:rsidR="0080434B" w:rsidRPr="00453716">
        <w:rPr>
          <w:rFonts w:asciiTheme="majorHAnsi" w:eastAsiaTheme="majorEastAsia" w:hAnsiTheme="majorHAnsi" w:cstheme="majorBidi"/>
          <w:b/>
          <w:bCs/>
          <w:color w:val="1CFFCF" w:themeColor="accent3" w:themeTint="99"/>
          <w:sz w:val="32"/>
          <w:szCs w:val="32"/>
        </w:rPr>
        <w:t xml:space="preserve"> AusNCP complaint procedures - w</w:t>
      </w:r>
      <w:r w:rsidR="00A907B9" w:rsidRPr="00453716">
        <w:rPr>
          <w:rFonts w:asciiTheme="majorHAnsi" w:eastAsiaTheme="majorEastAsia" w:hAnsiTheme="majorHAnsi" w:cstheme="majorBidi"/>
          <w:b/>
          <w:bCs/>
          <w:color w:val="1CFFCF" w:themeColor="accent3" w:themeTint="99"/>
          <w:sz w:val="32"/>
          <w:szCs w:val="32"/>
        </w:rPr>
        <w:t xml:space="preserve">hat’s </w:t>
      </w:r>
      <w:r w:rsidR="000A75B6" w:rsidRPr="00453716">
        <w:rPr>
          <w:rFonts w:asciiTheme="majorHAnsi" w:eastAsiaTheme="majorEastAsia" w:hAnsiTheme="majorHAnsi" w:cstheme="majorBidi"/>
          <w:b/>
          <w:bCs/>
          <w:color w:val="1CFFCF" w:themeColor="accent3" w:themeTint="99"/>
          <w:sz w:val="32"/>
          <w:szCs w:val="32"/>
        </w:rPr>
        <w:t>changed</w:t>
      </w:r>
      <w:r w:rsidR="00A907B9" w:rsidRPr="00453716">
        <w:rPr>
          <w:rFonts w:asciiTheme="majorHAnsi" w:eastAsiaTheme="majorEastAsia" w:hAnsiTheme="majorHAnsi" w:cstheme="majorBidi"/>
          <w:b/>
          <w:bCs/>
          <w:color w:val="1CFFCF" w:themeColor="accent3" w:themeTint="99"/>
          <w:sz w:val="32"/>
          <w:szCs w:val="32"/>
        </w:rPr>
        <w:t xml:space="preserve">? </w:t>
      </w:r>
    </w:p>
    <w:tbl>
      <w:tblPr>
        <w:tblStyle w:val="PlainTable5"/>
        <w:tblW w:w="9026" w:type="dxa"/>
        <w:tblLook w:val="04A0" w:firstRow="1" w:lastRow="0" w:firstColumn="1" w:lastColumn="0" w:noHBand="0" w:noVBand="1"/>
      </w:tblPr>
      <w:tblGrid>
        <w:gridCol w:w="2077"/>
        <w:gridCol w:w="6949"/>
      </w:tblGrid>
      <w:tr w:rsidR="004B3212" w14:paraId="10408548" w14:textId="77777777" w:rsidTr="0C1E7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6" w:type="dxa"/>
            <w:gridSpan w:val="2"/>
            <w:shd w:val="clear" w:color="auto" w:fill="B3FFEE" w:themeFill="accent3" w:themeFillTint="33"/>
          </w:tcPr>
          <w:p w14:paraId="49C11B48" w14:textId="77777777" w:rsidR="004B3212" w:rsidRPr="00A30DCE" w:rsidRDefault="004B3212" w:rsidP="00EB5476">
            <w:pPr>
              <w:jc w:val="left"/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 w:rsidRPr="00A30DCE">
              <w:rPr>
                <w:b/>
                <w:bCs/>
                <w:sz w:val="28"/>
                <w:szCs w:val="28"/>
              </w:rPr>
              <w:t xml:space="preserve">Introduction </w:t>
            </w:r>
          </w:p>
        </w:tc>
      </w:tr>
      <w:tr w:rsidR="004B3212" w14:paraId="6230240E" w14:textId="77777777" w:rsidTr="0C1E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14:paraId="1645D2C2" w14:textId="77777777" w:rsidR="004B3212" w:rsidRDefault="004B3212">
            <w:pPr>
              <w:jc w:val="left"/>
            </w:pPr>
          </w:p>
        </w:tc>
        <w:tc>
          <w:tcPr>
            <w:tcW w:w="6949" w:type="dxa"/>
          </w:tcPr>
          <w:p w14:paraId="0FB3076A" w14:textId="6AD99E90" w:rsidR="004B3212" w:rsidRPr="00855E96" w:rsidRDefault="004B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section has been </w:t>
            </w:r>
            <w:r w:rsidR="008D4CC0">
              <w:t>revised</w:t>
            </w:r>
            <w:r>
              <w:t xml:space="preserve"> to</w:t>
            </w:r>
            <w:r w:rsidR="00A41174">
              <w:t xml:space="preserve"> improve accessibility and</w:t>
            </w:r>
            <w:r>
              <w:t xml:space="preserve"> </w:t>
            </w:r>
            <w:r w:rsidR="00581837">
              <w:t>understanding of the AusNCP</w:t>
            </w:r>
            <w:r w:rsidR="005B1DDC">
              <w:t>’s</w:t>
            </w:r>
            <w:r w:rsidR="00BE2694">
              <w:t xml:space="preserve"> role</w:t>
            </w:r>
            <w:r w:rsidR="00A41174">
              <w:t xml:space="preserve"> and</w:t>
            </w:r>
            <w:r w:rsidR="00581837">
              <w:t xml:space="preserve"> to</w:t>
            </w:r>
            <w:r>
              <w:t xml:space="preserve"> reflect the new core effectiveness criteria from the OECD Guidelines. </w:t>
            </w:r>
          </w:p>
        </w:tc>
      </w:tr>
      <w:tr w:rsidR="004B3212" w14:paraId="7859193E" w14:textId="77777777" w:rsidTr="0C1E7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shd w:val="clear" w:color="auto" w:fill="B3FFEE" w:themeFill="accent3" w:themeFillTint="33"/>
          </w:tcPr>
          <w:p w14:paraId="742CDE4D" w14:textId="0E1F9256" w:rsidR="004B3212" w:rsidRPr="00EB5476" w:rsidRDefault="003C33F4" w:rsidP="003C33F4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 w:rsidR="004B3212" w:rsidRPr="00EB5476">
              <w:rPr>
                <w:b/>
                <w:bCs/>
                <w:sz w:val="28"/>
                <w:szCs w:val="28"/>
              </w:rPr>
              <w:t>Submitting a complaint</w:t>
            </w:r>
          </w:p>
        </w:tc>
      </w:tr>
      <w:tr w:rsidR="004B3212" w14:paraId="2BB6C032" w14:textId="77777777" w:rsidTr="0C1E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14:paraId="0D2A67AC" w14:textId="77777777" w:rsidR="004B3212" w:rsidRDefault="004B3212"/>
        </w:tc>
        <w:tc>
          <w:tcPr>
            <w:tcW w:w="6949" w:type="dxa"/>
          </w:tcPr>
          <w:p w14:paraId="2ED7E69C" w14:textId="4E3C968B" w:rsidR="004B3212" w:rsidRDefault="004B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section </w:t>
            </w:r>
            <w:r w:rsidR="00604B9E">
              <w:t>now includes an expectation about good faith participation in the complaints process, and an additional clause</w:t>
            </w:r>
            <w:r w:rsidR="00143DAB">
              <w:t xml:space="preserve"> </w:t>
            </w:r>
            <w:r w:rsidR="00C50803">
              <w:t xml:space="preserve">to reflect current practice that complaints need to demonstrate </w:t>
            </w:r>
            <w:r w:rsidR="37C0B03B">
              <w:t xml:space="preserve">a </w:t>
            </w:r>
            <w:r w:rsidR="00F33A21">
              <w:t>link to Australia.</w:t>
            </w:r>
          </w:p>
        </w:tc>
      </w:tr>
      <w:tr w:rsidR="00A90BF0" w:rsidRPr="00A30DCE" w14:paraId="50166227" w14:textId="77777777" w:rsidTr="0C1E7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shd w:val="clear" w:color="auto" w:fill="B3FFEE" w:themeFill="accent3" w:themeFillTint="33"/>
          </w:tcPr>
          <w:p w14:paraId="312AC00C" w14:textId="7B14BB47" w:rsidR="00A90BF0" w:rsidRPr="00A30DCE" w:rsidRDefault="00A90BF0">
            <w:pPr>
              <w:jc w:val="left"/>
            </w:pPr>
            <w:r>
              <w:rPr>
                <w:b/>
                <w:bCs/>
                <w:sz w:val="28"/>
                <w:szCs w:val="28"/>
              </w:rPr>
              <w:t xml:space="preserve">3. Independent Examiners </w:t>
            </w:r>
            <w:r w:rsidR="003E6773">
              <w:rPr>
                <w:b/>
                <w:bCs/>
                <w:sz w:val="28"/>
                <w:szCs w:val="28"/>
              </w:rPr>
              <w:t xml:space="preserve">– now a separate chapter </w:t>
            </w:r>
          </w:p>
        </w:tc>
      </w:tr>
      <w:tr w:rsidR="00A90BF0" w:rsidRPr="00855E96" w14:paraId="546527A5" w14:textId="77777777" w:rsidTr="0C1E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14:paraId="05C04B30" w14:textId="77777777" w:rsidR="00A90BF0" w:rsidRDefault="00A90BF0">
            <w:pPr>
              <w:jc w:val="left"/>
            </w:pPr>
          </w:p>
        </w:tc>
        <w:tc>
          <w:tcPr>
            <w:tcW w:w="6949" w:type="dxa"/>
          </w:tcPr>
          <w:p w14:paraId="3D111BD2" w14:textId="5414F1C7" w:rsidR="00A90BF0" w:rsidRPr="00855E96" w:rsidRDefault="00A90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section consolidates the</w:t>
            </w:r>
            <w:r w:rsidR="003E6773">
              <w:t xml:space="preserve"> practical</w:t>
            </w:r>
            <w:r>
              <w:t xml:space="preserve"> information </w:t>
            </w:r>
            <w:r w:rsidR="00B92CC7">
              <w:t>about</w:t>
            </w:r>
            <w:r>
              <w:t xml:space="preserve"> Independent Examiners</w:t>
            </w:r>
            <w:r w:rsidR="008F3E80">
              <w:t xml:space="preserve">, moving it from the glossary </w:t>
            </w:r>
            <w:r w:rsidR="003F035F">
              <w:t>into the bod</w:t>
            </w:r>
            <w:r w:rsidR="00B92CC7">
              <w:t>y</w:t>
            </w:r>
            <w:r w:rsidR="003F035F">
              <w:t xml:space="preserve"> of the AusNCP Complaint Procedures. </w:t>
            </w:r>
            <w:r>
              <w:t xml:space="preserve"> </w:t>
            </w:r>
          </w:p>
        </w:tc>
      </w:tr>
      <w:tr w:rsidR="004B3212" w14:paraId="3889A79D" w14:textId="77777777" w:rsidTr="0C1E7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shd w:val="clear" w:color="auto" w:fill="B3FFEE" w:themeFill="accent3" w:themeFillTint="33"/>
          </w:tcPr>
          <w:p w14:paraId="155D54C4" w14:textId="35C59057" w:rsidR="004B3212" w:rsidRPr="00E97429" w:rsidRDefault="003E6773" w:rsidP="00E97429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  <w:r w:rsidR="004B3212" w:rsidRPr="00E97429">
              <w:rPr>
                <w:b/>
                <w:bCs/>
                <w:sz w:val="28"/>
                <w:szCs w:val="28"/>
              </w:rPr>
              <w:t xml:space="preserve">Initial assessment </w:t>
            </w:r>
          </w:p>
        </w:tc>
      </w:tr>
      <w:tr w:rsidR="004B3212" w14:paraId="7885B819" w14:textId="77777777" w:rsidTr="0C1E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14:paraId="13F005A8" w14:textId="77777777" w:rsidR="004B3212" w:rsidRDefault="004B3212">
            <w:pPr>
              <w:jc w:val="left"/>
            </w:pPr>
          </w:p>
        </w:tc>
        <w:tc>
          <w:tcPr>
            <w:tcW w:w="6949" w:type="dxa"/>
          </w:tcPr>
          <w:p w14:paraId="7A15CCC7" w14:textId="6060DD1B" w:rsidR="004B3212" w:rsidRDefault="004B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section contains </w:t>
            </w:r>
            <w:r w:rsidR="00017E4C">
              <w:t>revised</w:t>
            </w:r>
            <w:r>
              <w:t xml:space="preserve"> or new text about: </w:t>
            </w:r>
          </w:p>
          <w:p w14:paraId="315DEAD3" w14:textId="132E76DE" w:rsidR="004B3212" w:rsidRDefault="00581837" w:rsidP="004B321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4B3212">
              <w:t>omplaint information published on the AusNCP website</w:t>
            </w:r>
            <w:r w:rsidR="00912376">
              <w:t xml:space="preserve">, including when an enterprise is publicly </w:t>
            </w:r>
            <w:proofErr w:type="gramStart"/>
            <w:r w:rsidR="00912376">
              <w:t>named</w:t>
            </w:r>
            <w:proofErr w:type="gramEnd"/>
            <w:r w:rsidR="004B3212">
              <w:t xml:space="preserve"> </w:t>
            </w:r>
          </w:p>
          <w:p w14:paraId="7B06764B" w14:textId="0E240569" w:rsidR="004B3212" w:rsidRDefault="00581837" w:rsidP="004B321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4B3212">
              <w:t>he process for the initial assessment</w:t>
            </w:r>
          </w:p>
          <w:p w14:paraId="41F50CB0" w14:textId="1864F706" w:rsidR="004B3212" w:rsidRDefault="00581837" w:rsidP="004B321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4B3212">
              <w:t>oordinating and transferring complaints to other National Contact Points (NCPs)</w:t>
            </w:r>
          </w:p>
          <w:p w14:paraId="722E4472" w14:textId="578B1489" w:rsidR="004B3212" w:rsidRDefault="00017E4C" w:rsidP="004B321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revised</w:t>
            </w:r>
            <w:r w:rsidR="004B3212">
              <w:t xml:space="preserve"> criteria to assess complaint</w:t>
            </w:r>
            <w:r w:rsidR="00B34804">
              <w:t>s</w:t>
            </w:r>
            <w:r w:rsidR="00A0778E">
              <w:t xml:space="preserve">, consistent with </w:t>
            </w:r>
            <w:r w:rsidR="00B34804">
              <w:t xml:space="preserve">updates to </w:t>
            </w:r>
            <w:r w:rsidR="00A0778E">
              <w:t xml:space="preserve">the 2023 </w:t>
            </w:r>
            <w:r w:rsidR="00B34804">
              <w:t xml:space="preserve">OECD </w:t>
            </w:r>
            <w:r w:rsidR="00A0778E">
              <w:t>Guidelines</w:t>
            </w:r>
          </w:p>
          <w:p w14:paraId="7BB8B85D" w14:textId="04A03832" w:rsidR="004B3212" w:rsidRPr="00FC34D2" w:rsidRDefault="1F9D8399" w:rsidP="0091237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B34804">
              <w:t xml:space="preserve"> clause </w:t>
            </w:r>
            <w:r w:rsidR="651C6F20">
              <w:t xml:space="preserve">that formalises the current practice to </w:t>
            </w:r>
            <w:r w:rsidR="004B3212">
              <w:t xml:space="preserve">publish initial assessment statements </w:t>
            </w:r>
          </w:p>
        </w:tc>
      </w:tr>
      <w:tr w:rsidR="004B3212" w14:paraId="0FFA8AA6" w14:textId="77777777" w:rsidTr="0C1E7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shd w:val="clear" w:color="auto" w:fill="B3FFEE" w:themeFill="accent3" w:themeFillTint="33"/>
          </w:tcPr>
          <w:p w14:paraId="3CF4A213" w14:textId="1C6D008D" w:rsidR="004B3212" w:rsidRPr="004D5EA8" w:rsidRDefault="003E6773" w:rsidP="004D5EA8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  <w:r w:rsidR="004B3212" w:rsidRPr="004D5EA8">
              <w:rPr>
                <w:b/>
                <w:bCs/>
                <w:sz w:val="28"/>
                <w:szCs w:val="28"/>
              </w:rPr>
              <w:t>Good offices</w:t>
            </w:r>
          </w:p>
        </w:tc>
      </w:tr>
      <w:tr w:rsidR="004B3212" w14:paraId="5E190258" w14:textId="77777777" w:rsidTr="0C1E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14:paraId="19A5AA52" w14:textId="77777777" w:rsidR="004B3212" w:rsidRDefault="004B3212"/>
        </w:tc>
        <w:tc>
          <w:tcPr>
            <w:tcW w:w="6949" w:type="dxa"/>
          </w:tcPr>
          <w:p w14:paraId="0383BF1E" w14:textId="775AE47C" w:rsidR="004B3212" w:rsidRDefault="004B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section contains </w:t>
            </w:r>
            <w:r w:rsidR="00017E4C">
              <w:t>revised</w:t>
            </w:r>
            <w:r>
              <w:t xml:space="preserve"> or new text about: </w:t>
            </w:r>
          </w:p>
          <w:p w14:paraId="7047A5A2" w14:textId="35B5F77F" w:rsidR="004B3212" w:rsidRPr="006352BB" w:rsidRDefault="00581837" w:rsidP="004B321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the</w:t>
            </w:r>
            <w:r w:rsidR="004B3212">
              <w:t xml:space="preserve"> good offices process</w:t>
            </w:r>
            <w:r w:rsidR="006D1938">
              <w:t xml:space="preserve">, including </w:t>
            </w:r>
            <w:r w:rsidR="00775B63">
              <w:t>how</w:t>
            </w:r>
            <w:r w:rsidR="006D1938">
              <w:t xml:space="preserve"> alternative dispute resolution professionals</w:t>
            </w:r>
            <w:r w:rsidR="004B3212">
              <w:t xml:space="preserve"> </w:t>
            </w:r>
            <w:r w:rsidR="00775B63">
              <w:t xml:space="preserve">may be </w:t>
            </w:r>
            <w:proofErr w:type="gramStart"/>
            <w:r w:rsidR="00775B63">
              <w:t>used</w:t>
            </w:r>
            <w:proofErr w:type="gramEnd"/>
          </w:p>
          <w:p w14:paraId="07AA197D" w14:textId="5F7D4DCB" w:rsidR="004B3212" w:rsidRPr="00F2501B" w:rsidRDefault="00581837" w:rsidP="004B321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c</w:t>
            </w:r>
            <w:r w:rsidR="004B3212">
              <w:t xml:space="preserve">larifying the circumstances when good offices would be </w:t>
            </w:r>
            <w:proofErr w:type="gramStart"/>
            <w:r w:rsidR="004B3212">
              <w:t>discontinued</w:t>
            </w:r>
            <w:proofErr w:type="gramEnd"/>
            <w:r w:rsidR="004B3212">
              <w:t xml:space="preserve"> </w:t>
            </w:r>
          </w:p>
          <w:p w14:paraId="23A0779A" w14:textId="7E2F264E" w:rsidR="004B3212" w:rsidRPr="006979B0" w:rsidRDefault="00581837" w:rsidP="004B321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4B3212">
              <w:t>he circumstances when a complaint is withdrawn</w:t>
            </w:r>
          </w:p>
        </w:tc>
      </w:tr>
      <w:tr w:rsidR="004B3212" w14:paraId="2A8EC5C8" w14:textId="77777777" w:rsidTr="0C1E7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shd w:val="clear" w:color="auto" w:fill="B3FFEE" w:themeFill="accent3" w:themeFillTint="33"/>
          </w:tcPr>
          <w:p w14:paraId="007BDB0A" w14:textId="65B64477" w:rsidR="004B3212" w:rsidRPr="00E97429" w:rsidRDefault="003E6773" w:rsidP="00E97429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  <w:r w:rsidR="00E97429">
              <w:rPr>
                <w:b/>
                <w:bCs/>
                <w:sz w:val="28"/>
                <w:szCs w:val="28"/>
              </w:rPr>
              <w:t xml:space="preserve"> </w:t>
            </w:r>
            <w:r w:rsidR="004B3212" w:rsidRPr="00E97429">
              <w:rPr>
                <w:b/>
                <w:bCs/>
                <w:sz w:val="28"/>
                <w:szCs w:val="28"/>
              </w:rPr>
              <w:t xml:space="preserve">Examination </w:t>
            </w:r>
          </w:p>
        </w:tc>
      </w:tr>
      <w:tr w:rsidR="004B3212" w14:paraId="42B5AF43" w14:textId="77777777" w:rsidTr="0C1E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14:paraId="42465782" w14:textId="77777777" w:rsidR="004B3212" w:rsidRPr="00D5015E" w:rsidRDefault="004B3212">
            <w:pPr>
              <w:jc w:val="center"/>
            </w:pPr>
          </w:p>
        </w:tc>
        <w:tc>
          <w:tcPr>
            <w:tcW w:w="6949" w:type="dxa"/>
          </w:tcPr>
          <w:p w14:paraId="66EB18F3" w14:textId="22A055B9" w:rsidR="00B14BB6" w:rsidRDefault="00B1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Information about examination moved to a new section. </w:t>
            </w:r>
          </w:p>
          <w:p w14:paraId="0AE747B3" w14:textId="77777777" w:rsidR="00B14BB6" w:rsidRDefault="00B1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97F101" w14:textId="6C1E2745" w:rsidR="004B3212" w:rsidRPr="00D5015E" w:rsidRDefault="004B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15E">
              <w:t xml:space="preserve">This section contains </w:t>
            </w:r>
            <w:r w:rsidR="00017E4C">
              <w:t>revised</w:t>
            </w:r>
            <w:r w:rsidRPr="00D5015E">
              <w:t xml:space="preserve"> or new text about: </w:t>
            </w:r>
          </w:p>
          <w:p w14:paraId="23057C32" w14:textId="2BFAE101" w:rsidR="004B3212" w:rsidRPr="00D5015E" w:rsidRDefault="003310F5" w:rsidP="004B321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providing greater clarity on the circumstances </w:t>
            </w:r>
            <w:r w:rsidR="009131F8">
              <w:t xml:space="preserve">which give rise to an </w:t>
            </w:r>
            <w:proofErr w:type="gramStart"/>
            <w:r w:rsidR="009131F8">
              <w:t>examination</w:t>
            </w:r>
            <w:proofErr w:type="gramEnd"/>
            <w:r w:rsidR="009131F8">
              <w:t xml:space="preserve"> </w:t>
            </w:r>
          </w:p>
          <w:p w14:paraId="247A52EC" w14:textId="06B5F32F" w:rsidR="004B3212" w:rsidRPr="00D5015E" w:rsidRDefault="009131F8" w:rsidP="004B321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articulating the </w:t>
            </w:r>
            <w:r w:rsidR="00581837">
              <w:t>o</w:t>
            </w:r>
            <w:r w:rsidR="004B3212">
              <w:t xml:space="preserve">bjective of an examination </w:t>
            </w:r>
          </w:p>
          <w:p w14:paraId="57DC8A62" w14:textId="5453033C" w:rsidR="004B3212" w:rsidRPr="00D5015E" w:rsidRDefault="009131F8" w:rsidP="00D1583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="00876652">
              <w:t>ow information will be sought and used from the part</w:t>
            </w:r>
            <w:r w:rsidR="00D1583F">
              <w:t xml:space="preserve">ies and external sources, including steps to ensure procedural fairness </w:t>
            </w:r>
            <w:r w:rsidR="007816C8">
              <w:t xml:space="preserve"> </w:t>
            </w:r>
          </w:p>
        </w:tc>
      </w:tr>
      <w:tr w:rsidR="004B3212" w14:paraId="6C60AE05" w14:textId="77777777" w:rsidTr="0C1E7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shd w:val="clear" w:color="auto" w:fill="B3FFEE" w:themeFill="accent3" w:themeFillTint="33"/>
          </w:tcPr>
          <w:p w14:paraId="4F117920" w14:textId="20ED8646" w:rsidR="004B3212" w:rsidRPr="00B365A3" w:rsidRDefault="00B365A3" w:rsidP="00B365A3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  <w:r w:rsidR="004B3212" w:rsidRPr="00B365A3">
              <w:rPr>
                <w:b/>
                <w:bCs/>
                <w:sz w:val="28"/>
                <w:szCs w:val="28"/>
              </w:rPr>
              <w:t xml:space="preserve">Final statement </w:t>
            </w:r>
          </w:p>
        </w:tc>
      </w:tr>
      <w:tr w:rsidR="004B3212" w14:paraId="27692201" w14:textId="77777777" w:rsidTr="0C1E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14:paraId="5400D726" w14:textId="77777777" w:rsidR="004B3212" w:rsidRDefault="004B3212">
            <w:pPr>
              <w:jc w:val="center"/>
            </w:pPr>
          </w:p>
        </w:tc>
        <w:tc>
          <w:tcPr>
            <w:tcW w:w="6949" w:type="dxa"/>
          </w:tcPr>
          <w:p w14:paraId="3F4AA4D9" w14:textId="6EBC1C10" w:rsidR="004B3212" w:rsidRDefault="004B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15E">
              <w:t xml:space="preserve">This section contains </w:t>
            </w:r>
            <w:r w:rsidR="00017E4C">
              <w:t>revised</w:t>
            </w:r>
            <w:r w:rsidRPr="00D5015E">
              <w:t xml:space="preserve"> or new text about: </w:t>
            </w:r>
          </w:p>
          <w:p w14:paraId="2DA2DCB8" w14:textId="4025EC40" w:rsidR="004B3212" w:rsidRDefault="00364965" w:rsidP="004B321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</w:t>
            </w:r>
            <w:r w:rsidR="004B3212">
              <w:t xml:space="preserve">urpose and content of </w:t>
            </w:r>
            <w:r>
              <w:t>a</w:t>
            </w:r>
            <w:r w:rsidR="004B3212">
              <w:t xml:space="preserve"> final statement  </w:t>
            </w:r>
          </w:p>
          <w:p w14:paraId="5BFA480C" w14:textId="5A9BB56F" w:rsidR="004B3212" w:rsidRDefault="00D7054A" w:rsidP="004B321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clear articulation of </w:t>
            </w:r>
            <w:r w:rsidR="003C10F4">
              <w:t>p</w:t>
            </w:r>
            <w:r w:rsidR="004B3212">
              <w:t xml:space="preserve">rocedural fairness </w:t>
            </w:r>
            <w:r>
              <w:t xml:space="preserve">elements </w:t>
            </w:r>
            <w:r w:rsidR="004B3212">
              <w:t xml:space="preserve">– </w:t>
            </w:r>
            <w:r w:rsidR="003C10F4">
              <w:t>i</w:t>
            </w:r>
            <w:r w:rsidR="004B3212">
              <w:t xml:space="preserve">nformation shared between parties and information used by the </w:t>
            </w:r>
            <w:proofErr w:type="gramStart"/>
            <w:r w:rsidR="004B3212">
              <w:t>Examiner</w:t>
            </w:r>
            <w:proofErr w:type="gramEnd"/>
          </w:p>
          <w:p w14:paraId="555E8D8C" w14:textId="165FEEA6" w:rsidR="004B3212" w:rsidRPr="008D5917" w:rsidRDefault="003C10F4" w:rsidP="004B321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="004B3212">
              <w:t>hen a final statement will be drafted</w:t>
            </w:r>
          </w:p>
        </w:tc>
      </w:tr>
      <w:tr w:rsidR="004B3212" w14:paraId="4A848DC9" w14:textId="77777777" w:rsidTr="0C1E7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shd w:val="clear" w:color="auto" w:fill="B3FFEE" w:themeFill="accent3" w:themeFillTint="33"/>
          </w:tcPr>
          <w:p w14:paraId="074A5AA8" w14:textId="6ECD6678" w:rsidR="004B3212" w:rsidRPr="00B365A3" w:rsidRDefault="00C84634" w:rsidP="00C84634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8. </w:t>
            </w:r>
            <w:r w:rsidR="004B3212" w:rsidRPr="00B365A3">
              <w:rPr>
                <w:b/>
                <w:bCs/>
                <w:sz w:val="28"/>
                <w:szCs w:val="28"/>
              </w:rPr>
              <w:t xml:space="preserve">Case follow up </w:t>
            </w:r>
          </w:p>
        </w:tc>
      </w:tr>
      <w:tr w:rsidR="004B3212" w14:paraId="6697EB5D" w14:textId="77777777" w:rsidTr="0C1E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14:paraId="5A403F0B" w14:textId="77777777" w:rsidR="004B3212" w:rsidRDefault="004B3212">
            <w:pPr>
              <w:jc w:val="center"/>
            </w:pPr>
          </w:p>
        </w:tc>
        <w:tc>
          <w:tcPr>
            <w:tcW w:w="6949" w:type="dxa"/>
          </w:tcPr>
          <w:p w14:paraId="6DBF7FD4" w14:textId="2B9C9113" w:rsidR="004B3212" w:rsidRPr="00FA652D" w:rsidRDefault="004B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52D">
              <w:t>Updates to the Examiner</w:t>
            </w:r>
            <w:r>
              <w:t>’</w:t>
            </w:r>
            <w:r w:rsidRPr="00FA652D">
              <w:t xml:space="preserve">s role in the follow up process </w:t>
            </w:r>
          </w:p>
        </w:tc>
      </w:tr>
      <w:tr w:rsidR="004B3212" w14:paraId="7AE3781E" w14:textId="77777777" w:rsidTr="0C1E7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shd w:val="clear" w:color="auto" w:fill="B3FFEE" w:themeFill="accent3" w:themeFillTint="33"/>
          </w:tcPr>
          <w:p w14:paraId="6D2D38A8" w14:textId="77777777" w:rsidR="004B3212" w:rsidRPr="00EB5476" w:rsidRDefault="004B3212" w:rsidP="00C84634">
            <w:pPr>
              <w:jc w:val="left"/>
              <w:rPr>
                <w:b/>
                <w:bCs/>
                <w:sz w:val="28"/>
                <w:szCs w:val="28"/>
                <w:highlight w:val="yellow"/>
              </w:rPr>
            </w:pPr>
            <w:r w:rsidRPr="00EB5476">
              <w:rPr>
                <w:b/>
                <w:bCs/>
                <w:sz w:val="28"/>
                <w:szCs w:val="28"/>
              </w:rPr>
              <w:t>9. Procedural review</w:t>
            </w:r>
          </w:p>
        </w:tc>
      </w:tr>
      <w:tr w:rsidR="004B3212" w14:paraId="5C01C228" w14:textId="77777777" w:rsidTr="0C1E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14:paraId="0384171B" w14:textId="77777777" w:rsidR="004B3212" w:rsidRDefault="004B3212"/>
        </w:tc>
        <w:tc>
          <w:tcPr>
            <w:tcW w:w="6949" w:type="dxa"/>
          </w:tcPr>
          <w:p w14:paraId="7D771230" w14:textId="1D5365E9" w:rsidR="004B3212" w:rsidRPr="00D86C7E" w:rsidRDefault="004B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86C7E">
              <w:t xml:space="preserve">Edits that clarify Procedural Review process and the </w:t>
            </w:r>
            <w:r w:rsidR="00D1583F">
              <w:t xml:space="preserve">distinct </w:t>
            </w:r>
            <w:r w:rsidRPr="00D86C7E">
              <w:t xml:space="preserve">roles of the </w:t>
            </w:r>
            <w:r w:rsidR="00FE21C3">
              <w:t>AusNCP</w:t>
            </w:r>
            <w:r w:rsidRPr="00D86C7E">
              <w:t xml:space="preserve"> Secretariat and Examiner</w:t>
            </w:r>
          </w:p>
        </w:tc>
      </w:tr>
      <w:tr w:rsidR="004B3212" w14:paraId="0808B0DF" w14:textId="77777777" w:rsidTr="0C1E7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shd w:val="clear" w:color="auto" w:fill="B3FFEE" w:themeFill="accent3" w:themeFillTint="33"/>
          </w:tcPr>
          <w:p w14:paraId="4A826926" w14:textId="77777777" w:rsidR="004B3212" w:rsidRPr="00DB6746" w:rsidRDefault="004B3212" w:rsidP="00C84634">
            <w:pPr>
              <w:jc w:val="left"/>
              <w:rPr>
                <w:b/>
                <w:bCs/>
                <w:highlight w:val="yellow"/>
              </w:rPr>
            </w:pPr>
            <w:r w:rsidRPr="00EF4738">
              <w:rPr>
                <w:b/>
                <w:sz w:val="28"/>
                <w:szCs w:val="28"/>
              </w:rPr>
              <w:t>10. Timing</w:t>
            </w:r>
          </w:p>
        </w:tc>
      </w:tr>
      <w:tr w:rsidR="004B3212" w14:paraId="263D876F" w14:textId="77777777" w:rsidTr="0C1E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14:paraId="50761B39" w14:textId="77777777" w:rsidR="004B3212" w:rsidRDefault="004B3212"/>
        </w:tc>
        <w:tc>
          <w:tcPr>
            <w:tcW w:w="6949" w:type="dxa"/>
          </w:tcPr>
          <w:p w14:paraId="5DFF4D18" w14:textId="49EDA165" w:rsidR="004B3212" w:rsidRPr="00476AF3" w:rsidRDefault="00017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Revised</w:t>
            </w:r>
            <w:r w:rsidR="004B3212" w:rsidRPr="00476AF3">
              <w:t xml:space="preserve"> indicative timeframe table to align with OECD indicative timeframes </w:t>
            </w:r>
          </w:p>
        </w:tc>
      </w:tr>
      <w:tr w:rsidR="004B3212" w14:paraId="7D797279" w14:textId="77777777" w:rsidTr="0C1E7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shd w:val="clear" w:color="auto" w:fill="B3FFEE" w:themeFill="accent3" w:themeFillTint="33"/>
          </w:tcPr>
          <w:p w14:paraId="21816E84" w14:textId="77777777" w:rsidR="004B3212" w:rsidRPr="002A0EF2" w:rsidRDefault="004B3212" w:rsidP="00C84634">
            <w:pPr>
              <w:jc w:val="left"/>
              <w:rPr>
                <w:b/>
                <w:bCs/>
                <w:highlight w:val="yellow"/>
              </w:rPr>
            </w:pPr>
            <w:r w:rsidRPr="00EF4738">
              <w:rPr>
                <w:b/>
                <w:sz w:val="28"/>
                <w:szCs w:val="28"/>
              </w:rPr>
              <w:t>11. Confidentiality, transparency, and conflict of interest</w:t>
            </w:r>
          </w:p>
        </w:tc>
      </w:tr>
      <w:tr w:rsidR="004B3212" w14:paraId="7E00C595" w14:textId="77777777" w:rsidTr="0C1E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14:paraId="372998D3" w14:textId="77777777" w:rsidR="004B3212" w:rsidRDefault="004B3212"/>
        </w:tc>
        <w:tc>
          <w:tcPr>
            <w:tcW w:w="6949" w:type="dxa"/>
          </w:tcPr>
          <w:p w14:paraId="51D89CB6" w14:textId="65B657B1" w:rsidR="004B3212" w:rsidRPr="00CC799B" w:rsidRDefault="004B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CC799B">
              <w:t xml:space="preserve">New text </w:t>
            </w:r>
            <w:r w:rsidR="008C7D3F">
              <w:t xml:space="preserve">containing </w:t>
            </w:r>
            <w:r w:rsidR="00F41179">
              <w:t xml:space="preserve">more detail on </w:t>
            </w:r>
            <w:r w:rsidRPr="00CC799B">
              <w:t xml:space="preserve">conflict of </w:t>
            </w:r>
            <w:proofErr w:type="gramStart"/>
            <w:r w:rsidRPr="00CC799B">
              <w:t>interests</w:t>
            </w:r>
            <w:proofErr w:type="gramEnd"/>
            <w:r w:rsidRPr="00CC799B">
              <w:t xml:space="preserve"> frameworks for the AusNCP Governance and Advisory Board and Examiners.</w:t>
            </w:r>
          </w:p>
        </w:tc>
      </w:tr>
      <w:tr w:rsidR="004B3212" w:rsidRPr="00675F6F" w14:paraId="3272689B" w14:textId="77777777" w:rsidTr="0C1E7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shd w:val="clear" w:color="auto" w:fill="B3FFEE" w:themeFill="accent3" w:themeFillTint="33"/>
          </w:tcPr>
          <w:p w14:paraId="7EA8F2AA" w14:textId="265504AA" w:rsidR="004B3212" w:rsidRPr="00A30DCE" w:rsidRDefault="004B3212" w:rsidP="00C84634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12. </w:t>
            </w:r>
            <w:r w:rsidR="009E0DCC">
              <w:rPr>
                <w:b/>
                <w:bCs/>
                <w:sz w:val="28"/>
                <w:szCs w:val="28"/>
              </w:rPr>
              <w:t xml:space="preserve">Transitional Arrangements </w:t>
            </w:r>
          </w:p>
        </w:tc>
      </w:tr>
      <w:tr w:rsidR="004B3212" w14:paraId="4B9631AC" w14:textId="77777777" w:rsidTr="0C1E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14:paraId="6A23DE18" w14:textId="77777777" w:rsidR="004B3212" w:rsidRDefault="004B3212">
            <w:pPr>
              <w:jc w:val="left"/>
            </w:pPr>
          </w:p>
        </w:tc>
        <w:tc>
          <w:tcPr>
            <w:tcW w:w="6949" w:type="dxa"/>
          </w:tcPr>
          <w:p w14:paraId="575DFBEA" w14:textId="1D935C10" w:rsidR="004B3212" w:rsidRPr="0005616F" w:rsidRDefault="00E31D3A" w:rsidP="009E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Minimal changes to ensure clarity</w:t>
            </w:r>
          </w:p>
        </w:tc>
      </w:tr>
      <w:tr w:rsidR="004B3212" w:rsidRPr="00A30DCE" w14:paraId="0122967D" w14:textId="77777777" w:rsidTr="0C1E7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shd w:val="clear" w:color="auto" w:fill="B3FFEE" w:themeFill="accent3" w:themeFillTint="33"/>
          </w:tcPr>
          <w:p w14:paraId="5BFC8260" w14:textId="24932271" w:rsidR="004B3212" w:rsidRPr="00A30DCE" w:rsidRDefault="009E0DCC" w:rsidP="00C84634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 Glossary</w:t>
            </w:r>
          </w:p>
        </w:tc>
      </w:tr>
      <w:tr w:rsidR="004B3212" w14:paraId="2BD266A6" w14:textId="77777777" w:rsidTr="0C1E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14:paraId="26F3E552" w14:textId="77777777" w:rsidR="004B3212" w:rsidRDefault="004B3212"/>
        </w:tc>
        <w:tc>
          <w:tcPr>
            <w:tcW w:w="6949" w:type="dxa"/>
          </w:tcPr>
          <w:p w14:paraId="4EA2FB12" w14:textId="361E1448" w:rsidR="00EF4738" w:rsidRDefault="00EF4738" w:rsidP="009E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Moved to the end of the document.</w:t>
            </w:r>
          </w:p>
          <w:p w14:paraId="08910FA8" w14:textId="6AB75EB0" w:rsidR="009E0DCC" w:rsidRDefault="009E0DCC" w:rsidP="009E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New or </w:t>
            </w:r>
            <w:r w:rsidR="00017E4C">
              <w:t>revised</w:t>
            </w:r>
            <w:r>
              <w:t xml:space="preserve"> definitions and descriptions for: </w:t>
            </w:r>
          </w:p>
          <w:p w14:paraId="40125010" w14:textId="77777777" w:rsidR="009E0DCC" w:rsidRDefault="009E0DCC" w:rsidP="009E0DC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AusNCP </w:t>
            </w:r>
          </w:p>
          <w:p w14:paraId="199639DA" w14:textId="77777777" w:rsidR="009E0DCC" w:rsidRDefault="009E0DCC" w:rsidP="009E0DC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Examination </w:t>
            </w:r>
          </w:p>
          <w:p w14:paraId="333610FA" w14:textId="77777777" w:rsidR="009E0DCC" w:rsidRDefault="009E0DCC" w:rsidP="009E0DC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Good faith </w:t>
            </w:r>
          </w:p>
          <w:p w14:paraId="14BCAC60" w14:textId="77777777" w:rsidR="009E0DCC" w:rsidRDefault="009E0DCC" w:rsidP="009E0DC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Notifier </w:t>
            </w:r>
          </w:p>
          <w:p w14:paraId="57FFB5FD" w14:textId="77777777" w:rsidR="004B3212" w:rsidRDefault="009E0DCC" w:rsidP="009E0DC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OCED Guidelines for Multinational Enterprises on Responsible Business Conduct</w:t>
            </w:r>
          </w:p>
          <w:p w14:paraId="75B13F32" w14:textId="5ED0AAF7" w:rsidR="004B3212" w:rsidRPr="00CC509D" w:rsidRDefault="00476903" w:rsidP="009E0DC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Due Diligence</w:t>
            </w:r>
          </w:p>
        </w:tc>
      </w:tr>
      <w:tr w:rsidR="009E0DCC" w:rsidRPr="00A30DCE" w14:paraId="72A3D74D" w14:textId="77777777" w:rsidTr="0C1E7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shd w:val="clear" w:color="auto" w:fill="B3FFEE" w:themeFill="accent3" w:themeFillTint="33"/>
          </w:tcPr>
          <w:p w14:paraId="6DC67C84" w14:textId="5FE64E84" w:rsidR="009E0DCC" w:rsidRPr="00A30DCE" w:rsidRDefault="009E0DCC">
            <w:pPr>
              <w:jc w:val="left"/>
            </w:pPr>
            <w:r>
              <w:rPr>
                <w:b/>
                <w:bCs/>
                <w:sz w:val="28"/>
                <w:szCs w:val="28"/>
              </w:rPr>
              <w:t>Attachment A – AusNCP Complaint handling Procedures</w:t>
            </w:r>
          </w:p>
        </w:tc>
      </w:tr>
      <w:tr w:rsidR="009E0DCC" w:rsidRPr="00855E96" w14:paraId="46E612A9" w14:textId="77777777" w:rsidTr="0C1E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14:paraId="12878ED9" w14:textId="77777777" w:rsidR="009E0DCC" w:rsidRDefault="009E0DCC">
            <w:pPr>
              <w:jc w:val="left"/>
            </w:pPr>
          </w:p>
        </w:tc>
        <w:tc>
          <w:tcPr>
            <w:tcW w:w="6949" w:type="dxa"/>
          </w:tcPr>
          <w:p w14:paraId="757FE7A1" w14:textId="569EDA02" w:rsidR="009E0DCC" w:rsidRPr="00855E96" w:rsidRDefault="00453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Simpler diagram now included </w:t>
            </w:r>
            <w:r w:rsidR="00AD7E1B">
              <w:t>as an appendix</w:t>
            </w:r>
          </w:p>
        </w:tc>
      </w:tr>
    </w:tbl>
    <w:p w14:paraId="3100378A" w14:textId="77777777" w:rsidR="001E1E6F" w:rsidRDefault="001E1E6F"/>
    <w:sectPr w:rsidR="001E1E6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239C" w14:textId="77777777" w:rsidR="00604DDA" w:rsidRDefault="00604DDA" w:rsidP="00FF57F9">
      <w:pPr>
        <w:spacing w:after="0" w:line="240" w:lineRule="auto"/>
      </w:pPr>
      <w:r>
        <w:separator/>
      </w:r>
    </w:p>
  </w:endnote>
  <w:endnote w:type="continuationSeparator" w:id="0">
    <w:p w14:paraId="766DF6C7" w14:textId="77777777" w:rsidR="00604DDA" w:rsidRDefault="00604DDA" w:rsidP="00FF57F9">
      <w:pPr>
        <w:spacing w:after="0" w:line="240" w:lineRule="auto"/>
      </w:pPr>
      <w:r>
        <w:continuationSeparator/>
      </w:r>
    </w:p>
  </w:endnote>
  <w:endnote w:type="continuationNotice" w:id="1">
    <w:p w14:paraId="08F6B383" w14:textId="77777777" w:rsidR="00604DDA" w:rsidRDefault="00604D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0370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40DD45F" w14:textId="0415F67C" w:rsidR="00BA2C5F" w:rsidRDefault="00BA2C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AC3814" w14:textId="77777777" w:rsidR="00BA2C5F" w:rsidRDefault="00BA2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DD41" w14:textId="77777777" w:rsidR="00604DDA" w:rsidRDefault="00604DDA" w:rsidP="00FF57F9">
      <w:pPr>
        <w:spacing w:after="0" w:line="240" w:lineRule="auto"/>
      </w:pPr>
      <w:r>
        <w:separator/>
      </w:r>
    </w:p>
  </w:footnote>
  <w:footnote w:type="continuationSeparator" w:id="0">
    <w:p w14:paraId="6A0856D8" w14:textId="77777777" w:rsidR="00604DDA" w:rsidRDefault="00604DDA" w:rsidP="00FF57F9">
      <w:pPr>
        <w:spacing w:after="0" w:line="240" w:lineRule="auto"/>
      </w:pPr>
      <w:r>
        <w:continuationSeparator/>
      </w:r>
    </w:p>
  </w:footnote>
  <w:footnote w:type="continuationNotice" w:id="1">
    <w:p w14:paraId="458E8776" w14:textId="77777777" w:rsidR="00604DDA" w:rsidRDefault="00604D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CEAC" w14:textId="5BD98AC1" w:rsidR="00FF57F9" w:rsidRDefault="00FF57F9">
    <w:pPr>
      <w:pStyle w:val="Header"/>
    </w:pPr>
    <w:r>
      <w:rPr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43ACEBC6" wp14:editId="0BC9F8D2">
          <wp:simplePos x="0" y="0"/>
          <wp:positionH relativeFrom="page">
            <wp:posOffset>914400</wp:posOffset>
          </wp:positionH>
          <wp:positionV relativeFrom="page">
            <wp:posOffset>620395</wp:posOffset>
          </wp:positionV>
          <wp:extent cx="7588800" cy="1915200"/>
          <wp:effectExtent l="0" t="0" r="0" b="889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9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48D"/>
    <w:multiLevelType w:val="hybridMultilevel"/>
    <w:tmpl w:val="0B38DB2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1CFE"/>
    <w:multiLevelType w:val="hybridMultilevel"/>
    <w:tmpl w:val="A30CA1BC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17B6"/>
    <w:multiLevelType w:val="hybridMultilevel"/>
    <w:tmpl w:val="83D64B5E"/>
    <w:lvl w:ilvl="0" w:tplc="04D4AD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5BCE"/>
    <w:multiLevelType w:val="hybridMultilevel"/>
    <w:tmpl w:val="543E649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43D3D"/>
    <w:multiLevelType w:val="hybridMultilevel"/>
    <w:tmpl w:val="55D2AAFA"/>
    <w:lvl w:ilvl="0" w:tplc="5B08C4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F1C88"/>
    <w:multiLevelType w:val="hybridMultilevel"/>
    <w:tmpl w:val="FEEAEEE6"/>
    <w:lvl w:ilvl="0" w:tplc="59FA4414">
      <w:start w:val="20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2D4D"/>
    <w:multiLevelType w:val="hybridMultilevel"/>
    <w:tmpl w:val="9F224FCC"/>
    <w:lvl w:ilvl="0" w:tplc="5E487A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D44F4"/>
    <w:multiLevelType w:val="hybridMultilevel"/>
    <w:tmpl w:val="ED3CD4B0"/>
    <w:lvl w:ilvl="0" w:tplc="29E0CCA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2DC8"/>
    <w:multiLevelType w:val="hybridMultilevel"/>
    <w:tmpl w:val="B9CAE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489464">
    <w:abstractNumId w:val="2"/>
  </w:num>
  <w:num w:numId="2" w16cid:durableId="1690176016">
    <w:abstractNumId w:val="4"/>
  </w:num>
  <w:num w:numId="3" w16cid:durableId="1149783505">
    <w:abstractNumId w:val="7"/>
  </w:num>
  <w:num w:numId="4" w16cid:durableId="2070182455">
    <w:abstractNumId w:val="8"/>
  </w:num>
  <w:num w:numId="5" w16cid:durableId="44374418">
    <w:abstractNumId w:val="5"/>
  </w:num>
  <w:num w:numId="6" w16cid:durableId="403458062">
    <w:abstractNumId w:val="6"/>
  </w:num>
  <w:num w:numId="7" w16cid:durableId="1135951706">
    <w:abstractNumId w:val="3"/>
  </w:num>
  <w:num w:numId="8" w16cid:durableId="2091734134">
    <w:abstractNumId w:val="0"/>
  </w:num>
  <w:num w:numId="9" w16cid:durableId="669407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F9"/>
    <w:rsid w:val="00006449"/>
    <w:rsid w:val="0001133F"/>
    <w:rsid w:val="00015862"/>
    <w:rsid w:val="00017E4C"/>
    <w:rsid w:val="00024216"/>
    <w:rsid w:val="0002442F"/>
    <w:rsid w:val="000346D2"/>
    <w:rsid w:val="00035D01"/>
    <w:rsid w:val="0004508C"/>
    <w:rsid w:val="00055AD1"/>
    <w:rsid w:val="0006023F"/>
    <w:rsid w:val="00070652"/>
    <w:rsid w:val="000729DF"/>
    <w:rsid w:val="00091197"/>
    <w:rsid w:val="000951FA"/>
    <w:rsid w:val="0009647F"/>
    <w:rsid w:val="000A4C1A"/>
    <w:rsid w:val="000A75B6"/>
    <w:rsid w:val="000B3FB1"/>
    <w:rsid w:val="000C0167"/>
    <w:rsid w:val="000C07BA"/>
    <w:rsid w:val="000C69FF"/>
    <w:rsid w:val="000C7D28"/>
    <w:rsid w:val="000D170A"/>
    <w:rsid w:val="000D2DEA"/>
    <w:rsid w:val="000D34FC"/>
    <w:rsid w:val="000D6384"/>
    <w:rsid w:val="000F0C35"/>
    <w:rsid w:val="000F5719"/>
    <w:rsid w:val="00101B83"/>
    <w:rsid w:val="00103891"/>
    <w:rsid w:val="001244E7"/>
    <w:rsid w:val="001250D8"/>
    <w:rsid w:val="00125E07"/>
    <w:rsid w:val="00131CED"/>
    <w:rsid w:val="0014227D"/>
    <w:rsid w:val="00142686"/>
    <w:rsid w:val="00143DAB"/>
    <w:rsid w:val="0014519E"/>
    <w:rsid w:val="00152DA0"/>
    <w:rsid w:val="001541C4"/>
    <w:rsid w:val="001611BC"/>
    <w:rsid w:val="001770EC"/>
    <w:rsid w:val="0017768E"/>
    <w:rsid w:val="00184FB1"/>
    <w:rsid w:val="00187361"/>
    <w:rsid w:val="00192752"/>
    <w:rsid w:val="00194D59"/>
    <w:rsid w:val="001950D8"/>
    <w:rsid w:val="001975E3"/>
    <w:rsid w:val="001A2163"/>
    <w:rsid w:val="001A3179"/>
    <w:rsid w:val="001A666E"/>
    <w:rsid w:val="001A69D2"/>
    <w:rsid w:val="001B20D6"/>
    <w:rsid w:val="001C030B"/>
    <w:rsid w:val="001C1CAA"/>
    <w:rsid w:val="001C2E44"/>
    <w:rsid w:val="001D0E90"/>
    <w:rsid w:val="001E1E6F"/>
    <w:rsid w:val="001F0DBE"/>
    <w:rsid w:val="001F2BD2"/>
    <w:rsid w:val="001F40A3"/>
    <w:rsid w:val="001F5539"/>
    <w:rsid w:val="002043A6"/>
    <w:rsid w:val="002125D1"/>
    <w:rsid w:val="00214F72"/>
    <w:rsid w:val="00216158"/>
    <w:rsid w:val="00220C20"/>
    <w:rsid w:val="002224CA"/>
    <w:rsid w:val="002244C7"/>
    <w:rsid w:val="002317C5"/>
    <w:rsid w:val="0023335C"/>
    <w:rsid w:val="0024087B"/>
    <w:rsid w:val="00243508"/>
    <w:rsid w:val="002437C7"/>
    <w:rsid w:val="0024669A"/>
    <w:rsid w:val="002510F1"/>
    <w:rsid w:val="00251C76"/>
    <w:rsid w:val="00254A76"/>
    <w:rsid w:val="00260A44"/>
    <w:rsid w:val="00262197"/>
    <w:rsid w:val="0026724D"/>
    <w:rsid w:val="002672CE"/>
    <w:rsid w:val="0027002F"/>
    <w:rsid w:val="00272C66"/>
    <w:rsid w:val="00280B44"/>
    <w:rsid w:val="00285C68"/>
    <w:rsid w:val="00290FA9"/>
    <w:rsid w:val="00292AA8"/>
    <w:rsid w:val="00292E4E"/>
    <w:rsid w:val="00296274"/>
    <w:rsid w:val="00296A34"/>
    <w:rsid w:val="002A0EF2"/>
    <w:rsid w:val="002A1735"/>
    <w:rsid w:val="002B22D6"/>
    <w:rsid w:val="002C0729"/>
    <w:rsid w:val="002C5D52"/>
    <w:rsid w:val="002D1821"/>
    <w:rsid w:val="002D43FE"/>
    <w:rsid w:val="002D53DB"/>
    <w:rsid w:val="002E7C03"/>
    <w:rsid w:val="002F27F8"/>
    <w:rsid w:val="002F4540"/>
    <w:rsid w:val="0030167E"/>
    <w:rsid w:val="00306E3F"/>
    <w:rsid w:val="003278D7"/>
    <w:rsid w:val="00330B7C"/>
    <w:rsid w:val="003310F5"/>
    <w:rsid w:val="00333989"/>
    <w:rsid w:val="0034282E"/>
    <w:rsid w:val="003539DE"/>
    <w:rsid w:val="00364965"/>
    <w:rsid w:val="00370E31"/>
    <w:rsid w:val="00374029"/>
    <w:rsid w:val="003755FE"/>
    <w:rsid w:val="0038359A"/>
    <w:rsid w:val="00385F19"/>
    <w:rsid w:val="003B1A00"/>
    <w:rsid w:val="003B33DC"/>
    <w:rsid w:val="003B690E"/>
    <w:rsid w:val="003B69FC"/>
    <w:rsid w:val="003C00A5"/>
    <w:rsid w:val="003C0843"/>
    <w:rsid w:val="003C10F4"/>
    <w:rsid w:val="003C14CA"/>
    <w:rsid w:val="003C33F4"/>
    <w:rsid w:val="003C48FB"/>
    <w:rsid w:val="003C49C8"/>
    <w:rsid w:val="003C5103"/>
    <w:rsid w:val="003D0084"/>
    <w:rsid w:val="003E2FFE"/>
    <w:rsid w:val="003E3836"/>
    <w:rsid w:val="003E56B1"/>
    <w:rsid w:val="003E59B6"/>
    <w:rsid w:val="003E6773"/>
    <w:rsid w:val="003F035F"/>
    <w:rsid w:val="003F1C27"/>
    <w:rsid w:val="003F2DE3"/>
    <w:rsid w:val="00402D22"/>
    <w:rsid w:val="00412ECD"/>
    <w:rsid w:val="0041767F"/>
    <w:rsid w:val="00417921"/>
    <w:rsid w:val="00427F0A"/>
    <w:rsid w:val="00437964"/>
    <w:rsid w:val="00444535"/>
    <w:rsid w:val="00450ECD"/>
    <w:rsid w:val="00451C9F"/>
    <w:rsid w:val="00453675"/>
    <w:rsid w:val="00453716"/>
    <w:rsid w:val="00455F13"/>
    <w:rsid w:val="00456A73"/>
    <w:rsid w:val="00462DD5"/>
    <w:rsid w:val="0047128D"/>
    <w:rsid w:val="00472E12"/>
    <w:rsid w:val="00476903"/>
    <w:rsid w:val="00485085"/>
    <w:rsid w:val="00492574"/>
    <w:rsid w:val="00492D41"/>
    <w:rsid w:val="004A5BD6"/>
    <w:rsid w:val="004A63A3"/>
    <w:rsid w:val="004B3212"/>
    <w:rsid w:val="004B60FE"/>
    <w:rsid w:val="004D3B85"/>
    <w:rsid w:val="004D5EA8"/>
    <w:rsid w:val="004E38D1"/>
    <w:rsid w:val="004F7BB8"/>
    <w:rsid w:val="005010A1"/>
    <w:rsid w:val="0050776F"/>
    <w:rsid w:val="005127D2"/>
    <w:rsid w:val="00513234"/>
    <w:rsid w:val="00525E5F"/>
    <w:rsid w:val="00534FF7"/>
    <w:rsid w:val="00545751"/>
    <w:rsid w:val="00547006"/>
    <w:rsid w:val="00552F33"/>
    <w:rsid w:val="00553373"/>
    <w:rsid w:val="00554839"/>
    <w:rsid w:val="00557DDF"/>
    <w:rsid w:val="005643B3"/>
    <w:rsid w:val="00581837"/>
    <w:rsid w:val="005861E5"/>
    <w:rsid w:val="005967AA"/>
    <w:rsid w:val="005976FD"/>
    <w:rsid w:val="005A1C52"/>
    <w:rsid w:val="005A3C1A"/>
    <w:rsid w:val="005B1DDC"/>
    <w:rsid w:val="005B50FA"/>
    <w:rsid w:val="005C4062"/>
    <w:rsid w:val="005D09F2"/>
    <w:rsid w:val="005D5E8B"/>
    <w:rsid w:val="005E134D"/>
    <w:rsid w:val="005E7B7A"/>
    <w:rsid w:val="0060289A"/>
    <w:rsid w:val="00603351"/>
    <w:rsid w:val="00604B9E"/>
    <w:rsid w:val="00604DDA"/>
    <w:rsid w:val="0060772B"/>
    <w:rsid w:val="00607A0C"/>
    <w:rsid w:val="00613693"/>
    <w:rsid w:val="00613F00"/>
    <w:rsid w:val="00617F1B"/>
    <w:rsid w:val="00630BD0"/>
    <w:rsid w:val="00633CC9"/>
    <w:rsid w:val="00633CCF"/>
    <w:rsid w:val="00644452"/>
    <w:rsid w:val="00646D76"/>
    <w:rsid w:val="00652B78"/>
    <w:rsid w:val="00654BDA"/>
    <w:rsid w:val="00657BF3"/>
    <w:rsid w:val="00675F6F"/>
    <w:rsid w:val="00677D00"/>
    <w:rsid w:val="00682385"/>
    <w:rsid w:val="00696098"/>
    <w:rsid w:val="006A456E"/>
    <w:rsid w:val="006A6C51"/>
    <w:rsid w:val="006D14AC"/>
    <w:rsid w:val="006D1938"/>
    <w:rsid w:val="006D583E"/>
    <w:rsid w:val="006F244C"/>
    <w:rsid w:val="006F2714"/>
    <w:rsid w:val="006F338D"/>
    <w:rsid w:val="006F67AE"/>
    <w:rsid w:val="0070444F"/>
    <w:rsid w:val="00707D78"/>
    <w:rsid w:val="007133E5"/>
    <w:rsid w:val="0072685C"/>
    <w:rsid w:val="00726A89"/>
    <w:rsid w:val="00733CCA"/>
    <w:rsid w:val="00757CB1"/>
    <w:rsid w:val="007634E1"/>
    <w:rsid w:val="00775B63"/>
    <w:rsid w:val="00776AEA"/>
    <w:rsid w:val="007816C8"/>
    <w:rsid w:val="0078190D"/>
    <w:rsid w:val="00781FB1"/>
    <w:rsid w:val="00790898"/>
    <w:rsid w:val="007920E9"/>
    <w:rsid w:val="007923BB"/>
    <w:rsid w:val="0079273F"/>
    <w:rsid w:val="0079519F"/>
    <w:rsid w:val="007967DB"/>
    <w:rsid w:val="007B06F0"/>
    <w:rsid w:val="007B40A9"/>
    <w:rsid w:val="007B4AA1"/>
    <w:rsid w:val="007C0258"/>
    <w:rsid w:val="007C5F00"/>
    <w:rsid w:val="007D2170"/>
    <w:rsid w:val="007D3334"/>
    <w:rsid w:val="007E0FAD"/>
    <w:rsid w:val="007E3E8C"/>
    <w:rsid w:val="007F20AB"/>
    <w:rsid w:val="007F31AB"/>
    <w:rsid w:val="007F6EA9"/>
    <w:rsid w:val="0080434B"/>
    <w:rsid w:val="008066BA"/>
    <w:rsid w:val="00815ADF"/>
    <w:rsid w:val="00816144"/>
    <w:rsid w:val="00817B43"/>
    <w:rsid w:val="00823C14"/>
    <w:rsid w:val="00824391"/>
    <w:rsid w:val="008259CC"/>
    <w:rsid w:val="00826B10"/>
    <w:rsid w:val="00834412"/>
    <w:rsid w:val="00834A77"/>
    <w:rsid w:val="0085340A"/>
    <w:rsid w:val="00854088"/>
    <w:rsid w:val="00860362"/>
    <w:rsid w:val="00864538"/>
    <w:rsid w:val="00872B11"/>
    <w:rsid w:val="00874317"/>
    <w:rsid w:val="00876419"/>
    <w:rsid w:val="00876652"/>
    <w:rsid w:val="00877A06"/>
    <w:rsid w:val="00882C98"/>
    <w:rsid w:val="00891BD6"/>
    <w:rsid w:val="00891E59"/>
    <w:rsid w:val="00897079"/>
    <w:rsid w:val="008A7BBA"/>
    <w:rsid w:val="008B7B5E"/>
    <w:rsid w:val="008C779A"/>
    <w:rsid w:val="008C7D3F"/>
    <w:rsid w:val="008D0013"/>
    <w:rsid w:val="008D4CC0"/>
    <w:rsid w:val="008E658C"/>
    <w:rsid w:val="008E7A71"/>
    <w:rsid w:val="008F3E80"/>
    <w:rsid w:val="008F7E09"/>
    <w:rsid w:val="00901BA1"/>
    <w:rsid w:val="00905FD7"/>
    <w:rsid w:val="00907142"/>
    <w:rsid w:val="00910AAF"/>
    <w:rsid w:val="00911737"/>
    <w:rsid w:val="00911BAC"/>
    <w:rsid w:val="00911D95"/>
    <w:rsid w:val="00912315"/>
    <w:rsid w:val="00912376"/>
    <w:rsid w:val="009131F8"/>
    <w:rsid w:val="009204CE"/>
    <w:rsid w:val="00931FF1"/>
    <w:rsid w:val="00932CB9"/>
    <w:rsid w:val="0094336A"/>
    <w:rsid w:val="00951901"/>
    <w:rsid w:val="0095395C"/>
    <w:rsid w:val="00955DC6"/>
    <w:rsid w:val="009612C2"/>
    <w:rsid w:val="00962C36"/>
    <w:rsid w:val="00967356"/>
    <w:rsid w:val="0097272F"/>
    <w:rsid w:val="00972AC5"/>
    <w:rsid w:val="009823F7"/>
    <w:rsid w:val="00985544"/>
    <w:rsid w:val="0099024F"/>
    <w:rsid w:val="009941EC"/>
    <w:rsid w:val="009A60BC"/>
    <w:rsid w:val="009C087A"/>
    <w:rsid w:val="009C2412"/>
    <w:rsid w:val="009D1D50"/>
    <w:rsid w:val="009D5103"/>
    <w:rsid w:val="009E0DCC"/>
    <w:rsid w:val="009F1E4D"/>
    <w:rsid w:val="009F573E"/>
    <w:rsid w:val="009F7B6D"/>
    <w:rsid w:val="009F7DCE"/>
    <w:rsid w:val="00A00A72"/>
    <w:rsid w:val="00A0778E"/>
    <w:rsid w:val="00A139A5"/>
    <w:rsid w:val="00A15A1F"/>
    <w:rsid w:val="00A167EC"/>
    <w:rsid w:val="00A17F19"/>
    <w:rsid w:val="00A2726C"/>
    <w:rsid w:val="00A41174"/>
    <w:rsid w:val="00A430A9"/>
    <w:rsid w:val="00A434FA"/>
    <w:rsid w:val="00A45516"/>
    <w:rsid w:val="00A45895"/>
    <w:rsid w:val="00A519B8"/>
    <w:rsid w:val="00A617D5"/>
    <w:rsid w:val="00A72BC2"/>
    <w:rsid w:val="00A73BDD"/>
    <w:rsid w:val="00A85108"/>
    <w:rsid w:val="00A907B9"/>
    <w:rsid w:val="00A90BF0"/>
    <w:rsid w:val="00AA0A0C"/>
    <w:rsid w:val="00AA2529"/>
    <w:rsid w:val="00AA3078"/>
    <w:rsid w:val="00AB35CE"/>
    <w:rsid w:val="00AB5EF9"/>
    <w:rsid w:val="00AB5FCE"/>
    <w:rsid w:val="00AB6486"/>
    <w:rsid w:val="00AC22FA"/>
    <w:rsid w:val="00AD02C5"/>
    <w:rsid w:val="00AD07CC"/>
    <w:rsid w:val="00AD7E1B"/>
    <w:rsid w:val="00AF2B83"/>
    <w:rsid w:val="00AF34BF"/>
    <w:rsid w:val="00AF644F"/>
    <w:rsid w:val="00B138F2"/>
    <w:rsid w:val="00B140AA"/>
    <w:rsid w:val="00B14BB6"/>
    <w:rsid w:val="00B17B00"/>
    <w:rsid w:val="00B22198"/>
    <w:rsid w:val="00B27848"/>
    <w:rsid w:val="00B34804"/>
    <w:rsid w:val="00B365A3"/>
    <w:rsid w:val="00B37505"/>
    <w:rsid w:val="00B43928"/>
    <w:rsid w:val="00B53496"/>
    <w:rsid w:val="00B60CD5"/>
    <w:rsid w:val="00B657A4"/>
    <w:rsid w:val="00B77F6A"/>
    <w:rsid w:val="00B818BF"/>
    <w:rsid w:val="00B863B2"/>
    <w:rsid w:val="00B92CC7"/>
    <w:rsid w:val="00BA06B8"/>
    <w:rsid w:val="00BA1F46"/>
    <w:rsid w:val="00BA2C5F"/>
    <w:rsid w:val="00BB0A77"/>
    <w:rsid w:val="00BB5938"/>
    <w:rsid w:val="00BB7894"/>
    <w:rsid w:val="00BC10A8"/>
    <w:rsid w:val="00BC2263"/>
    <w:rsid w:val="00BC4DD2"/>
    <w:rsid w:val="00BC58DB"/>
    <w:rsid w:val="00BD3497"/>
    <w:rsid w:val="00BD61A1"/>
    <w:rsid w:val="00BE0623"/>
    <w:rsid w:val="00BE2694"/>
    <w:rsid w:val="00BE3E0C"/>
    <w:rsid w:val="00BE4E72"/>
    <w:rsid w:val="00BF6DB6"/>
    <w:rsid w:val="00C01B79"/>
    <w:rsid w:val="00C0224B"/>
    <w:rsid w:val="00C038F1"/>
    <w:rsid w:val="00C05CE3"/>
    <w:rsid w:val="00C13CD0"/>
    <w:rsid w:val="00C152B8"/>
    <w:rsid w:val="00C22DE3"/>
    <w:rsid w:val="00C32634"/>
    <w:rsid w:val="00C344FD"/>
    <w:rsid w:val="00C40FB2"/>
    <w:rsid w:val="00C434E2"/>
    <w:rsid w:val="00C435DA"/>
    <w:rsid w:val="00C441F3"/>
    <w:rsid w:val="00C45B87"/>
    <w:rsid w:val="00C474F8"/>
    <w:rsid w:val="00C50803"/>
    <w:rsid w:val="00C57E7F"/>
    <w:rsid w:val="00C61E94"/>
    <w:rsid w:val="00C620B7"/>
    <w:rsid w:val="00C758D6"/>
    <w:rsid w:val="00C76092"/>
    <w:rsid w:val="00C83DCB"/>
    <w:rsid w:val="00C84634"/>
    <w:rsid w:val="00C902BB"/>
    <w:rsid w:val="00C90CAB"/>
    <w:rsid w:val="00C90EE0"/>
    <w:rsid w:val="00C97737"/>
    <w:rsid w:val="00CA163E"/>
    <w:rsid w:val="00CC0748"/>
    <w:rsid w:val="00CC509D"/>
    <w:rsid w:val="00CD1EC8"/>
    <w:rsid w:val="00CD5D88"/>
    <w:rsid w:val="00CE0F32"/>
    <w:rsid w:val="00CE7969"/>
    <w:rsid w:val="00CF4839"/>
    <w:rsid w:val="00D00391"/>
    <w:rsid w:val="00D0087B"/>
    <w:rsid w:val="00D03DBC"/>
    <w:rsid w:val="00D05A8C"/>
    <w:rsid w:val="00D12E6C"/>
    <w:rsid w:val="00D12FCE"/>
    <w:rsid w:val="00D1445F"/>
    <w:rsid w:val="00D1583F"/>
    <w:rsid w:val="00D17EAF"/>
    <w:rsid w:val="00D20988"/>
    <w:rsid w:val="00D244F7"/>
    <w:rsid w:val="00D41614"/>
    <w:rsid w:val="00D44B92"/>
    <w:rsid w:val="00D479BA"/>
    <w:rsid w:val="00D51453"/>
    <w:rsid w:val="00D52683"/>
    <w:rsid w:val="00D578CF"/>
    <w:rsid w:val="00D6134B"/>
    <w:rsid w:val="00D66565"/>
    <w:rsid w:val="00D7054A"/>
    <w:rsid w:val="00D71BA1"/>
    <w:rsid w:val="00D74ECE"/>
    <w:rsid w:val="00D76D0A"/>
    <w:rsid w:val="00D85BA1"/>
    <w:rsid w:val="00D93C90"/>
    <w:rsid w:val="00D95C22"/>
    <w:rsid w:val="00DA2475"/>
    <w:rsid w:val="00DB0EBA"/>
    <w:rsid w:val="00DB1102"/>
    <w:rsid w:val="00DB2F46"/>
    <w:rsid w:val="00DB39FD"/>
    <w:rsid w:val="00DB6746"/>
    <w:rsid w:val="00DC4B1D"/>
    <w:rsid w:val="00DD2CE2"/>
    <w:rsid w:val="00DE070F"/>
    <w:rsid w:val="00DE25F3"/>
    <w:rsid w:val="00DE61AB"/>
    <w:rsid w:val="00DF13B8"/>
    <w:rsid w:val="00E007B8"/>
    <w:rsid w:val="00E149AD"/>
    <w:rsid w:val="00E1611A"/>
    <w:rsid w:val="00E31D3A"/>
    <w:rsid w:val="00E35255"/>
    <w:rsid w:val="00E36B48"/>
    <w:rsid w:val="00E36B88"/>
    <w:rsid w:val="00E5052F"/>
    <w:rsid w:val="00E55666"/>
    <w:rsid w:val="00E602F1"/>
    <w:rsid w:val="00E6503D"/>
    <w:rsid w:val="00E660E1"/>
    <w:rsid w:val="00E660E4"/>
    <w:rsid w:val="00E66BD6"/>
    <w:rsid w:val="00E70DB4"/>
    <w:rsid w:val="00E84B8C"/>
    <w:rsid w:val="00E91B85"/>
    <w:rsid w:val="00E97429"/>
    <w:rsid w:val="00EA184C"/>
    <w:rsid w:val="00EA544F"/>
    <w:rsid w:val="00EA6D9C"/>
    <w:rsid w:val="00EB147F"/>
    <w:rsid w:val="00EB5476"/>
    <w:rsid w:val="00EB6009"/>
    <w:rsid w:val="00EC0B74"/>
    <w:rsid w:val="00EC22B9"/>
    <w:rsid w:val="00ED14A0"/>
    <w:rsid w:val="00ED4E09"/>
    <w:rsid w:val="00EE2870"/>
    <w:rsid w:val="00EF03C8"/>
    <w:rsid w:val="00EF0C01"/>
    <w:rsid w:val="00EF33B6"/>
    <w:rsid w:val="00EF4738"/>
    <w:rsid w:val="00EF6F5E"/>
    <w:rsid w:val="00F0057D"/>
    <w:rsid w:val="00F03D38"/>
    <w:rsid w:val="00F04A9E"/>
    <w:rsid w:val="00F0713D"/>
    <w:rsid w:val="00F07E9F"/>
    <w:rsid w:val="00F14010"/>
    <w:rsid w:val="00F17E76"/>
    <w:rsid w:val="00F22A2A"/>
    <w:rsid w:val="00F2375F"/>
    <w:rsid w:val="00F33A21"/>
    <w:rsid w:val="00F41179"/>
    <w:rsid w:val="00F44F45"/>
    <w:rsid w:val="00F477BD"/>
    <w:rsid w:val="00F47B20"/>
    <w:rsid w:val="00F52BCB"/>
    <w:rsid w:val="00F55251"/>
    <w:rsid w:val="00F5559F"/>
    <w:rsid w:val="00F56C0C"/>
    <w:rsid w:val="00F626A2"/>
    <w:rsid w:val="00F654CA"/>
    <w:rsid w:val="00F70AE9"/>
    <w:rsid w:val="00F721D5"/>
    <w:rsid w:val="00F8061B"/>
    <w:rsid w:val="00F809D3"/>
    <w:rsid w:val="00F816D8"/>
    <w:rsid w:val="00F81B88"/>
    <w:rsid w:val="00F81CE2"/>
    <w:rsid w:val="00F848FB"/>
    <w:rsid w:val="00F87795"/>
    <w:rsid w:val="00F93B07"/>
    <w:rsid w:val="00FB33BA"/>
    <w:rsid w:val="00FB4841"/>
    <w:rsid w:val="00FB76E7"/>
    <w:rsid w:val="00FD7EDE"/>
    <w:rsid w:val="00FE21C3"/>
    <w:rsid w:val="00FE361B"/>
    <w:rsid w:val="00FF0878"/>
    <w:rsid w:val="00FF22E6"/>
    <w:rsid w:val="00FF419F"/>
    <w:rsid w:val="00FF57F9"/>
    <w:rsid w:val="00FF75DE"/>
    <w:rsid w:val="0C1E7F23"/>
    <w:rsid w:val="17CD2D10"/>
    <w:rsid w:val="1F9D8399"/>
    <w:rsid w:val="30565AA8"/>
    <w:rsid w:val="37C0B03B"/>
    <w:rsid w:val="495BCEC6"/>
    <w:rsid w:val="516BD1BF"/>
    <w:rsid w:val="607CF7BF"/>
    <w:rsid w:val="64C183D1"/>
    <w:rsid w:val="651C6F20"/>
    <w:rsid w:val="7DE0F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50B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68E"/>
  </w:style>
  <w:style w:type="paragraph" w:styleId="Heading1">
    <w:name w:val="heading 1"/>
    <w:basedOn w:val="Normal"/>
    <w:next w:val="Normal"/>
    <w:link w:val="Heading1Char"/>
    <w:uiPriority w:val="9"/>
    <w:qFormat/>
    <w:rsid w:val="0017768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0203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68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68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68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6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6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6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6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68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7F9"/>
    <w:rPr>
      <w:color w:val="3A6FA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7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F9"/>
  </w:style>
  <w:style w:type="paragraph" w:styleId="Footer">
    <w:name w:val="footer"/>
    <w:basedOn w:val="Normal"/>
    <w:link w:val="FooterChar"/>
    <w:uiPriority w:val="99"/>
    <w:unhideWhenUsed/>
    <w:rsid w:val="00FF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F9"/>
  </w:style>
  <w:style w:type="character" w:customStyle="1" w:styleId="Heading1Char">
    <w:name w:val="Heading 1 Char"/>
    <w:basedOn w:val="DefaultParagraphFont"/>
    <w:link w:val="Heading1"/>
    <w:uiPriority w:val="9"/>
    <w:rsid w:val="0017768E"/>
    <w:rPr>
      <w:rFonts w:asciiTheme="majorHAnsi" w:eastAsiaTheme="majorEastAsia" w:hAnsiTheme="majorHAnsi" w:cstheme="majorBidi"/>
      <w:color w:val="00203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7768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7768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68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68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68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68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68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68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768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768E"/>
    <w:pPr>
      <w:pBdr>
        <w:top w:val="single" w:sz="6" w:space="8" w:color="008569" w:themeColor="accent3"/>
        <w:bottom w:val="single" w:sz="6" w:space="8" w:color="00856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F5F5F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7768E"/>
    <w:rPr>
      <w:rFonts w:asciiTheme="majorHAnsi" w:eastAsiaTheme="majorEastAsia" w:hAnsiTheme="majorHAnsi" w:cstheme="majorBidi"/>
      <w:caps/>
      <w:color w:val="5F5F5F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68E"/>
    <w:pPr>
      <w:numPr>
        <w:ilvl w:val="1"/>
      </w:numPr>
      <w:jc w:val="center"/>
    </w:pPr>
    <w:rPr>
      <w:color w:val="5F5F5F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768E"/>
    <w:rPr>
      <w:color w:val="5F5F5F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7768E"/>
    <w:rPr>
      <w:b/>
      <w:bCs/>
    </w:rPr>
  </w:style>
  <w:style w:type="character" w:styleId="Emphasis">
    <w:name w:val="Emphasis"/>
    <w:basedOn w:val="DefaultParagraphFont"/>
    <w:uiPriority w:val="20"/>
    <w:qFormat/>
    <w:rsid w:val="0017768E"/>
    <w:rPr>
      <w:i/>
      <w:iCs/>
      <w:color w:val="000000" w:themeColor="text1"/>
    </w:rPr>
  </w:style>
  <w:style w:type="paragraph" w:styleId="NoSpacing">
    <w:name w:val="No Spacing"/>
    <w:uiPriority w:val="1"/>
    <w:qFormat/>
    <w:rsid w:val="001776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7768E"/>
    <w:pPr>
      <w:spacing w:before="160"/>
      <w:ind w:left="720" w:right="720"/>
      <w:jc w:val="center"/>
    </w:pPr>
    <w:rPr>
      <w:i/>
      <w:iCs/>
      <w:color w:val="00634E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7768E"/>
    <w:rPr>
      <w:i/>
      <w:iCs/>
      <w:color w:val="00634E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68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203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68E"/>
    <w:rPr>
      <w:rFonts w:asciiTheme="majorHAnsi" w:eastAsiaTheme="majorEastAsia" w:hAnsiTheme="majorHAnsi" w:cstheme="majorBidi"/>
      <w:caps/>
      <w:color w:val="00203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7768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7768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7768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7768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7768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68E"/>
    <w:pPr>
      <w:outlineLvl w:val="9"/>
    </w:pPr>
  </w:style>
  <w:style w:type="table" w:styleId="TableGrid">
    <w:name w:val="Table Grid"/>
    <w:basedOn w:val="TableNormal"/>
    <w:uiPriority w:val="39"/>
    <w:rsid w:val="001E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237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37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50776F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76F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675F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2B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B83"/>
    <w:pPr>
      <w:spacing w:after="16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B83"/>
    <w:rPr>
      <w:rFonts w:eastAsiaTheme="minorHAnsi"/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3E3836"/>
  </w:style>
  <w:style w:type="paragraph" w:styleId="Revision">
    <w:name w:val="Revision"/>
    <w:hidden/>
    <w:uiPriority w:val="99"/>
    <w:semiHidden/>
    <w:rsid w:val="00726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ncp.gov.au/whats-happening/new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neguidelines.oecd.org/mneguidelin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usncp.gov.au/complaints/complaints-proc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SY Corporate">
  <a:themeElements>
    <a:clrScheme name="TSY Corporate">
      <a:dk1>
        <a:sysClr val="windowText" lastClr="000000"/>
      </a:dk1>
      <a:lt1>
        <a:sysClr val="window" lastClr="FFFFFF"/>
      </a:lt1>
      <a:dk2>
        <a:srgbClr val="5F5F5F"/>
      </a:dk2>
      <a:lt2>
        <a:srgbClr val="EAEAEA"/>
      </a:lt2>
      <a:accent1>
        <a:srgbClr val="002C47"/>
      </a:accent1>
      <a:accent2>
        <a:srgbClr val="3A6FAF"/>
      </a:accent2>
      <a:accent3>
        <a:srgbClr val="008569"/>
      </a:accent3>
      <a:accent4>
        <a:srgbClr val="C45154"/>
      </a:accent4>
      <a:accent5>
        <a:srgbClr val="00818F"/>
      </a:accent5>
      <a:accent6>
        <a:srgbClr val="844D9E"/>
      </a:accent6>
      <a:hlink>
        <a:srgbClr val="3A6FAF"/>
      </a:hlink>
      <a:folHlink>
        <a:srgbClr val="E61E2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3558</Characters>
  <Application>Microsoft Office Word</Application>
  <DocSecurity>0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AusNCP Complaint Procedures - information sheet</vt:lpstr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AusNCP Complaint Procedures - information sheet</dc:title>
  <dc:subject/>
  <dc:creator/>
  <cp:keywords/>
  <dc:description/>
  <cp:lastModifiedBy/>
  <cp:revision>1</cp:revision>
  <dcterms:created xsi:type="dcterms:W3CDTF">2023-09-25T01:37:00Z</dcterms:created>
  <dcterms:modified xsi:type="dcterms:W3CDTF">2023-09-25T01:37:00Z</dcterms:modified>
</cp:coreProperties>
</file>